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3D6050" w:rsidRDefault="003D6050" w:rsidP="003D6050">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WEDNESDAY, FEBRUARY 29,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3D6050" w:rsidRDefault="003D6050" w:rsidP="003D6050">
            <w:pPr>
              <w:tabs>
                <w:tab w:val="left" w:pos="0"/>
                <w:tab w:val="left" w:pos="90"/>
              </w:tabs>
              <w:spacing w:after="240"/>
            </w:pPr>
            <w:r w:rsidRPr="00686B95">
              <w:t>REGULAR SESSION – Regular Mee</w:t>
            </w:r>
            <w:r>
              <w:t>ting was called to order at 9:0</w:t>
            </w:r>
            <w:r w:rsidR="00F8041A">
              <w:t>7</w:t>
            </w:r>
            <w:r w:rsidRPr="00686B95">
              <w:t xml:space="preserve"> a.m.</w:t>
            </w:r>
          </w:p>
          <w:p w:rsidR="003D6050" w:rsidRDefault="003D6050" w:rsidP="003D6050">
            <w:pPr>
              <w:tabs>
                <w:tab w:val="left" w:pos="0"/>
              </w:tabs>
              <w:spacing w:after="240"/>
            </w:pPr>
            <w:r w:rsidRPr="00686B95">
              <w:t>Present: Supervisors</w:t>
            </w:r>
            <w:r>
              <w:t xml:space="preserve"> Ron Roberts, Chair</w:t>
            </w:r>
            <w:r w:rsidRPr="00686B95">
              <w:t>man;</w:t>
            </w:r>
            <w:r>
              <w:t xml:space="preserve"> Greg Cox, Vice Chairman; </w:t>
            </w:r>
            <w:r w:rsidRPr="00686B95">
              <w:t xml:space="preserve">Dianne Jacob; </w:t>
            </w:r>
            <w:r>
              <w:t xml:space="preserve">             </w:t>
            </w:r>
            <w:r w:rsidRPr="00686B95">
              <w:t>Pam Slater-Price</w:t>
            </w:r>
            <w:r>
              <w:t xml:space="preserve">; Bill Horn; </w:t>
            </w:r>
            <w:r w:rsidRPr="005E2DD3">
              <w:t xml:space="preserve">also </w:t>
            </w:r>
            <w:r>
              <w:t>David C. Hall, Assistant Clerk of the Board.</w:t>
            </w:r>
          </w:p>
          <w:p w:rsidR="00F8041A" w:rsidRDefault="00F8041A" w:rsidP="00F8041A">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January 25, 2012.</w:t>
              </w:r>
              <w:proofErr w:type="gramEnd"/>
            </w:customXml>
          </w:p>
          <w:p w:rsidR="00F8041A" w:rsidRPr="00686B95" w:rsidRDefault="00F8041A" w:rsidP="00F8041A">
            <w:pPr>
              <w:rPr>
                <w:b/>
                <w:bCs/>
              </w:rPr>
            </w:pPr>
            <w:r w:rsidRPr="00686B95">
              <w:rPr>
                <w:b/>
              </w:rPr>
              <w:t>ACTION:</w:t>
            </w:r>
          </w:p>
          <w:p w:rsidR="00F8041A" w:rsidRDefault="00DE79EB" w:rsidP="00F8041A">
            <w:pPr>
              <w:tabs>
                <w:tab w:val="left" w:pos="0"/>
              </w:tabs>
              <w:spacing w:after="240"/>
            </w:pPr>
            <w:r>
              <w:t xml:space="preserve">ON MOTION of Supervisor </w:t>
            </w:r>
            <w:r w:rsidR="007D0820">
              <w:t>Slater-Price, seconded by Supervisor Jacob</w:t>
            </w:r>
            <w:r w:rsidR="00F8041A">
              <w:t xml:space="preserve">, the Board of Supervisors </w:t>
            </w:r>
            <w:r w:rsidR="00F8041A" w:rsidRPr="00686B95">
              <w:t xml:space="preserve">approved the Statement of Proceedings/Minutes for </w:t>
            </w:r>
            <w:r w:rsidR="00F8041A">
              <w:t>the Meeting of January 25, 2012.</w:t>
            </w:r>
          </w:p>
          <w:p w:rsidR="00F8041A" w:rsidRDefault="00F8041A" w:rsidP="00F8041A">
            <w:pPr>
              <w:tabs>
                <w:tab w:val="left" w:pos="0"/>
                <w:tab w:val="left" w:pos="90"/>
              </w:tabs>
              <w:ind w:left="86" w:hanging="86"/>
            </w:pPr>
            <w:r>
              <w:t>AYES:  Cox, Jacob, Slater-Price, Roberts, Horn</w:t>
            </w:r>
          </w:p>
          <w:p w:rsidR="00690459" w:rsidRDefault="006D2224"/>
        </w:customXml>
        <w:p w:rsidR="00882EB5" w:rsidRDefault="00882EB5" w:rsidP="00225A64">
          <w:pPr>
            <w:rPr>
              <w:b/>
              <w:szCs w:val="24"/>
            </w:rPr>
          </w:pPr>
        </w:p>
        <w:p w:rsidR="00225A64" w:rsidRPr="00E237BC" w:rsidRDefault="00225A64" w:rsidP="00225A64">
          <w:pPr>
            <w:rPr>
              <w:sz w:val="20"/>
            </w:rPr>
          </w:pPr>
          <w:r w:rsidRPr="00E237BC">
            <w:rPr>
              <w:b/>
              <w:sz w:val="20"/>
            </w:rPr>
            <w:t>NOTICE</w:t>
          </w:r>
          <w:r w:rsidRPr="00E237BC">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Pr="00E237BC" w:rsidRDefault="00225A64" w:rsidP="00225A64">
          <w:pPr>
            <w:rPr>
              <w:sz w:val="20"/>
            </w:rPr>
          </w:pPr>
        </w:p>
        <w:p w:rsidR="00882EB5" w:rsidRPr="00E237BC" w:rsidRDefault="00882EB5" w:rsidP="00225A64">
          <w:pPr>
            <w:rPr>
              <w:sz w:val="20"/>
            </w:rPr>
          </w:pPr>
        </w:p>
        <w:p w:rsidR="00882EB5" w:rsidRDefault="00882EB5"/>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6C0250" w:rsidRDefault="006D2224" w:rsidP="006C0250">
                    <w:pPr>
                      <w:pStyle w:val="JustifiedCOB"/>
                      <w:spacing w:after="0"/>
                      <w:jc w:val="left"/>
                    </w:pPr>
                    <w:r>
                      <w:fldChar w:fldCharType="begin"/>
                    </w:r>
                    <w:r w:rsidR="001313E7">
                      <w:instrText xml:space="preserve"> MacroButton NoMacro </w:instrText>
                    </w:r>
                    <w:r>
                      <w:fldChar w:fldCharType="end"/>
                    </w:r>
                    <w:r w:rsidR="001313E7">
                      <w:t xml:space="preserve">CERTIFICATION OF THE ENVIRONMENTAL IMPACT REPORT FOR THE STRATEGIC REMOVAL OF SELECTED DEAD, DYING AND DISEASED TREES IN THE GREATER JULIAN AREA AND AUTHORIZATION TO ACCEPT $7 MILLION IN FEDERAL GRANTS </w:t>
                    </w:r>
                  </w:p>
                  <w:p w:rsidR="00F818D2" w:rsidRDefault="006C0250" w:rsidP="006C0250">
                    <w:pPr>
                      <w:pStyle w:val="JustifiedCOB"/>
                      <w:jc w:val="left"/>
                    </w:pPr>
                    <w:r>
                      <w:t xml:space="preserve">[FUNDING SOURCE(S): </w:t>
                    </w:r>
                    <w:r w:rsidRPr="006C0250">
                      <w:rPr>
                        <w:caps/>
                      </w:rPr>
                      <w:t>United States Department of Agriculture, United States Forest Service</w:t>
                    </w:r>
                    <w:r>
                      <w:t>]</w:t>
                    </w:r>
                  </w:p>
                </w:tc>
              </w:customXml>
            </w:tr>
          </w:customXml>
          <w:customXml w:uri="regular-agenda-item" w:element="AGENDA_LIST">
            <w:tr w:rsidR="00690459" w:rsidTr="00882EB5">
              <w:customXml w:uri="regular-agenda-item" w:element="AGENDA_INDEX">
                <w:tc>
                  <w:tcPr>
                    <w:tcW w:w="864" w:type="dxa"/>
                    <w:tcBorders>
                      <w:bottom w:val="nil"/>
                    </w:tcBorders>
                  </w:tcPr>
                  <w:p w:rsidR="00690459" w:rsidRDefault="00690459">
                    <w:pPr>
                      <w:pStyle w:val="BLTemplate"/>
                      <w:jc w:val="center"/>
                    </w:pPr>
                    <w:r>
                      <w:t>2.</w:t>
                    </w:r>
                  </w:p>
                </w:tc>
              </w:customXml>
              <w:customXml w:uri="regular-agenda-item" w:element="SUBJECT">
                <w:tc>
                  <w:tcPr>
                    <w:tcW w:w="8496" w:type="dxa"/>
                    <w:tcBorders>
                      <w:bottom w:val="nil"/>
                    </w:tcBorders>
                  </w:tcPr>
                  <w:p w:rsidR="006C0250" w:rsidRDefault="006D2224" w:rsidP="006C0250">
                    <w:pPr>
                      <w:pStyle w:val="JustifiedCOB"/>
                      <w:spacing w:after="0"/>
                      <w:jc w:val="left"/>
                    </w:pPr>
                    <w:r>
                      <w:fldChar w:fldCharType="begin"/>
                    </w:r>
                    <w:r w:rsidR="001313E7">
                      <w:instrText xml:space="preserve"> MacroButton NoMacro </w:instrText>
                    </w:r>
                    <w:r>
                      <w:fldChar w:fldCharType="end"/>
                    </w:r>
                    <w:r w:rsidR="001313E7">
                      <w:t xml:space="preserve">COUNTY OF SAN DIEGO COST RECOVERY, RESOURCE ALLOCATION, AND REVENUE ENHANCEMENT PLAN UPDATE FOR PARK REDESIGNATIONS </w:t>
                    </w:r>
                  </w:p>
                  <w:p w:rsidR="006C0250" w:rsidRDefault="006C0250" w:rsidP="006C0250">
                    <w:pPr>
                      <w:pStyle w:val="JustifiedCOB"/>
                      <w:spacing w:after="0"/>
                      <w:jc w:val="left"/>
                      <w:rPr>
                        <w:caps/>
                      </w:rPr>
                    </w:pPr>
                    <w:r>
                      <w:t xml:space="preserve">[FUNDING SOURCE(S): </w:t>
                    </w:r>
                    <w:r w:rsidRPr="006C0250">
                      <w:rPr>
                        <w:caps/>
                      </w:rPr>
                      <w:t>Operating Transfer from completed Capital Project 1006572, Spring Valley Community Center</w:t>
                    </w:r>
                    <w:r>
                      <w:rPr>
                        <w:caps/>
                      </w:rPr>
                      <w:t>]</w:t>
                    </w:r>
                  </w:p>
                  <w:p w:rsidR="00F818D2" w:rsidRPr="006C0250" w:rsidRDefault="006C0250" w:rsidP="006C0250">
                    <w:pPr>
                      <w:pStyle w:val="JustifiedCOB"/>
                      <w:jc w:val="left"/>
                      <w:rPr>
                        <w:caps/>
                      </w:rPr>
                    </w:pPr>
                    <w:r>
                      <w:rPr>
                        <w:caps/>
                      </w:rPr>
                      <w:t>(4 VOTES)</w:t>
                    </w:r>
                  </w:p>
                </w:tc>
              </w:customXml>
            </w:tr>
          </w:customXml>
          <w:customXml w:uri="regular-agenda-item" w:element="AGENDA_LIST">
            <w:tr w:rsidR="00690459" w:rsidTr="00882EB5">
              <w:customXml w:uri="regular-agenda-item" w:element="AGENDA_INDEX">
                <w:tc>
                  <w:tcPr>
                    <w:tcW w:w="864" w:type="dxa"/>
                    <w:tcBorders>
                      <w:top w:val="nil"/>
                      <w:bottom w:val="nil"/>
                    </w:tcBorders>
                  </w:tcPr>
                  <w:p w:rsidR="00690459" w:rsidRDefault="00690459" w:rsidP="00882EB5">
                    <w:pPr>
                      <w:pStyle w:val="BLTemplate"/>
                      <w:keepNext/>
                      <w:jc w:val="center"/>
                    </w:pPr>
                    <w:r>
                      <w:t>3.</w:t>
                    </w:r>
                  </w:p>
                </w:tc>
              </w:customXml>
              <w:customXml w:uri="regular-agenda-item" w:element="SUBJECT">
                <w:tc>
                  <w:tcPr>
                    <w:tcW w:w="8496" w:type="dxa"/>
                    <w:tcBorders>
                      <w:top w:val="nil"/>
                      <w:bottom w:val="nil"/>
                    </w:tcBorders>
                  </w:tcPr>
                  <w:p w:rsidR="006C0250" w:rsidRDefault="006D2224" w:rsidP="00882EB5">
                    <w:pPr>
                      <w:pStyle w:val="JustifiedCOB"/>
                      <w:keepNext/>
                      <w:spacing w:after="0"/>
                      <w:jc w:val="left"/>
                    </w:pPr>
                    <w:r>
                      <w:fldChar w:fldCharType="begin"/>
                    </w:r>
                    <w:r w:rsidR="001313E7">
                      <w:instrText xml:space="preserve"> MacroButton NoMacro </w:instrText>
                    </w:r>
                    <w:r>
                      <w:fldChar w:fldCharType="end"/>
                    </w:r>
                    <w:r w:rsidR="001313E7">
                      <w:t xml:space="preserve">COST RECOVERY, RESOURCE ALLOCATION, AND REVENUE ENHANCEMENT PLAN UPDATE FOR HILTON HEAD PARK  </w:t>
                    </w:r>
                  </w:p>
                  <w:p w:rsidR="006C0250" w:rsidRDefault="006C0250" w:rsidP="00882EB5">
                    <w:pPr>
                      <w:pStyle w:val="JustifiedCOB"/>
                      <w:keepNext/>
                      <w:spacing w:after="0"/>
                      <w:jc w:val="left"/>
                      <w:rPr>
                        <w:caps/>
                      </w:rPr>
                    </w:pPr>
                    <w:r>
                      <w:t xml:space="preserve">[FUNDING SOURCE(S): </w:t>
                    </w:r>
                    <w:r w:rsidRPr="006C0250">
                      <w:rPr>
                        <w:caps/>
                      </w:rPr>
                      <w:t>Operating</w:t>
                    </w:r>
                    <w:r>
                      <w:rPr>
                        <w:caps/>
                      </w:rPr>
                      <w:t xml:space="preserve"> Transfer from the General Fund]</w:t>
                    </w:r>
                    <w:r w:rsidRPr="006C0250">
                      <w:rPr>
                        <w:caps/>
                      </w:rPr>
                      <w:t xml:space="preserve"> </w:t>
                    </w:r>
                  </w:p>
                  <w:p w:rsidR="00F818D2" w:rsidRPr="006C0250" w:rsidRDefault="006C0250" w:rsidP="00882EB5">
                    <w:pPr>
                      <w:pStyle w:val="JustifiedCOB"/>
                      <w:keepNext/>
                      <w:jc w:val="left"/>
                      <w:rPr>
                        <w:caps/>
                      </w:rPr>
                    </w:pPr>
                    <w:r>
                      <w:rPr>
                        <w:caps/>
                      </w:rPr>
                      <w:t>(4 VOTES)</w:t>
                    </w:r>
                  </w:p>
                </w:tc>
              </w:customXml>
            </w:tr>
          </w:customXml>
          <w:customXml w:uri="regular-agenda-item" w:element="AGENDA_LIST">
            <w:tr w:rsidR="00690459" w:rsidTr="006C0250">
              <w:customXml w:uri="regular-agenda-item" w:element="AGENDA_INDEX">
                <w:tc>
                  <w:tcPr>
                    <w:tcW w:w="864" w:type="dxa"/>
                    <w:tcBorders>
                      <w:top w:val="nil"/>
                      <w:bottom w:val="nil"/>
                    </w:tcBorders>
                  </w:tcPr>
                  <w:p w:rsidR="00690459" w:rsidRDefault="00690459">
                    <w:pPr>
                      <w:pStyle w:val="BLTemplate"/>
                      <w:jc w:val="center"/>
                    </w:pPr>
                    <w:r>
                      <w:t>4.</w:t>
                    </w:r>
                  </w:p>
                </w:tc>
              </w:customXml>
              <w:customXml w:uri="regular-agenda-item" w:element="SUBJECT">
                <w:tc>
                  <w:tcPr>
                    <w:tcW w:w="8496" w:type="dxa"/>
                    <w:tcBorders>
                      <w:top w:val="nil"/>
                      <w:bottom w:val="nil"/>
                    </w:tcBorders>
                  </w:tcPr>
                  <w:p w:rsidR="00F818D2" w:rsidRDefault="006D2224" w:rsidP="006C0250">
                    <w:pPr>
                      <w:pStyle w:val="JustifiedCOB"/>
                      <w:jc w:val="left"/>
                    </w:pPr>
                    <w:r>
                      <w:fldChar w:fldCharType="begin"/>
                    </w:r>
                    <w:r w:rsidR="001313E7">
                      <w:instrText xml:space="preserve"> MacroButton NoMacro </w:instrText>
                    </w:r>
                    <w:r>
                      <w:fldChar w:fldCharType="end"/>
                    </w:r>
                    <w:r w:rsidR="001313E7">
                      <w:t xml:space="preserve">RED TAPE REDUCTION TASK FORCE REPORT AND RECOMMENDATIONS </w:t>
                    </w:r>
                  </w:p>
                </w:tc>
              </w:customXml>
            </w:tr>
          </w:customXml>
          <w:customXml w:uri="regular-agenda-item" w:element="AGENDA_LIST">
            <w:tr w:rsidR="00690459" w:rsidTr="006C0250">
              <w:customXml w:uri="regular-agenda-item" w:element="AGENDA_INDEX">
                <w:tc>
                  <w:tcPr>
                    <w:tcW w:w="864" w:type="dxa"/>
                    <w:tcBorders>
                      <w:top w:val="nil"/>
                      <w:bottom w:val="nil"/>
                    </w:tcBorders>
                  </w:tcPr>
                  <w:p w:rsidR="00690459" w:rsidRDefault="00690459">
                    <w:pPr>
                      <w:pStyle w:val="BLTemplate"/>
                      <w:jc w:val="center"/>
                    </w:pPr>
                    <w:r>
                      <w:t>5.</w:t>
                    </w:r>
                  </w:p>
                </w:tc>
              </w:customXml>
              <w:customXml w:uri="regular-agenda-item" w:element="SUBJECT">
                <w:tc>
                  <w:tcPr>
                    <w:tcW w:w="8496" w:type="dxa"/>
                    <w:tcBorders>
                      <w:top w:val="nil"/>
                      <w:bottom w:val="nil"/>
                    </w:tcBorders>
                  </w:tcPr>
                  <w:p w:rsidR="00B80E97" w:rsidRDefault="006D2224" w:rsidP="00B80E97">
                    <w:pPr>
                      <w:pStyle w:val="JustifiedCOB"/>
                      <w:spacing w:after="0"/>
                      <w:jc w:val="left"/>
                    </w:pPr>
                    <w:r>
                      <w:fldChar w:fldCharType="begin"/>
                    </w:r>
                    <w:r w:rsidR="001313E7">
                      <w:instrText xml:space="preserve"> MacroButton NoMacro </w:instrText>
                    </w:r>
                    <w:r>
                      <w:fldChar w:fldCharType="end"/>
                    </w:r>
                    <w:r w:rsidR="001313E7">
                      <w:t xml:space="preserve">AGUA CALIENTE SPRINGS AIRPORT – APPLY FOR AND ACCEPT GRANT FUNDS FROM THE CALIFORNIA DEPARTMENT OF TRANSPORTATION, AERONAUTICS DIVISION FOR AIRPORT RUNWAY REHABILITATION PROJECT </w:t>
                    </w:r>
                  </w:p>
                  <w:p w:rsidR="00F818D2" w:rsidRPr="00B80E97" w:rsidRDefault="00B80E97" w:rsidP="00B80E97">
                    <w:pPr>
                      <w:pStyle w:val="JustifiedCOB"/>
                      <w:jc w:val="left"/>
                      <w:rPr>
                        <w:caps/>
                      </w:rPr>
                    </w:pPr>
                    <w:r>
                      <w:t xml:space="preserve">[FUNDING SOURCE(S):  </w:t>
                    </w:r>
                    <w:r w:rsidRPr="00B80E97">
                      <w:rPr>
                        <w:caps/>
                      </w:rPr>
                      <w:t xml:space="preserve">appropriations transfer from services and supplies, Major Maintenance and Airport Enterprise Fund </w:t>
                    </w:r>
                    <w:proofErr w:type="spellStart"/>
                    <w:r w:rsidRPr="00B80E97">
                      <w:rPr>
                        <w:caps/>
                      </w:rPr>
                      <w:t>fund</w:t>
                    </w:r>
                    <w:proofErr w:type="spellEnd"/>
                    <w:r w:rsidRPr="00B80E97">
                      <w:rPr>
                        <w:caps/>
                      </w:rPr>
                      <w:t xml:space="preserve"> balance available</w:t>
                    </w:r>
                    <w:r>
                      <w:rPr>
                        <w:caps/>
                      </w:rPr>
                      <w:t>]</w:t>
                    </w:r>
                  </w:p>
                </w:tc>
              </w:customXml>
            </w:tr>
          </w:customXml>
          <w:customXml w:uri="regular-agenda-item" w:element="AGENDA_LIST">
            <w:tr w:rsidR="00690459" w:rsidTr="006C0250">
              <w:customXml w:uri="regular-agenda-item" w:element="AGENDA_INDEX">
                <w:tc>
                  <w:tcPr>
                    <w:tcW w:w="864" w:type="dxa"/>
                    <w:tcBorders>
                      <w:top w:val="nil"/>
                    </w:tcBorders>
                  </w:tcPr>
                  <w:p w:rsidR="00690459" w:rsidRDefault="00690459" w:rsidP="006C0250">
                    <w:pPr>
                      <w:pStyle w:val="BLTemplate"/>
                      <w:keepNext/>
                      <w:jc w:val="center"/>
                    </w:pPr>
                    <w:r>
                      <w:t>6.</w:t>
                    </w:r>
                  </w:p>
                </w:tc>
              </w:customXml>
              <w:customXml w:uri="regular-agenda-item" w:element="SUBJECT">
                <w:tc>
                  <w:tcPr>
                    <w:tcW w:w="8496" w:type="dxa"/>
                    <w:tcBorders>
                      <w:top w:val="nil"/>
                    </w:tcBorders>
                  </w:tcPr>
                  <w:p w:rsidR="00F818D2" w:rsidRDefault="006D2224" w:rsidP="006C0250">
                    <w:pPr>
                      <w:pStyle w:val="JustifiedCOB"/>
                      <w:keepNext/>
                      <w:jc w:val="left"/>
                    </w:pPr>
                    <w:r>
                      <w:fldChar w:fldCharType="begin"/>
                    </w:r>
                    <w:r w:rsidR="001313E7">
                      <w:instrText xml:space="preserve"> MacroButton NoMacro </w:instrText>
                    </w:r>
                    <w:r>
                      <w:fldChar w:fldCharType="end"/>
                    </w:r>
                    <w:r w:rsidR="001313E7">
                      <w:t xml:space="preserve">JACUMBA AIRPORT – APPLY FOR AND ACCEPT GRANT FUNDS FROM THE CALIFORNIA DEPARTMENT OF TRANSPORTATION, AERONAUTICS DIVISION FOR AIRPORT RUNWAY REHABILITATION PROJECT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7.</w:t>
                    </w:r>
                  </w:p>
                </w:tc>
              </w:customXml>
              <w:customXml w:uri="regular-agenda-item" w:element="SUBJECT">
                <w:tc>
                  <w:tcPr>
                    <w:tcW w:w="8496" w:type="dxa"/>
                  </w:tcPr>
                  <w:p w:rsidR="00B80E97" w:rsidRDefault="006D2224" w:rsidP="00B80E97">
                    <w:pPr>
                      <w:pStyle w:val="JustifiedCOB"/>
                      <w:spacing w:after="0"/>
                      <w:jc w:val="left"/>
                    </w:pPr>
                    <w:r>
                      <w:fldChar w:fldCharType="begin"/>
                    </w:r>
                    <w:r w:rsidR="001313E7">
                      <w:instrText xml:space="preserve"> MacroButton NoMacro </w:instrText>
                    </w:r>
                    <w:r>
                      <w:fldChar w:fldCharType="end"/>
                    </w:r>
                    <w:r w:rsidR="001313E7">
                      <w:t xml:space="preserve">AUTHORIZATION TO ADVERTISE AND AWARD A CONSTRUCTION CONTRACT FOR THE FELICITA PARK IMPROVEMENTS PROJECT </w:t>
                    </w:r>
                  </w:p>
                  <w:p w:rsidR="00F818D2" w:rsidRDefault="00B80E97" w:rsidP="00B80E97">
                    <w:pPr>
                      <w:pStyle w:val="JustifiedCOB"/>
                      <w:jc w:val="left"/>
                    </w:pPr>
                    <w:r>
                      <w:t xml:space="preserve">[FUNDING SOURCE(S):  </w:t>
                    </w:r>
                    <w:r w:rsidRPr="00B80E97">
                      <w:rPr>
                        <w:caps/>
                      </w:rPr>
                      <w:t>Escondido Park Lands Dedication Ordinance (PLDO) Fund and General Fund]</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8.</w:t>
                    </w:r>
                  </w:p>
                </w:tc>
              </w:customXml>
              <w:customXml w:uri="regular-agenda-item" w:element="SUBJECT">
                <w:tc>
                  <w:tcPr>
                    <w:tcW w:w="8496" w:type="dxa"/>
                  </w:tcPr>
                  <w:p w:rsidR="00036DD1" w:rsidRDefault="006D2224" w:rsidP="00036DD1">
                    <w:pPr>
                      <w:pStyle w:val="JustifiedCOB"/>
                      <w:spacing w:after="0"/>
                      <w:jc w:val="left"/>
                      <w:rPr>
                        <w:b/>
                      </w:rPr>
                    </w:pPr>
                    <w:r>
                      <w:fldChar w:fldCharType="begin"/>
                    </w:r>
                    <w:r w:rsidR="001313E7">
                      <w:instrText xml:space="preserve"> MacroButton NoMacro </w:instrText>
                    </w:r>
                    <w:r>
                      <w:fldChar w:fldCharType="end"/>
                    </w:r>
                    <w:r w:rsidR="00036DD1">
                      <w:t xml:space="preserve">SET HEARING FOR </w:t>
                    </w:r>
                    <w:r w:rsidR="00036DD1" w:rsidRPr="00036DD1">
                      <w:t>3/28/12:</w:t>
                    </w:r>
                  </w:p>
                  <w:p w:rsidR="00F818D2" w:rsidRDefault="001313E7" w:rsidP="006C0250">
                    <w:pPr>
                      <w:pStyle w:val="JustifiedCOB"/>
                      <w:jc w:val="left"/>
                    </w:pPr>
                    <w:r>
                      <w:t xml:space="preserve">GOLF CLUB OF CALIFORNIA OPEN SPACE VACATION, VAC 10-001; FALLBROOK COMMUNITY PLAN AREA (2/29/12 – SET HEARING; 3/28/12 – HOLD HEARING)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9.</w:t>
                    </w:r>
                  </w:p>
                </w:tc>
              </w:customXml>
              <w:customXml w:uri="regular-agenda-item" w:element="SUBJECT">
                <w:tc>
                  <w:tcPr>
                    <w:tcW w:w="8496" w:type="dxa"/>
                  </w:tcPr>
                  <w:p w:rsidR="00F818D2" w:rsidRDefault="006D2224" w:rsidP="006C0250">
                    <w:pPr>
                      <w:pStyle w:val="JustifiedCOB"/>
                      <w:jc w:val="left"/>
                    </w:pPr>
                    <w:r>
                      <w:fldChar w:fldCharType="begin"/>
                    </w:r>
                    <w:r w:rsidR="001313E7">
                      <w:instrText xml:space="preserve"> MacroButton NoMacro </w:instrText>
                    </w:r>
                    <w:r>
                      <w:fldChar w:fldCharType="end"/>
                    </w:r>
                    <w:r w:rsidR="001313E7">
                      <w:t>TRAFFIC ADVISORY COM</w:t>
                    </w:r>
                    <w:r w:rsidR="00B01849">
                      <w:t>MITTEE RECOMMENDATIONS (</w:t>
                    </w:r>
                    <w:r w:rsidR="001A641B">
                      <w:t>2/29/</w:t>
                    </w:r>
                    <w:r w:rsidR="001313E7">
                      <w:t xml:space="preserve">12 - </w:t>
                    </w:r>
                    <w:r w:rsidR="00B01849">
                      <w:t xml:space="preserve">ADOPT RECOMMENDATIONS; </w:t>
                    </w:r>
                    <w:r w:rsidR="001A641B">
                      <w:t>3/14/</w:t>
                    </w:r>
                    <w:r w:rsidR="00C97E96">
                      <w:t xml:space="preserve">12 - SECOND READING OF ORDINANCES)  </w:t>
                    </w:r>
                  </w:p>
                </w:tc>
              </w:customXml>
            </w:tr>
          </w:customXml>
          <w:customXml w:uri="regular-agenda-item" w:element="AGENDA_LIST">
            <w:tr w:rsidR="00690459">
              <w:customXml w:uri="regular-agenda-item" w:element="AGENDA_INDEX">
                <w:tc>
                  <w:tcPr>
                    <w:tcW w:w="864" w:type="dxa"/>
                  </w:tcPr>
                  <w:p w:rsidR="00690459" w:rsidRDefault="00690459">
                    <w:pPr>
                      <w:pStyle w:val="BLTemplate"/>
                      <w:jc w:val="center"/>
                    </w:pPr>
                    <w:r>
                      <w:t>10.</w:t>
                    </w:r>
                  </w:p>
                </w:tc>
              </w:customXml>
              <w:customXml w:uri="regular-agenda-item" w:element="SUBJECT">
                <w:tc>
                  <w:tcPr>
                    <w:tcW w:w="8496" w:type="dxa"/>
                  </w:tcPr>
                  <w:p w:rsidR="007559F1" w:rsidRDefault="006D2224" w:rsidP="007559F1">
                    <w:pPr>
                      <w:pStyle w:val="JustifiedCOB"/>
                      <w:spacing w:after="0"/>
                      <w:jc w:val="left"/>
                    </w:pPr>
                    <w:r>
                      <w:fldChar w:fldCharType="begin"/>
                    </w:r>
                    <w:r w:rsidR="001313E7">
                      <w:instrText xml:space="preserve"> MacroButton NoMacro </w:instrText>
                    </w:r>
                    <w:r>
                      <w:fldChar w:fldCharType="end"/>
                    </w:r>
                    <w:r w:rsidR="001313E7">
                      <w:t xml:space="preserve">SOLE SOURCE PROCUREMENT FOR </w:t>
                    </w:r>
                    <w:r w:rsidR="001313E7">
                      <w:rPr>
                        <w:color w:val="000000"/>
                      </w:rPr>
                      <w:t>REPLACEMENT OF FIVE FIELD SURVEY GLOBAL POSITION SYSTEM INSTRUMENTS FROM TRIMBLE CORPORATION</w:t>
                    </w:r>
                    <w:r w:rsidR="001313E7">
                      <w:t xml:space="preserve"> </w:t>
                    </w:r>
                  </w:p>
                  <w:p w:rsidR="00F818D2" w:rsidRPr="007559F1" w:rsidRDefault="007559F1" w:rsidP="006C0250">
                    <w:pPr>
                      <w:pStyle w:val="JustifiedCOB"/>
                      <w:jc w:val="left"/>
                      <w:rPr>
                        <w:caps/>
                      </w:rPr>
                    </w:pPr>
                    <w:r>
                      <w:t xml:space="preserve">[FUNDING SOURCE(S):  </w:t>
                    </w:r>
                    <w:r w:rsidRPr="007559F1">
                      <w:rPr>
                        <w:caps/>
                      </w:rPr>
                      <w:t>Public Works Road Fund</w:t>
                    </w:r>
                    <w:r>
                      <w:rPr>
                        <w:caps/>
                      </w:rPr>
                      <w:t>]</w:t>
                    </w:r>
                  </w:p>
                </w:tc>
              </w:customXml>
            </w:tr>
          </w:customXml>
          <w:customXml w:uri="regular-agenda-item" w:element="AGENDA_LIST">
            <w:tr w:rsidR="00690459" w:rsidTr="00573698">
              <w:customXml w:uri="regular-agenda-item" w:element="AGENDA_INDEX">
                <w:tc>
                  <w:tcPr>
                    <w:tcW w:w="864" w:type="dxa"/>
                    <w:tcBorders>
                      <w:bottom w:val="nil"/>
                    </w:tcBorders>
                  </w:tcPr>
                  <w:p w:rsidR="00690459" w:rsidRDefault="00690459">
                    <w:pPr>
                      <w:pStyle w:val="BLTemplate"/>
                      <w:jc w:val="center"/>
                    </w:pPr>
                    <w:r>
                      <w:t>11.</w:t>
                    </w:r>
                  </w:p>
                </w:tc>
              </w:customXml>
              <w:customXml w:uri="regular-agenda-item" w:element="SUBJECT">
                <w:tc>
                  <w:tcPr>
                    <w:tcW w:w="8496" w:type="dxa"/>
                    <w:tcBorders>
                      <w:bottom w:val="nil"/>
                    </w:tcBorders>
                  </w:tcPr>
                  <w:p w:rsidR="007559F1" w:rsidRPr="007559F1" w:rsidRDefault="006D2224" w:rsidP="007559F1">
                    <w:pPr>
                      <w:pStyle w:val="JustifiedCOB"/>
                      <w:spacing w:after="0"/>
                      <w:jc w:val="left"/>
                      <w:rPr>
                        <w:caps/>
                      </w:rPr>
                    </w:pPr>
                    <w:r>
                      <w:fldChar w:fldCharType="begin"/>
                    </w:r>
                    <w:r w:rsidR="001313E7">
                      <w:instrText xml:space="preserve"> MacroButton NoMacro </w:instrText>
                    </w:r>
                    <w:r>
                      <w:fldChar w:fldCharType="end"/>
                    </w:r>
                    <w:r w:rsidR="001313E7">
                      <w:t xml:space="preserve">ADVERTISE AND AWARD CONTRACT FOR CONSTRUCTION OF </w:t>
                    </w:r>
                    <w:r w:rsidR="001313E7" w:rsidRPr="007559F1">
                      <w:rPr>
                        <w:caps/>
                      </w:rPr>
                      <w:t xml:space="preserve">PROSPECT STREET SOUTHERN SIDEWALK IMPROVEMENTS </w:t>
                    </w:r>
                  </w:p>
                  <w:p w:rsidR="00F818D2" w:rsidRDefault="007559F1" w:rsidP="007559F1">
                    <w:pPr>
                      <w:pStyle w:val="JustifiedCOB"/>
                      <w:jc w:val="left"/>
                    </w:pPr>
                    <w:r>
                      <w:t xml:space="preserve">[FUNDING SOURCE(S):  </w:t>
                    </w:r>
                    <w:r w:rsidRPr="007559F1">
                      <w:rPr>
                        <w:caps/>
                      </w:rPr>
                      <w:t>Community Development Block Grant and Highway User Tax Account</w:t>
                    </w:r>
                    <w:r>
                      <w:t>]</w:t>
                    </w:r>
                  </w:p>
                </w:tc>
              </w:customXml>
            </w:tr>
          </w:customXml>
          <w:customXml w:uri="regular-agenda-item" w:element="AGENDA_LIST">
            <w:tr w:rsidR="00690459" w:rsidTr="00573698">
              <w:customXml w:uri="regular-agenda-item" w:element="AGENDA_INDEX">
                <w:tc>
                  <w:tcPr>
                    <w:tcW w:w="864" w:type="dxa"/>
                    <w:tcBorders>
                      <w:top w:val="nil"/>
                      <w:bottom w:val="nil"/>
                    </w:tcBorders>
                  </w:tcPr>
                  <w:p w:rsidR="00690459" w:rsidRDefault="00690459" w:rsidP="00C97E96">
                    <w:pPr>
                      <w:pStyle w:val="BLTemplate"/>
                      <w:keepNext/>
                      <w:jc w:val="center"/>
                    </w:pPr>
                    <w:r>
                      <w:t>12.</w:t>
                    </w:r>
                  </w:p>
                </w:tc>
              </w:customXml>
              <w:customXml w:uri="regular-agenda-item" w:element="SUBJECT">
                <w:tc>
                  <w:tcPr>
                    <w:tcW w:w="8496" w:type="dxa"/>
                    <w:tcBorders>
                      <w:top w:val="nil"/>
                      <w:bottom w:val="nil"/>
                    </w:tcBorders>
                  </w:tcPr>
                  <w:p w:rsidR="00F818D2" w:rsidRDefault="006D2224" w:rsidP="00C97E96">
                    <w:pPr>
                      <w:pStyle w:val="JustifiedCOB"/>
                      <w:keepNext/>
                      <w:jc w:val="left"/>
                    </w:pPr>
                    <w:r>
                      <w:fldChar w:fldCharType="begin"/>
                    </w:r>
                    <w:r w:rsidR="001313E7">
                      <w:instrText xml:space="preserve"> MacroButton NoMacro </w:instrText>
                    </w:r>
                    <w:r>
                      <w:fldChar w:fldCharType="end"/>
                    </w:r>
                    <w:r w:rsidR="001313E7">
                      <w:t xml:space="preserve">ADOPT A RESOLUTION TO SUMMARILY VACATE A PORTION OF JAMACHA BOULEVARD AND SWEETWATER ROAD </w:t>
                    </w:r>
                    <w:r w:rsidR="001313E7">
                      <w:rPr>
                        <w:caps/>
                      </w:rPr>
                      <w:t>and Reserve a Utility Easement Over the Vacated Area</w:t>
                    </w:r>
                    <w:r w:rsidR="001313E7">
                      <w:t xml:space="preserve"> (VACATION NO. 2011-0072) </w:t>
                    </w:r>
                  </w:p>
                </w:tc>
              </w:customXml>
            </w:tr>
          </w:customXml>
          <w:customXml w:uri="regular-agenda-item" w:element="AGENDA_LIST">
            <w:tr w:rsidR="00690459" w:rsidTr="003D6050">
              <w:customXml w:uri="regular-agenda-item" w:element="AGENDA_INDEX">
                <w:tc>
                  <w:tcPr>
                    <w:tcW w:w="864" w:type="dxa"/>
                    <w:tcBorders>
                      <w:top w:val="nil"/>
                      <w:bottom w:val="nil"/>
                    </w:tcBorders>
                  </w:tcPr>
                  <w:p w:rsidR="00690459" w:rsidRDefault="00690459" w:rsidP="00882EB5">
                    <w:pPr>
                      <w:pStyle w:val="BLTemplate"/>
                      <w:keepNext/>
                      <w:jc w:val="center"/>
                    </w:pPr>
                    <w:r>
                      <w:t>13.</w:t>
                    </w:r>
                  </w:p>
                </w:tc>
              </w:customXml>
              <w:customXml w:uri="regular-agenda-item" w:element="SUBJECT">
                <w:tc>
                  <w:tcPr>
                    <w:tcW w:w="8496" w:type="dxa"/>
                    <w:tcBorders>
                      <w:top w:val="nil"/>
                      <w:bottom w:val="nil"/>
                    </w:tcBorders>
                  </w:tcPr>
                  <w:p w:rsidR="00F818D2" w:rsidRDefault="006D2224" w:rsidP="00882EB5">
                    <w:pPr>
                      <w:pStyle w:val="JustifiedCOB"/>
                      <w:keepNext/>
                      <w:jc w:val="left"/>
                    </w:pPr>
                    <w:r>
                      <w:fldChar w:fldCharType="begin"/>
                    </w:r>
                    <w:r w:rsidR="001313E7">
                      <w:instrText xml:space="preserve"> MacroButton NoMacro </w:instrText>
                    </w:r>
                    <w:r>
                      <w:fldChar w:fldCharType="end"/>
                    </w:r>
                    <w:r w:rsidR="001313E7">
                      <w:t>AMEND THE COUNTY CODE RELATING TO REGISTRATION OF COMMERCIAL WEIGHING AND MEASURING INSTRUMENTS AND POINT-OF-SALE SYSTEMS (</w:t>
                    </w:r>
                    <w:r w:rsidR="00C97E96">
                      <w:t xml:space="preserve">FIRST READING 2/29/12; SECOND READING </w:t>
                    </w:r>
                    <w:r w:rsidR="001313E7">
                      <w:t xml:space="preserve">3/14/12) </w:t>
                    </w:r>
                  </w:p>
                </w:tc>
              </w:customXml>
            </w:tr>
          </w:customXml>
          <w:tr w:rsidR="003D6050" w:rsidTr="00BE12B5">
            <w:tc>
              <w:tcPr>
                <w:tcW w:w="864" w:type="dxa"/>
              </w:tcPr>
              <w:p w:rsidR="003D6050" w:rsidRDefault="003D6050" w:rsidP="00BE12B5">
                <w:pPr>
                  <w:pStyle w:val="BLTemplate"/>
                  <w:jc w:val="center"/>
                </w:pPr>
                <w:r>
                  <w:t>14.</w:t>
                </w:r>
              </w:p>
            </w:tc>
            <w:tc>
              <w:tcPr>
                <w:tcW w:w="8496" w:type="dxa"/>
              </w:tcPr>
              <w:p w:rsidR="003D6050" w:rsidRDefault="003D6050" w:rsidP="00BE12B5">
                <w:pPr>
                  <w:pStyle w:val="JustifiedCOB"/>
                  <w:spacing w:after="0"/>
                  <w:jc w:val="left"/>
                </w:pPr>
                <w:r>
                  <w:t>CLOSED SESSION (CARRYOVER FROM 2/28/12</w:t>
                </w:r>
                <w:r w:rsidR="00706BCA">
                  <w:t>,</w:t>
                </w:r>
                <w:r>
                  <w:t xml:space="preserve"> AGENDA NO. 22)</w:t>
                </w:r>
              </w:p>
              <w:p w:rsidR="003D6050" w:rsidRDefault="003D6050" w:rsidP="00BE12B5">
                <w:pPr>
                  <w:pStyle w:val="JustifiedCOB"/>
                  <w:spacing w:after="0"/>
                  <w:jc w:val="left"/>
                </w:pPr>
              </w:p>
            </w:tc>
          </w:tr>
          <w:customXml w:uri="regular-agenda-item" w:element="AGENDA_LIST">
            <w:tr w:rsidR="003D6050" w:rsidTr="00882EB5">
              <w:customXml w:uri="regular-agenda-item" w:element="AGENDA_INDEX">
                <w:tc>
                  <w:tcPr>
                    <w:tcW w:w="864" w:type="dxa"/>
                    <w:tcBorders>
                      <w:top w:val="nil"/>
                    </w:tcBorders>
                  </w:tcPr>
                  <w:p w:rsidR="003D6050" w:rsidRDefault="003D6050" w:rsidP="00882EB5">
                    <w:pPr>
                      <w:pStyle w:val="BLTemplate"/>
                      <w:keepNext/>
                      <w:jc w:val="center"/>
                    </w:pPr>
                    <w:r>
                      <w:t>15.</w:t>
                    </w:r>
                  </w:p>
                </w:tc>
              </w:customXml>
              <w:customXml w:uri="regular-agenda-item" w:element="SUBJECT">
                <w:tc>
                  <w:tcPr>
                    <w:tcW w:w="8496" w:type="dxa"/>
                    <w:tcBorders>
                      <w:top w:val="nil"/>
                    </w:tcBorders>
                  </w:tcPr>
                  <w:p w:rsidR="003D6050" w:rsidRDefault="003D6050" w:rsidP="00882EB5">
                    <w:pPr>
                      <w:pStyle w:val="JustifiedCOB"/>
                      <w:keepNext/>
                      <w:jc w:val="left"/>
                    </w:pPr>
                    <w:r>
                      <w:t>PUBLIC COMMUNICATION</w:t>
                    </w:r>
                  </w:p>
                </w:tc>
              </w:customXml>
            </w:tr>
          </w:customXml>
        </w:tbl>
        <w:p w:rsidR="00690459" w:rsidRDefault="00690459">
          <w:pPr>
            <w:tabs>
              <w:tab w:val="center" w:pos="5450"/>
              <w:tab w:val="left" w:pos="8640"/>
            </w:tabs>
            <w:rPr>
              <w:u w:val="single"/>
            </w:rPr>
            <w:sectPr w:rsidR="00690459">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pPr>
        </w:p>
        <w:bookmarkStart w:id="3" w:name="Catalog" w:displacedByCustomXml="next"/>
        <w:bookmarkEnd w:id="3" w:displacedByCustomXml="next"/>
        <w:customXml w:uri="regular-agenda-item" w:element="DETAILS">
          <w:p w:rsidR="00690459" w:rsidRDefault="00690459">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1.</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6C0250">
                      <w:pPr>
                        <w:pStyle w:val="JustifiedCOB"/>
                        <w:jc w:val="left"/>
                      </w:pPr>
                      <w:r>
                        <w:fldChar w:fldCharType="begin"/>
                      </w:r>
                      <w:r w:rsidR="001313E7">
                        <w:instrText xml:space="preserve"> MacroButton NoMacro </w:instrText>
                      </w:r>
                      <w:r>
                        <w:fldChar w:fldCharType="end"/>
                      </w:r>
                      <w:r w:rsidR="001313E7">
                        <w:rPr>
                          <w:b/>
                        </w:rPr>
                        <w:t xml:space="preserve">CERTIFICATION OF THE ENVIRONMENTAL IMPACT REPORT FOR THE STRATEGIC REMOVAL OF SELECTED DEAD, DYING AND DISEASED TREES IN THE GREATER JULIAN AREA AND AUTHORIZATION TO ACCEPT </w:t>
                      </w:r>
                      <w:r w:rsidR="000558C4">
                        <w:rPr>
                          <w:b/>
                        </w:rPr>
                        <w:t xml:space="preserve">            </w:t>
                      </w:r>
                      <w:r w:rsidR="001313E7">
                        <w:rPr>
                          <w:b/>
                        </w:rPr>
                        <w:t xml:space="preserve">$7 MILLION IN FEDERAL GRANTS (DISTRICT: 2)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JustifiedCOB"/>
                      </w:pPr>
                      <w:r>
                        <w:t xml:space="preserve">The County has a deep commitment to safeguarding lives and property from wildfires.  On June 16, 2004 (4), your Board established the Fire Safety and Fuels Reduction Program to resourcefully and effectively implement a comprehensive program to complete over $47 million in fuels reduction activities.  The program has been extremely successful; however, fuel loads in areas of the unincorporated county still pose a threat to citizens and property, necessitating continuing fuel management actions. </w:t>
                      </w:r>
                    </w:p>
                    <w:p w:rsidR="00F818D2" w:rsidRDefault="001313E7">
                      <w:pPr>
                        <w:pStyle w:val="JustifiedCOB"/>
                      </w:pPr>
                      <w:r>
                        <w:t xml:space="preserve">On May 13, 2009 (3), your Board authorized the acceptance of a $7 million grant from the United States Department of Agriculture, Forest Service, for hazardous fuel reduction through the removal of dead, dying and diseased trees.  A lawsuit filed against the County by the Chaparral Institute resulted in a Writ of Mandate that vacated the May 13, 2009 (3) Board action and required the County to prepare, circulate and consider an Environmental Impact Report or otherwise comply with CEQA prior to proceeding with this project.  The County prepared a Negative Declaration after coordinating with the Chaparral Institute and circulated it for public review in 2010.  However, 16 public comment letters were received, including a letter from the Chaparral Institute, which raised new environmental issues. Therefore the County prepared an Environmental Impact Report.   </w:t>
                      </w:r>
                    </w:p>
                    <w:p w:rsidR="00F818D2" w:rsidRDefault="001313E7">
                      <w:pPr>
                        <w:pStyle w:val="Header"/>
                        <w:tabs>
                          <w:tab w:val="left" w:pos="720"/>
                        </w:tabs>
                      </w:pPr>
                      <w:r>
                        <w:t>The Environmental Impact Report (EIR) for the Strategic Removal of Dead, Dying and Diseased Trees in the Greater Julian Area is on file with the Department of Planning and Land Use as Log No. 1000004.  The public review period for the EIR was November 23, 2011 to January 9, 2012 (47-day review period).  See Attachments for th</w:t>
                      </w:r>
                      <w:r w:rsidR="00BA43F0">
                        <w:t xml:space="preserve">e environmental documentation. </w:t>
                      </w:r>
                      <w:r>
                        <w:t xml:space="preserve">This is a request to certify the Final Environmental Impact Report and to adopt the related CEQA findings for mitigation of potentially significant impacts. </w:t>
                      </w:r>
                    </w:p>
                    <w:p w:rsidR="00B80E97" w:rsidRDefault="00B80E97">
                      <w:pPr>
                        <w:pStyle w:val="Header"/>
                        <w:tabs>
                          <w:tab w:val="left" w:pos="720"/>
                        </w:tabs>
                      </w:pPr>
                    </w:p>
                    <w:p w:rsidR="00F818D2" w:rsidRDefault="001313E7">
                      <w:pPr>
                        <w:pStyle w:val="JustifiedCOB"/>
                      </w:pPr>
                      <w:r>
                        <w:t xml:space="preserve">This is also a request to authorize the County Fire Warden to accept $7 million in grant funds from the U.S. Department of Agriculture, Forest Service, for the Fire Safety and Fuels Reduction Program efforts and to approve actions to secure project management services to assist the County in the removal of dead, dying diseased trees on private land in the unincorporated greater Julian area of the County. </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Funds in the amount of $6.4 million are included in the Fiscal Year 2011-2012 Operational Plan for Public Safety Group Executive Office, San Diego County Fire Authority and the remaining funds will be included in future fiscal year operational plans.</w:t>
                      </w:r>
                      <w:r w:rsidR="00BA43F0">
                        <w:t xml:space="preserve"> </w:t>
                      </w:r>
                      <w:r w:rsidR="001313E7">
                        <w:t xml:space="preserve"> If approved, this action may result in grant revenue of up to $7 million which will be used over multiple fiscal years for hazardous fuels reduction activities in the unincorporated Greater Julian area of San Diego County. </w:t>
                      </w:r>
                      <w:r w:rsidR="00BA43F0">
                        <w:t xml:space="preserve"> </w:t>
                      </w:r>
                      <w:r w:rsidR="001313E7">
                        <w:t xml:space="preserve">The funding source for this grant is the United States Department of Agriculture, United States Forest Service. This grant requires a match of 10% (up to $780,000).  This match has already been provided at no additional cost to the County through in-kind work performed by San Diego Gas and Electric and has been reviewed and approved by the United States Forest Service. </w:t>
                      </w:r>
                      <w:r w:rsidR="006C0250">
                        <w:t xml:space="preserve"> </w:t>
                      </w:r>
                      <w:r w:rsidR="001313E7">
                        <w:t>There will be no change in net General Fund costs and no additional staff years.</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The County is committed to reducing fire hazards and supporting economic viability for utilization of the resulting woody biomass.  The County will seek beneficial uses for all resulting biomass.  Practical uses of biomass, such as onsite ground cover and transporting to energy conversions faculties benefit both the environment and supports biomass processors.</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pPr>
                        <w:pStyle w:val="NumberListCOB"/>
                      </w:pPr>
                      <w:r>
                        <w:t xml:space="preserve">Certify that the Environmental Impact Report (EIR), State Clearing House </w:t>
                      </w:r>
                      <w:r w:rsidR="00BA43F0">
                        <w:t xml:space="preserve">          No.</w:t>
                      </w:r>
                      <w:r>
                        <w:t>2010071015, was completed in compliance with the California Environmental Quality Act (CEQA) and State and County CEQA Guidelines, review and consider the information contained therein, and find that the Dead, Dying and Diseased Tree Removal EIR reflects the independent judgment and analysis of the Board of Supervisors, including the Statement of Location and Custodian of Documents (Attachment A).</w:t>
                      </w:r>
                    </w:p>
                    <w:p w:rsidR="00F818D2" w:rsidRDefault="001313E7">
                      <w:pPr>
                        <w:pStyle w:val="NumberListCOB"/>
                      </w:pPr>
                      <w:r>
                        <w:t>Adopt the Findings concerning mitigation of significant environmental effects pursuant to Section 15091 of the State CEQA Guidelines (Attachment B), adopt the Decision Regarding Recirculation of the Draft EIR, pursuant to Section 15088.5 of the State CEQA Guidelines (Attachment C) and adopt the Mitigation Monitoring and Reporting Program (Attachment D) prepared in accordance with the Public Resources Code, Section 21081.6</w:t>
                      </w:r>
                    </w:p>
                    <w:p w:rsidR="00F818D2" w:rsidRDefault="001313E7">
                      <w:pPr>
                        <w:pStyle w:val="NumberListCOB"/>
                      </w:pPr>
                      <w:r>
                        <w:t xml:space="preserve">Authorize the County Fire Warden, or designee, to accept up to $7 million in grant funds from the United States Department of Agriculture, Forest Service as necessary to carry out hazardous fuels reduction activities in the form of removing dead, dying and diseased trees in the greater Julian area, through Fiscal Year 2013-2014.   </w:t>
                      </w:r>
                    </w:p>
                    <w:p w:rsidR="00F818D2" w:rsidRPr="00B80E97" w:rsidRDefault="001313E7" w:rsidP="00B80E97">
                      <w:pPr>
                        <w:pStyle w:val="NumberListCOB"/>
                      </w:pPr>
                      <w:r>
                        <w:t xml:space="preserve">In accordance with Section 401, Article XXIII of the County Administrative Code, authorize the Director, Department of Purchasing and Contracting to issue a Competitive Solicitation for dead, dying and diseased tree removal project management services, and upon successful negotiations and determination of a fair and reasonable price, award contracts, and to amend the contracts as needed to reflect changes to services and funding, subject to the approval of the County Fire Warden. </w:t>
                      </w:r>
                      <w:r w:rsidR="006D2224" w:rsidRPr="00B80E97">
                        <w:rPr>
                          <w:vanish/>
                        </w:rPr>
                        <w:fldChar w:fldCharType="begin"/>
                      </w:r>
                      <w:r w:rsidRPr="00B80E97">
                        <w:rPr>
                          <w:vanish/>
                        </w:rPr>
                        <w:instrText xml:space="preserve"> LISTNUM  \l 1 \s 0 </w:instrText>
                      </w:r>
                      <w:r w:rsidR="006D2224" w:rsidRPr="00B80E97">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3D6050">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D6050" w:rsidRPr="00906D8C">
                        <w:t xml:space="preserve"> </w:t>
                      </w:r>
                    </w:p>
                    <w:p w:rsidR="003D6050" w:rsidRDefault="003D6050" w:rsidP="003D6050">
                      <w:pPr>
                        <w:pStyle w:val="HangingIndent"/>
                        <w:keepLines/>
                        <w:tabs>
                          <w:tab w:val="clear" w:pos="5760"/>
                          <w:tab w:val="clear" w:pos="6480"/>
                          <w:tab w:val="clear" w:pos="7200"/>
                          <w:tab w:val="clear" w:pos="7920"/>
                          <w:tab w:val="clear" w:pos="8640"/>
                        </w:tabs>
                        <w:ind w:left="0" w:firstLine="0"/>
                      </w:pPr>
                    </w:p>
                    <w:p w:rsidR="003D6050" w:rsidRDefault="003D6050" w:rsidP="003D6050">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2.</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6C0250">
                      <w:pPr>
                        <w:pStyle w:val="JustifiedCOB"/>
                        <w:jc w:val="left"/>
                      </w:pPr>
                      <w:r>
                        <w:fldChar w:fldCharType="begin"/>
                      </w:r>
                      <w:r w:rsidR="001313E7">
                        <w:instrText xml:space="preserve"> MacroButton NoMacro </w:instrText>
                      </w:r>
                      <w:r>
                        <w:fldChar w:fldCharType="end"/>
                      </w:r>
                      <w:r w:rsidR="001313E7">
                        <w:rPr>
                          <w:b/>
                        </w:rPr>
                        <w:t xml:space="preserve">COUNTY OF SAN DIEGO COST RECOVERY, RESOURCE ALLOCATION, AND REVENUE ENHANCEMENT PLAN UPDATE FOR PARK REDESIGNATIONS (DISTRICT: 2)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On October 25, 2011, the Board of Supervisors approved the Department of Parks and Recreation’s Cost Recovery, Resource Allocation and Revenue Enhancement Plan (Plan) and directed the Chief Administrative Officer to return to the Board of Supervisors with a review of and recommendation for re-designations of selected areas within </w:t>
                      </w:r>
                      <w:proofErr w:type="spellStart"/>
                      <w:r w:rsidR="001313E7">
                        <w:t>Potrero</w:t>
                      </w:r>
                      <w:proofErr w:type="spellEnd"/>
                      <w:r w:rsidR="001313E7">
                        <w:t xml:space="preserve">, Lake </w:t>
                      </w:r>
                      <w:proofErr w:type="spellStart"/>
                      <w:r w:rsidR="001313E7">
                        <w:t>Morena</w:t>
                      </w:r>
                      <w:proofErr w:type="spellEnd"/>
                      <w:r w:rsidR="001313E7">
                        <w:t xml:space="preserve"> and Pine Valley Parks regional parks to be classified as local parks (Thomas Guide pages 1316-E7, 1297-D3, and 1237-B6).  </w:t>
                      </w:r>
                    </w:p>
                    <w:p w:rsidR="00F818D2" w:rsidRDefault="001313E7">
                      <w:pPr>
                        <w:pStyle w:val="JustifiedCOB"/>
                      </w:pPr>
                      <w:r>
                        <w:t xml:space="preserve">Today, staff is returning to the Board with a summary of park designation changes for </w:t>
                      </w:r>
                      <w:proofErr w:type="spellStart"/>
                      <w:r>
                        <w:t>Potrero</w:t>
                      </w:r>
                      <w:proofErr w:type="spellEnd"/>
                      <w:r>
                        <w:t xml:space="preserve"> and Pine Valley Parks.  For today’s action, the Department of Parks and Recreation is requesting Board authorization to establish appropriations for installation of signage and fence needed to convert the day use portion of </w:t>
                      </w:r>
                      <w:proofErr w:type="spellStart"/>
                      <w:r>
                        <w:t>Potrero</w:t>
                      </w:r>
                      <w:proofErr w:type="spellEnd"/>
                      <w:r>
                        <w:t xml:space="preserve"> Park from a regional park to a local park. </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Funds for this request are not included in the Fiscal Year 2011-12 Operational Plan in the Capital Outlay Fund.  If approved, this request will result in costs of $77,000 in Fiscal Year 2011-12. </w:t>
                      </w:r>
                      <w:r w:rsidR="006C0250">
                        <w:t xml:space="preserve"> </w:t>
                      </w:r>
                      <w:r w:rsidR="001313E7">
                        <w:t xml:space="preserve">The funding source is an Operating Transfer from completed Capital Project 1006572, Spring Valley Community Center ($77,000). </w:t>
                      </w:r>
                    </w:p>
                    <w:p w:rsidR="00F818D2" w:rsidRDefault="001313E7">
                      <w:pPr>
                        <w:pStyle w:val="JustifiedCOB"/>
                      </w:pPr>
                      <w:r>
                        <w:t xml:space="preserve">The conversion of Pine Valley Park and the day use portion of </w:t>
                      </w:r>
                      <w:proofErr w:type="spellStart"/>
                      <w:r>
                        <w:t>Potrero</w:t>
                      </w:r>
                      <w:proofErr w:type="spellEnd"/>
                      <w:r>
                        <w:t xml:space="preserve"> Park from regional parks to local parks will result in an estimated annual revenue decrease of $10,000 from Pine Valley Park and $2,500 from </w:t>
                      </w:r>
                      <w:proofErr w:type="spellStart"/>
                      <w:r>
                        <w:t>Potrero</w:t>
                      </w:r>
                      <w:proofErr w:type="spellEnd"/>
                      <w:r>
                        <w:t xml:space="preserve"> Park due to loss of day use parking revenue.  There will be no additional staff years.</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pPr>
                        <w:pStyle w:val="NumberListCOB"/>
                      </w:pPr>
                      <w:r>
                        <w:t xml:space="preserve">Find that the proposed installation of signage and fencing at </w:t>
                      </w:r>
                      <w:proofErr w:type="spellStart"/>
                      <w:r>
                        <w:t>Potrero</w:t>
                      </w:r>
                      <w:proofErr w:type="spellEnd"/>
                      <w:r>
                        <w:t xml:space="preserve"> Park is exempt from the California Environmental Quality Act (CEQA) pursuant to CEQA Guidelines Section 15303.</w:t>
                      </w:r>
                    </w:p>
                    <w:p w:rsidR="003D6050" w:rsidRDefault="003D6050" w:rsidP="003D6050">
                      <w:pPr>
                        <w:pStyle w:val="NumberListCOB"/>
                        <w:numPr>
                          <w:ilvl w:val="0"/>
                          <w:numId w:val="0"/>
                        </w:numPr>
                        <w:spacing w:after="0"/>
                        <w:ind w:left="360"/>
                      </w:pPr>
                    </w:p>
                    <w:p w:rsidR="003D6050" w:rsidRDefault="003D6050" w:rsidP="003D6050">
                      <w:pPr>
                        <w:pStyle w:val="NumberListCOB"/>
                        <w:numPr>
                          <w:ilvl w:val="0"/>
                          <w:numId w:val="0"/>
                        </w:numPr>
                        <w:spacing w:after="0"/>
                        <w:ind w:left="360"/>
                      </w:pPr>
                    </w:p>
                    <w:p w:rsidR="003D6050" w:rsidRDefault="003D6050" w:rsidP="003D6050">
                      <w:pPr>
                        <w:pStyle w:val="NumberListCOB"/>
                        <w:numPr>
                          <w:ilvl w:val="0"/>
                          <w:numId w:val="0"/>
                        </w:numPr>
                        <w:spacing w:after="0"/>
                        <w:ind w:left="360"/>
                      </w:pPr>
                    </w:p>
                    <w:p w:rsidR="00F818D2" w:rsidRDefault="001313E7">
                      <w:pPr>
                        <w:pStyle w:val="NumberListCOB"/>
                      </w:pPr>
                      <w:r>
                        <w:t xml:space="preserve">Cancel appropriations of $77,000 and related Operating Transfer from the General Fund in the Capital Outlay Fund for Capital Project 1006572, Spring Valley Community Center, to provide funding for signage and fence installation at </w:t>
                      </w:r>
                      <w:proofErr w:type="spellStart"/>
                      <w:r>
                        <w:t>Potrero</w:t>
                      </w:r>
                      <w:proofErr w:type="spellEnd"/>
                      <w:r>
                        <w:t xml:space="preserve"> Park.</w:t>
                      </w:r>
                    </w:p>
                    <w:p w:rsidR="00F818D2" w:rsidRPr="003D6050" w:rsidRDefault="001313E7" w:rsidP="003D6050">
                      <w:pPr>
                        <w:pStyle w:val="NumberListCOB"/>
                      </w:pPr>
                      <w:r>
                        <w:t xml:space="preserve">Establish appropriations of $77,000 in Capital Outlay Fund for Capital Project 1016665, </w:t>
                      </w:r>
                      <w:proofErr w:type="spellStart"/>
                      <w:r>
                        <w:t>Potrero</w:t>
                      </w:r>
                      <w:proofErr w:type="spellEnd"/>
                      <w:r>
                        <w:t xml:space="preserve"> Park Fencing project, based on an Operating Transfer from the General Fund.  </w:t>
                      </w:r>
                      <w:r w:rsidRPr="006C0250">
                        <w:rPr>
                          <w:b/>
                        </w:rPr>
                        <w:t>(4 VOTES)</w:t>
                      </w:r>
                      <w:r w:rsidR="006D2224" w:rsidRPr="003D6050">
                        <w:rPr>
                          <w:vanish/>
                        </w:rPr>
                        <w:fldChar w:fldCharType="begin"/>
                      </w:r>
                      <w:r w:rsidRPr="003D6050">
                        <w:rPr>
                          <w:vanish/>
                        </w:rPr>
                        <w:instrText xml:space="preserve"> LISTNUM  \l 1 \s 0 </w:instrText>
                      </w:r>
                      <w:r w:rsidR="006D2224" w:rsidRPr="003D6050">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3.</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B80E97">
                      <w:pPr>
                        <w:pStyle w:val="JustifiedCOB"/>
                        <w:jc w:val="left"/>
                      </w:pPr>
                      <w:r>
                        <w:fldChar w:fldCharType="begin"/>
                      </w:r>
                      <w:r w:rsidR="001313E7">
                        <w:instrText xml:space="preserve"> MacroButton NoMacro </w:instrText>
                      </w:r>
                      <w:r>
                        <w:fldChar w:fldCharType="end"/>
                      </w:r>
                      <w:r w:rsidR="001313E7">
                        <w:rPr>
                          <w:b/>
                        </w:rPr>
                        <w:t>COST RECOVERY, RESOURCE ALLOCATION, AND REVENUE ENHANCEMENT PLAN UPDATE FOR HILTON HEAD</w:t>
                      </w:r>
                      <w:r w:rsidR="00B80E97">
                        <w:rPr>
                          <w:b/>
                        </w:rPr>
                        <w:t xml:space="preserve"> PARK </w:t>
                      </w:r>
                      <w:r w:rsidR="001313E7">
                        <w:rPr>
                          <w:b/>
                        </w:rPr>
                        <w:t xml:space="preserve">(DISTRICT: 2)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On October 25, 2011, the Board of Supervisors approved the Department of Parks and Recreation’s Cost Recovery, Resource Allocation and Revenue Enhancement Plan (Plan) and directed the Chief Administrative Officer to return to the Board of Supervisors with recommendations for the revenue potential of implementing a special use fee for the water feature at Hilton Head Park.  (Thomas Guide pages 1272-B5)</w:t>
                      </w:r>
                      <w:r w:rsidR="00BA43F0">
                        <w:t>.</w:t>
                      </w:r>
                      <w:r w:rsidR="001313E7">
                        <w:t xml:space="preserve">  The Department of Parks and Recreation (DPR) will begin charging a fee for splash park users at Hilton Head Park pursuant to the existing Board </w:t>
                      </w:r>
                      <w:r w:rsidR="00BA43F0">
                        <w:t xml:space="preserve">approved Fee Schedule for DPR. </w:t>
                      </w:r>
                      <w:r w:rsidR="001313E7">
                        <w:t xml:space="preserve">A self-pay station will be installed at Hilton Head Park for collection of the fee.  </w:t>
                      </w:r>
                    </w:p>
                    <w:p w:rsidR="00F818D2" w:rsidRDefault="001313E7">
                      <w:pPr>
                        <w:pStyle w:val="JustifiedCOB"/>
                      </w:pPr>
                      <w:r>
                        <w:t xml:space="preserve">The Board is requested to receive the Department of Parks and Recreation’s plan for charging a special fee, effective May 2012, for use of the splash park feature at Hilton Head Park.  In addition, today’s action is to establish appropriations for the installation of a self-pay machine for charging splash park fees at Hilton Head Park. </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041A" w:rsidRDefault="006D2224" w:rsidP="00F8041A">
                      <w:pPr>
                        <w:pStyle w:val="JustifiedCOB"/>
                        <w:spacing w:after="0"/>
                      </w:pPr>
                      <w:r>
                        <w:fldChar w:fldCharType="begin"/>
                      </w:r>
                      <w:r w:rsidR="001313E7">
                        <w:instrText xml:space="preserve"> MacroButton NoMacro </w:instrText>
                      </w:r>
                      <w:r>
                        <w:fldChar w:fldCharType="end"/>
                      </w:r>
                      <w:r w:rsidR="001313E7">
                        <w:t xml:space="preserve">Funds for this request are not included in the Fiscal Year 2011-12 Operational Plan for the Department of Parks and Recreation (DPR).  If approved, this request will result in current year costs of $25,386 for installation of a self-pay station at Hilton Head Park splash park. </w:t>
                      </w:r>
                      <w:r w:rsidR="006C0250">
                        <w:t xml:space="preserve"> </w:t>
                      </w:r>
                      <w:r w:rsidR="001313E7">
                        <w:t xml:space="preserve">The funding source is an Operating Transfer from the General Fund. </w:t>
                      </w:r>
                      <w:r w:rsidR="006C0250">
                        <w:t xml:space="preserve"> </w:t>
                      </w:r>
                      <w:r w:rsidR="001313E7">
                        <w:t xml:space="preserve">Annual revenue of approximately $21,000 from the use fee for the splash park, based on projected park attendance, will be realized in County Service Area 26 (CSA 26).  There will be no change in net General Fund cost and no additional staff years.  </w:t>
                      </w:r>
                    </w:p>
                    <w:p w:rsidR="00F8041A" w:rsidRDefault="00F8041A" w:rsidP="00F8041A">
                      <w:pPr>
                        <w:pStyle w:val="JustifiedCOB"/>
                        <w:spacing w:after="0"/>
                      </w:pPr>
                    </w:p>
                    <w:p w:rsidR="00F818D2" w:rsidRDefault="006D2224" w:rsidP="00F8041A">
                      <w:pPr>
                        <w:pStyle w:val="JustifiedCOB"/>
                        <w:spacing w:after="0"/>
                      </w:pP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pPr>
                        <w:pStyle w:val="NumberListCOB"/>
                      </w:pPr>
                      <w:r>
                        <w:t>Find that the proposed installation of a self-pay machine at Hilton Head Park is exempt from the California Environmental Quality Act (CEQA), pursuant to CEQA Guidelines Section 15303.</w:t>
                      </w:r>
                    </w:p>
                    <w:p w:rsidR="00F818D2" w:rsidRDefault="001313E7">
                      <w:pPr>
                        <w:pStyle w:val="NumberListCOB"/>
                      </w:pPr>
                      <w:r>
                        <w:t>Cancel appropriations of $25,386 and related Operating Transfer from the General Fund in the Capital Outlay Fund for Capital Project 1006572, Spring Valley Community Center, to provide funding for installation of a self-pay station for use of the splash park water feature at Hilton Head Park.</w:t>
                      </w:r>
                    </w:p>
                    <w:p w:rsidR="00F818D2" w:rsidRPr="00B80E97" w:rsidRDefault="001313E7" w:rsidP="00B80E97">
                      <w:pPr>
                        <w:pStyle w:val="NumberListCOB"/>
                      </w:pPr>
                      <w:r>
                        <w:t xml:space="preserve">Establish appropriations of $25,386 in the Department of Parks and Recreation in Park Operations for self-pay station at Hilton Head Park based on an Operating Transfer from the General Fund.  </w:t>
                      </w:r>
                      <w:r>
                        <w:rPr>
                          <w:b/>
                        </w:rPr>
                        <w:t>(4 VOTES)</w:t>
                      </w:r>
                      <w:r w:rsidR="006D2224" w:rsidRPr="00B80E97">
                        <w:rPr>
                          <w:vanish/>
                        </w:rPr>
                        <w:fldChar w:fldCharType="begin"/>
                      </w:r>
                      <w:r w:rsidRPr="00B80E97">
                        <w:rPr>
                          <w:vanish/>
                        </w:rPr>
                        <w:instrText xml:space="preserve"> LISTNUM  \l 1 \s 0 </w:instrText>
                      </w:r>
                      <w:r w:rsidR="006D2224" w:rsidRPr="00B80E97">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4.</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B80E97">
                      <w:pPr>
                        <w:pStyle w:val="JustifiedCOB"/>
                        <w:jc w:val="left"/>
                      </w:pPr>
                      <w:r>
                        <w:fldChar w:fldCharType="begin"/>
                      </w:r>
                      <w:r w:rsidR="001313E7">
                        <w:instrText xml:space="preserve"> MacroButton NoMacro </w:instrText>
                      </w:r>
                      <w:r>
                        <w:fldChar w:fldCharType="end"/>
                      </w:r>
                      <w:r w:rsidR="001313E7">
                        <w:rPr>
                          <w:b/>
                        </w:rPr>
                        <w:t>RED TAPE REDUCTION TASK FORCE REPORT AND RECOMMENDATIONS (DISTRICT</w:t>
                      </w:r>
                      <w:r w:rsidR="00B80E97">
                        <w:rPr>
                          <w:b/>
                        </w:rPr>
                        <w:t>S</w:t>
                      </w:r>
                      <w:r w:rsidR="001313E7">
                        <w:rPr>
                          <w:b/>
                        </w:rPr>
                        <w:t xml:space="preserve">: ALL)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On March 2, 2011 (1) and April 13, 2011 (2), the Board of Supervisors directed formation of the Red Tape Reduction Task Force (Task Force) and adopted a resolution forming the Task Force, respectively.  The purpose of the Task Force was to examine the land development permitting process and identify opportunities for operational improvements that will result in efficiencies in the permitting process.  This item includes the Task Force’s final report which contains a description of the methodology used to evaluate the process, the findings made and the recommendations proposed to improve the land development permitting process.</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Some recommendations suggested by the Task Force would result in a fiscal impact.</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rsidP="00F8041A">
                    <w:pPr>
                      <w:pStyle w:val="BLTemplate"/>
                      <w:keepNext/>
                      <w:jc w:val="center"/>
                      <w:rPr>
                        <w:b/>
                      </w:rPr>
                    </w:pPr>
                  </w:p>
                </w:tc>
                <w:customXml w:uri="regular-agenda-item" w:element="HEADER">
                  <w:tc>
                    <w:tcPr>
                      <w:tcW w:w="8496" w:type="dxa"/>
                      <w:gridSpan w:val="2"/>
                      <w:vAlign w:val="bottom"/>
                    </w:tcPr>
                    <w:p w:rsidR="00690459" w:rsidRDefault="00690459" w:rsidP="00F8041A">
                      <w:pPr>
                        <w:pStyle w:val="BLTemplate"/>
                        <w:keepNext/>
                      </w:pPr>
                      <w:r>
                        <w:rPr>
                          <w:b/>
                        </w:rPr>
                        <w:t>RECOMMENDATION:</w:t>
                      </w:r>
                    </w:p>
                  </w:tc>
                </w:customXml>
              </w:tr>
            </w:customXml>
            <w:customXml w:uri="regular-agenda-item" w:element="DETAILS_ROW">
              <w:tr w:rsidR="00690459" w:rsidTr="00391A34">
                <w:tc>
                  <w:tcPr>
                    <w:tcW w:w="864" w:type="dxa"/>
                  </w:tcPr>
                  <w:p w:rsidR="00690459" w:rsidRDefault="00690459" w:rsidP="00F8041A">
                    <w:pPr>
                      <w:pStyle w:val="BLTemplate"/>
                      <w:keepNext/>
                      <w:jc w:val="center"/>
                      <w:rPr>
                        <w:b/>
                      </w:rPr>
                    </w:pPr>
                  </w:p>
                </w:tc>
                <w:customXml w:uri="regular-agenda-item" w:element="HEADER">
                  <w:tc>
                    <w:tcPr>
                      <w:tcW w:w="8496" w:type="dxa"/>
                      <w:gridSpan w:val="2"/>
                    </w:tcPr>
                    <w:p w:rsidR="00F818D2" w:rsidRDefault="001313E7" w:rsidP="00F8041A">
                      <w:pPr>
                        <w:pStyle w:val="BLTemplate"/>
                        <w:keepNext/>
                      </w:pPr>
                      <w:r>
                        <w:rPr>
                          <w:rStyle w:val="BoldCOB"/>
                        </w:rPr>
                        <w:t>CHIEF ADMINISTRATIVE OFFICER</w:t>
                      </w:r>
                    </w:p>
                    <w:p w:rsidR="00F818D2" w:rsidRDefault="001313E7" w:rsidP="00F8041A">
                      <w:pPr>
                        <w:pStyle w:val="NumberListCOB"/>
                        <w:keepNext/>
                      </w:pPr>
                      <w:r>
                        <w:t>Receive the report entitled “Red Tape Reduction Task Force, Report to the Board of Supervisors”.</w:t>
                      </w:r>
                    </w:p>
                    <w:p w:rsidR="00F818D2" w:rsidRDefault="001313E7" w:rsidP="00F8041A">
                      <w:pPr>
                        <w:pStyle w:val="NumberListCOB"/>
                        <w:keepNext/>
                      </w:pPr>
                      <w:r>
                        <w:t xml:space="preserve">Direct staff to implement the shaded recommendations contained in </w:t>
                      </w:r>
                      <w:r w:rsidR="00F8041A">
                        <w:t xml:space="preserve">    </w:t>
                      </w:r>
                      <w:r>
                        <w:t>Attachment B.</w:t>
                      </w:r>
                    </w:p>
                    <w:p w:rsidR="00F818D2" w:rsidRPr="009C3DDE" w:rsidRDefault="001313E7" w:rsidP="00F8041A">
                      <w:pPr>
                        <w:pStyle w:val="NumberListCOB"/>
                        <w:keepNext/>
                      </w:pPr>
                      <w:r>
                        <w:t>Direct staff to evaluate the remaining recommendations and to return to the Board in 30 days.</w:t>
                      </w:r>
                      <w:r w:rsidR="006D2224" w:rsidRPr="009C3DDE">
                        <w:rPr>
                          <w:vanish/>
                        </w:rPr>
                        <w:fldChar w:fldCharType="begin"/>
                      </w:r>
                      <w:r w:rsidRPr="009C3DDE">
                        <w:rPr>
                          <w:vanish/>
                        </w:rPr>
                        <w:instrText xml:space="preserve"> LISTNUM  \l 1 \s 0 </w:instrText>
                      </w:r>
                      <w:r w:rsidR="006D2224" w:rsidRPr="009C3DDE">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D9400C" w:rsidRDefault="00F8041A" w:rsidP="00BE12B5">
                      <w:pPr>
                        <w:pStyle w:val="HangingIndent"/>
                        <w:keepLines/>
                        <w:tabs>
                          <w:tab w:val="clear" w:pos="5760"/>
                          <w:tab w:val="clear" w:pos="6480"/>
                          <w:tab w:val="clear" w:pos="7200"/>
                          <w:tab w:val="clear" w:pos="7920"/>
                          <w:tab w:val="clear" w:pos="8640"/>
                        </w:tabs>
                        <w:ind w:left="0" w:firstLine="0"/>
                      </w:pPr>
                      <w:r>
                        <w:t>ON MOTION of Supervisor</w:t>
                      </w:r>
                      <w:r w:rsidR="00D9400C">
                        <w:t xml:space="preserve"> Jacob</w:t>
                      </w:r>
                      <w:r>
                        <w:t>, seconded by Supervisor</w:t>
                      </w:r>
                      <w:r w:rsidR="008754AD">
                        <w:t xml:space="preserve"> Cox</w:t>
                      </w:r>
                      <w:r w:rsidR="003D6050" w:rsidRPr="00906D8C">
                        <w:t>,</w:t>
                      </w:r>
                      <w:r w:rsidR="00D9400C">
                        <w:t xml:space="preserve"> the Board took the following actions:</w:t>
                      </w:r>
                    </w:p>
                    <w:p w:rsidR="00D9400C" w:rsidRDefault="00D9400C" w:rsidP="00D9400C">
                      <w:pPr>
                        <w:pStyle w:val="NumberListCOB"/>
                        <w:keepNext/>
                      </w:pPr>
                      <w:r>
                        <w:t>Receive</w:t>
                      </w:r>
                      <w:r w:rsidR="0081016B">
                        <w:t>d</w:t>
                      </w:r>
                      <w:r>
                        <w:t xml:space="preserve"> the report entitled “Red Tape Reduction Task Force, Report to the Board of Supervisors”.</w:t>
                      </w:r>
                    </w:p>
                    <w:p w:rsidR="00D9400C" w:rsidRDefault="00D9400C" w:rsidP="00D9400C">
                      <w:pPr>
                        <w:pStyle w:val="NumberListCOB"/>
                        <w:keepNext/>
                      </w:pPr>
                      <w:r>
                        <w:t>Direct</w:t>
                      </w:r>
                      <w:r w:rsidR="0081016B">
                        <w:t>ed</w:t>
                      </w:r>
                      <w:r>
                        <w:t xml:space="preserve"> </w:t>
                      </w:r>
                      <w:r w:rsidR="0019337C">
                        <w:t>the Chief Administrative Officer</w:t>
                      </w:r>
                      <w:r>
                        <w:t xml:space="preserve"> to implement the shaded recommendation</w:t>
                      </w:r>
                      <w:r w:rsidR="0019337C">
                        <w:t xml:space="preserve">s contained in </w:t>
                      </w:r>
                      <w:r w:rsidR="00ED1DAF">
                        <w:t>Attachment B:</w:t>
                      </w:r>
                    </w:p>
                    <w:p w:rsidR="00ED1DAF" w:rsidRPr="00A57900" w:rsidRDefault="00ED1DAF" w:rsidP="0019337C">
                      <w:pPr>
                        <w:pStyle w:val="Default"/>
                        <w:ind w:left="648"/>
                        <w:rPr>
                          <w:rFonts w:ascii="Times New Roman" w:hAnsi="Times New Roman" w:cs="Times New Roman"/>
                        </w:rPr>
                      </w:pPr>
                      <w:r w:rsidRPr="00A57900">
                        <w:rPr>
                          <w:rFonts w:ascii="Times New Roman" w:hAnsi="Times New Roman" w:cs="Times New Roman"/>
                        </w:rPr>
                        <w:t xml:space="preserve">Procedures and Training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1. Implement ongoing and consistent staff training to enable planners to recognize unnecessary steps. </w:t>
                      </w:r>
                    </w:p>
                    <w:p w:rsidR="00ED1DAF" w:rsidRPr="00A57900" w:rsidRDefault="00ED1DAF" w:rsidP="0019337C">
                      <w:pPr>
                        <w:pStyle w:val="Default"/>
                        <w:ind w:left="648"/>
                        <w:rPr>
                          <w:rFonts w:ascii="Times New Roman" w:hAnsi="Times New Roman" w:cs="Times New Roman"/>
                        </w:rPr>
                      </w:pPr>
                      <w:r w:rsidRPr="00A57900">
                        <w:rPr>
                          <w:rFonts w:ascii="Times New Roman" w:hAnsi="Times New Roman" w:cs="Times New Roman"/>
                        </w:rPr>
                        <w:t xml:space="preserve">2. Establish an ongoing training and mentoring program for employees.  </w:t>
                      </w:r>
                    </w:p>
                    <w:p w:rsidR="00ED1DAF" w:rsidRPr="00A57900" w:rsidRDefault="00ED1DAF" w:rsidP="0019337C">
                      <w:pPr>
                        <w:pStyle w:val="Default"/>
                        <w:ind w:left="648"/>
                        <w:rPr>
                          <w:rFonts w:ascii="Times New Roman" w:hAnsi="Times New Roman" w:cs="Times New Roman"/>
                        </w:rPr>
                      </w:pPr>
                    </w:p>
                    <w:p w:rsidR="00ED1DAF" w:rsidRPr="00A57900" w:rsidRDefault="00ED1DAF" w:rsidP="0019337C">
                      <w:pPr>
                        <w:pStyle w:val="Default"/>
                        <w:ind w:left="648"/>
                        <w:rPr>
                          <w:rFonts w:ascii="Times New Roman" w:hAnsi="Times New Roman" w:cs="Times New Roman"/>
                        </w:rPr>
                      </w:pPr>
                      <w:r w:rsidRPr="00A57900">
                        <w:rPr>
                          <w:rFonts w:ascii="Times New Roman" w:hAnsi="Times New Roman" w:cs="Times New Roman"/>
                        </w:rPr>
                        <w:t>Service First Initiative/</w:t>
                      </w:r>
                      <w:proofErr w:type="spellStart"/>
                      <w:r w:rsidRPr="00A57900">
                        <w:rPr>
                          <w:rFonts w:ascii="Times New Roman" w:hAnsi="Times New Roman" w:cs="Times New Roman"/>
                        </w:rPr>
                        <w:t>Citygate</w:t>
                      </w:r>
                      <w:proofErr w:type="spellEnd"/>
                      <w:r w:rsidRPr="00A57900">
                        <w:rPr>
                          <w:rFonts w:ascii="Times New Roman" w:hAnsi="Times New Roman" w:cs="Times New Roman"/>
                        </w:rPr>
                        <w:t xml:space="preserve"> Study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1. Customer service must be a top priority in the land development permitting process. </w:t>
                      </w:r>
                    </w:p>
                    <w:p w:rsidR="00ED1DAF" w:rsidRPr="00A57900" w:rsidRDefault="00ED1DAF" w:rsidP="0019337C">
                      <w:pPr>
                        <w:pStyle w:val="Default"/>
                        <w:ind w:left="648"/>
                        <w:rPr>
                          <w:rFonts w:ascii="Times New Roman" w:hAnsi="Times New Roman" w:cs="Times New Roman"/>
                        </w:rPr>
                      </w:pPr>
                      <w:r w:rsidRPr="00A57900">
                        <w:rPr>
                          <w:rFonts w:ascii="Times New Roman" w:hAnsi="Times New Roman" w:cs="Times New Roman"/>
                        </w:rPr>
                        <w:t xml:space="preserve">2. Establish an ongoing customer service training program.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3. Assign project managers to project applications early in the process and have them remain as the customer’s go-to person on ALL aspects of the project through completion.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4. Develop a LUEG-wide sense of urgency and timeliness of development processes; encourage, support and promote staff that embraces this philosophy.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5. Eliminate multiple “bites of the apple” during the development review permitting process. (A specific proposal for defining the scope of additional and subsequent reviews is defined in Attachment A.)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6. Complete the implementation of the new permitting system (</w:t>
                      </w:r>
                      <w:proofErr w:type="spellStart"/>
                      <w:r w:rsidRPr="00A57900">
                        <w:rPr>
                          <w:rFonts w:ascii="Times New Roman" w:hAnsi="Times New Roman" w:cs="Times New Roman"/>
                        </w:rPr>
                        <w:t>Accela</w:t>
                      </w:r>
                      <w:proofErr w:type="spellEnd"/>
                      <w:r w:rsidRPr="00A57900">
                        <w:rPr>
                          <w:rFonts w:ascii="Times New Roman" w:hAnsi="Times New Roman" w:cs="Times New Roman"/>
                        </w:rPr>
                        <w:t xml:space="preserve">) and maintain the program.  </w:t>
                      </w:r>
                    </w:p>
                    <w:p w:rsidR="00ED1DAF" w:rsidRPr="00A57900" w:rsidRDefault="00ED1DAF" w:rsidP="0019337C">
                      <w:pPr>
                        <w:pStyle w:val="NumberListCOB"/>
                        <w:keepNext/>
                        <w:numPr>
                          <w:ilvl w:val="0"/>
                          <w:numId w:val="0"/>
                        </w:numPr>
                        <w:spacing w:after="0"/>
                        <w:ind w:left="648"/>
                        <w:rPr>
                          <w:szCs w:val="24"/>
                        </w:rPr>
                      </w:pPr>
                    </w:p>
                    <w:p w:rsidR="00ED1DAF" w:rsidRPr="00A57900" w:rsidRDefault="00ED1DAF" w:rsidP="0019337C">
                      <w:pPr>
                        <w:pStyle w:val="Default"/>
                        <w:ind w:left="648"/>
                        <w:rPr>
                          <w:rFonts w:ascii="Times New Roman" w:hAnsi="Times New Roman" w:cs="Times New Roman"/>
                        </w:rPr>
                      </w:pPr>
                      <w:r w:rsidRPr="00A57900">
                        <w:rPr>
                          <w:rFonts w:ascii="Times New Roman" w:hAnsi="Times New Roman" w:cs="Times New Roman"/>
                        </w:rPr>
                        <w:t xml:space="preserve">Incentives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1. Empower and reward those employees who demonstrate results within and across divisional and departmental lines. (3.6)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2. Look for ways to provide additional performance incentives for staff recognition (e.g., processing a project quickly and taking it to a decision-making body). </w:t>
                      </w:r>
                    </w:p>
                    <w:p w:rsidR="00ED1DAF" w:rsidRPr="00A57900" w:rsidRDefault="00ED1DAF" w:rsidP="0019337C">
                      <w:pPr>
                        <w:pStyle w:val="NumberListCOB"/>
                        <w:keepNext/>
                        <w:numPr>
                          <w:ilvl w:val="0"/>
                          <w:numId w:val="0"/>
                        </w:numPr>
                        <w:spacing w:after="0"/>
                        <w:ind w:left="648"/>
                        <w:rPr>
                          <w:szCs w:val="24"/>
                        </w:rPr>
                      </w:pPr>
                    </w:p>
                    <w:p w:rsidR="00ED1DAF" w:rsidRPr="00A57900" w:rsidRDefault="00ED1DAF" w:rsidP="0019337C">
                      <w:pPr>
                        <w:pStyle w:val="NumberListCOB"/>
                        <w:keepNext/>
                        <w:numPr>
                          <w:ilvl w:val="0"/>
                          <w:numId w:val="0"/>
                        </w:numPr>
                        <w:spacing w:after="0"/>
                        <w:ind w:left="648"/>
                        <w:rPr>
                          <w:szCs w:val="24"/>
                        </w:rPr>
                      </w:pPr>
                      <w:r w:rsidRPr="00A57900">
                        <w:rPr>
                          <w:szCs w:val="24"/>
                        </w:rPr>
                        <w:t>Organizational Structure</w:t>
                      </w:r>
                    </w:p>
                    <w:p w:rsidR="00ED1DAF" w:rsidRPr="00A57900" w:rsidRDefault="00ED1DAF" w:rsidP="0019337C">
                      <w:pPr>
                        <w:pStyle w:val="NumberListCOB"/>
                        <w:keepNext/>
                        <w:numPr>
                          <w:ilvl w:val="0"/>
                          <w:numId w:val="0"/>
                        </w:numPr>
                        <w:ind w:left="648"/>
                        <w:rPr>
                          <w:szCs w:val="24"/>
                        </w:rPr>
                      </w:pPr>
                      <w:r w:rsidRPr="00A57900">
                        <w:rPr>
                          <w:szCs w:val="24"/>
                        </w:rPr>
                        <w:t xml:space="preserve">4. Empower the project manager to make decisions. </w:t>
                      </w:r>
                    </w:p>
                    <w:p w:rsidR="00ED1DAF" w:rsidRPr="00A57900" w:rsidRDefault="00ED1DAF" w:rsidP="0019337C">
                      <w:pPr>
                        <w:pStyle w:val="NumberListCOB"/>
                        <w:keepNext/>
                        <w:numPr>
                          <w:ilvl w:val="0"/>
                          <w:numId w:val="0"/>
                        </w:numPr>
                        <w:spacing w:after="0"/>
                        <w:ind w:left="648"/>
                        <w:rPr>
                          <w:szCs w:val="24"/>
                        </w:rPr>
                      </w:pPr>
                      <w:r w:rsidRPr="00A57900">
                        <w:rPr>
                          <w:szCs w:val="24"/>
                        </w:rPr>
                        <w:t xml:space="preserve">Metrics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1. Performance measures need to address project timelines, not just the tasks of individual employees.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2. Reduce “task-centric” focus on metrics. Increase focus on project completion or “end-game” metrics. </w:t>
                      </w:r>
                    </w:p>
                    <w:p w:rsidR="00ED1DAF" w:rsidRPr="00A57900" w:rsidRDefault="00ED1DAF" w:rsidP="0019337C">
                      <w:pPr>
                        <w:pStyle w:val="NumberListCOB"/>
                        <w:keepNext/>
                        <w:numPr>
                          <w:ilvl w:val="0"/>
                          <w:numId w:val="0"/>
                        </w:numPr>
                        <w:spacing w:after="0"/>
                        <w:ind w:left="648"/>
                        <w:rPr>
                          <w:szCs w:val="24"/>
                        </w:rPr>
                      </w:pPr>
                    </w:p>
                    <w:p w:rsidR="00ED1DAF" w:rsidRPr="00A57900" w:rsidRDefault="00ED1DAF" w:rsidP="0019337C">
                      <w:pPr>
                        <w:pStyle w:val="NumberListCOB"/>
                        <w:keepNext/>
                        <w:numPr>
                          <w:ilvl w:val="0"/>
                          <w:numId w:val="0"/>
                        </w:numPr>
                        <w:spacing w:after="0"/>
                        <w:ind w:left="648"/>
                        <w:rPr>
                          <w:szCs w:val="24"/>
                        </w:rPr>
                      </w:pPr>
                      <w:r w:rsidRPr="00A57900">
                        <w:rPr>
                          <w:szCs w:val="24"/>
                        </w:rPr>
                        <w:t>Continuous Improvement</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2. The Board of Supervisors should appoint an external “Audit Committee” to review the performance of the departments involved with development review permitting against the recommendations in the Service First Initiative and this report.</w:t>
                      </w:r>
                    </w:p>
                    <w:p w:rsidR="00ED1DAF" w:rsidRPr="00A57900" w:rsidRDefault="00ED1DAF" w:rsidP="00A57900">
                      <w:pPr>
                        <w:pStyle w:val="NumberListCOB"/>
                        <w:keepNext/>
                        <w:numPr>
                          <w:ilvl w:val="0"/>
                          <w:numId w:val="0"/>
                        </w:numPr>
                        <w:spacing w:after="0"/>
                        <w:ind w:left="1188" w:hanging="270"/>
                        <w:rPr>
                          <w:szCs w:val="24"/>
                        </w:rPr>
                      </w:pPr>
                      <w:r w:rsidRPr="00A57900">
                        <w:rPr>
                          <w:szCs w:val="24"/>
                        </w:rPr>
                        <w:t xml:space="preserve">a. The “Audit Committee” should be comprised of members of the public with experience in land use and land development. </w:t>
                      </w:r>
                    </w:p>
                    <w:p w:rsidR="00ED1DAF" w:rsidRPr="00A57900" w:rsidRDefault="00ED1DAF" w:rsidP="00A57900">
                      <w:pPr>
                        <w:pStyle w:val="NumberListCOB"/>
                        <w:keepNext/>
                        <w:numPr>
                          <w:ilvl w:val="0"/>
                          <w:numId w:val="0"/>
                        </w:numPr>
                        <w:spacing w:after="0"/>
                        <w:ind w:left="1188" w:hanging="270"/>
                        <w:rPr>
                          <w:szCs w:val="24"/>
                        </w:rPr>
                      </w:pPr>
                      <w:r w:rsidRPr="00A57900">
                        <w:rPr>
                          <w:szCs w:val="24"/>
                        </w:rPr>
                        <w:t xml:space="preserve">b. The new department involved with development review permitting should use clear, ongoing, verifiable performance standards (developed in conjunction with the “Audit Committee”) to ensure that the major recommendations are being implemented with focus on project completion. </w:t>
                      </w:r>
                    </w:p>
                    <w:p w:rsidR="00ED1DAF" w:rsidRPr="00A57900" w:rsidRDefault="00ED1DAF" w:rsidP="00A57900">
                      <w:pPr>
                        <w:pStyle w:val="NumberListCOB"/>
                        <w:keepNext/>
                        <w:numPr>
                          <w:ilvl w:val="0"/>
                          <w:numId w:val="0"/>
                        </w:numPr>
                        <w:spacing w:after="0"/>
                        <w:ind w:left="1188" w:hanging="270"/>
                        <w:rPr>
                          <w:szCs w:val="24"/>
                        </w:rPr>
                      </w:pPr>
                      <w:r w:rsidRPr="00A57900">
                        <w:rPr>
                          <w:szCs w:val="24"/>
                        </w:rPr>
                        <w:t>c. The “Audit “Committee” shall meet two or three times per year and report their findings and any follow-up recommendations back to the Board of Supervisors.</w:t>
                      </w:r>
                    </w:p>
                    <w:p w:rsidR="00ED1DAF" w:rsidRPr="00A57900" w:rsidRDefault="00ED1DAF" w:rsidP="00ED1DAF">
                      <w:pPr>
                        <w:pStyle w:val="NumberListCOB"/>
                        <w:keepNext/>
                        <w:numPr>
                          <w:ilvl w:val="0"/>
                          <w:numId w:val="0"/>
                        </w:numPr>
                        <w:spacing w:after="0"/>
                        <w:ind w:left="360"/>
                        <w:rPr>
                          <w:szCs w:val="24"/>
                        </w:rPr>
                      </w:pPr>
                    </w:p>
                    <w:p w:rsidR="00ED1DAF" w:rsidRPr="00A57900" w:rsidRDefault="00ED1DAF" w:rsidP="0019337C">
                      <w:pPr>
                        <w:pStyle w:val="NumberListCOB"/>
                        <w:keepNext/>
                        <w:numPr>
                          <w:ilvl w:val="0"/>
                          <w:numId w:val="0"/>
                        </w:numPr>
                        <w:spacing w:after="0"/>
                        <w:ind w:left="648"/>
                        <w:rPr>
                          <w:szCs w:val="24"/>
                        </w:rPr>
                      </w:pPr>
                      <w:proofErr w:type="spellStart"/>
                      <w:r w:rsidRPr="00A57900">
                        <w:rPr>
                          <w:szCs w:val="24"/>
                        </w:rPr>
                        <w:t>Stormwater</w:t>
                      </w:r>
                      <w:proofErr w:type="spellEnd"/>
                      <w:r w:rsidRPr="00A57900">
                        <w:rPr>
                          <w:szCs w:val="24"/>
                        </w:rPr>
                        <w:t xml:space="preserve"> Priority Projects </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1. Review </w:t>
                      </w:r>
                      <w:proofErr w:type="spellStart"/>
                      <w:r w:rsidRPr="00A57900">
                        <w:rPr>
                          <w:rFonts w:ascii="Times New Roman" w:hAnsi="Times New Roman" w:cs="Times New Roman"/>
                        </w:rPr>
                        <w:t>stormwater</w:t>
                      </w:r>
                      <w:proofErr w:type="spellEnd"/>
                      <w:r w:rsidRPr="00A57900">
                        <w:rPr>
                          <w:rFonts w:ascii="Times New Roman" w:hAnsi="Times New Roman" w:cs="Times New Roman"/>
                        </w:rPr>
                        <w:t xml:space="preserve"> requirements with respect to what constitutes a “priority project” and where possible, provide options to keep smaller, lower-risk projects out of the priority designation. </w:t>
                      </w:r>
                    </w:p>
                    <w:p w:rsidR="00ED1DAF" w:rsidRPr="00A57900" w:rsidRDefault="00ED1DAF" w:rsidP="0019337C">
                      <w:pPr>
                        <w:pStyle w:val="NumberListCOB"/>
                        <w:keepNext/>
                        <w:numPr>
                          <w:ilvl w:val="0"/>
                          <w:numId w:val="0"/>
                        </w:numPr>
                        <w:spacing w:after="0"/>
                        <w:ind w:left="648"/>
                        <w:rPr>
                          <w:szCs w:val="24"/>
                        </w:rPr>
                      </w:pPr>
                    </w:p>
                    <w:p w:rsidR="00ED1DAF" w:rsidRPr="00A57900" w:rsidRDefault="00ED1DAF" w:rsidP="0019337C">
                      <w:pPr>
                        <w:pStyle w:val="NumberListCOB"/>
                        <w:keepNext/>
                        <w:numPr>
                          <w:ilvl w:val="0"/>
                          <w:numId w:val="0"/>
                        </w:numPr>
                        <w:spacing w:after="0"/>
                        <w:ind w:left="648"/>
                        <w:rPr>
                          <w:szCs w:val="24"/>
                        </w:rPr>
                      </w:pPr>
                      <w:r w:rsidRPr="00A57900">
                        <w:rPr>
                          <w:szCs w:val="24"/>
                        </w:rPr>
                        <w:t>General Recommendations</w:t>
                      </w:r>
                    </w:p>
                    <w:p w:rsidR="00ED1DAF" w:rsidRPr="00A57900" w:rsidRDefault="00ED1DAF" w:rsidP="00A57900">
                      <w:pPr>
                        <w:pStyle w:val="Default"/>
                        <w:ind w:left="918" w:hanging="270"/>
                        <w:rPr>
                          <w:rFonts w:ascii="Times New Roman" w:hAnsi="Times New Roman" w:cs="Times New Roman"/>
                        </w:rPr>
                      </w:pPr>
                      <w:r w:rsidRPr="00A57900">
                        <w:rPr>
                          <w:rFonts w:ascii="Times New Roman" w:hAnsi="Times New Roman" w:cs="Times New Roman"/>
                        </w:rPr>
                        <w:t xml:space="preserve">4. Continue to shift as many project approvals as possible to ministerial, through projects such as the Tiered Wineries Ordinance. </w:t>
                      </w:r>
                    </w:p>
                    <w:p w:rsidR="00ED1DAF" w:rsidRPr="00A57900" w:rsidRDefault="00ED1DAF" w:rsidP="00A57900">
                      <w:pPr>
                        <w:pStyle w:val="Default"/>
                        <w:ind w:left="918" w:hanging="270"/>
                        <w:rPr>
                          <w:rFonts w:ascii="Times New Roman" w:hAnsi="Times New Roman" w:cs="Times New Roman"/>
                          <w:sz w:val="23"/>
                          <w:szCs w:val="23"/>
                        </w:rPr>
                      </w:pPr>
                      <w:r w:rsidRPr="00A57900">
                        <w:rPr>
                          <w:rFonts w:ascii="Times New Roman" w:hAnsi="Times New Roman" w:cs="Times New Roman"/>
                        </w:rPr>
                        <w:t>5. The County should support CEQA reform efforts through its legislative program, California State Association of Counties and the California Legislature.</w:t>
                      </w:r>
                    </w:p>
                    <w:p w:rsidR="00ED1DAF" w:rsidRDefault="00ED1DAF" w:rsidP="00B00FC8">
                      <w:pPr>
                        <w:pStyle w:val="NumberListCOB"/>
                        <w:keepNext/>
                        <w:numPr>
                          <w:ilvl w:val="0"/>
                          <w:numId w:val="0"/>
                        </w:numPr>
                        <w:spacing w:after="0"/>
                        <w:ind w:left="360"/>
                      </w:pPr>
                    </w:p>
                    <w:p w:rsidR="003D6050" w:rsidRDefault="00D9400C" w:rsidP="00D9400C">
                      <w:pPr>
                        <w:pStyle w:val="NumberListCOB"/>
                        <w:keepNext/>
                      </w:pPr>
                      <w:r>
                        <w:t>Direct</w:t>
                      </w:r>
                      <w:r w:rsidR="0081016B">
                        <w:t>ed</w:t>
                      </w:r>
                      <w:r>
                        <w:t xml:space="preserve"> </w:t>
                      </w:r>
                      <w:r w:rsidR="00891C68">
                        <w:t xml:space="preserve">the </w:t>
                      </w:r>
                      <w:r w:rsidR="00ED1DAF">
                        <w:t>Chief Administrative Officer</w:t>
                      </w:r>
                      <w:r>
                        <w:t xml:space="preserve"> to evaluate the remaining recommendations</w:t>
                      </w:r>
                      <w:r w:rsidR="00ED1DAF">
                        <w:t xml:space="preserve"> in Attachment B</w:t>
                      </w:r>
                      <w:r>
                        <w:t xml:space="preserve"> and to return to the Board </w:t>
                      </w:r>
                      <w:r w:rsidR="0081016B">
                        <w:t xml:space="preserve">on </w:t>
                      </w:r>
                      <w:r>
                        <w:t>March 28, 2012.</w:t>
                      </w: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19337C" w:rsidRDefault="0019337C" w:rsidP="0019337C">
                      <w:pPr>
                        <w:pStyle w:val="JustifiedCOB"/>
                        <w:spacing w:after="0"/>
                      </w:pPr>
                    </w:p>
                    <w:p w:rsidR="0019337C" w:rsidRDefault="0019337C" w:rsidP="0019337C">
                      <w:pPr>
                        <w:pStyle w:val="JustifiedCOB"/>
                        <w:spacing w:after="0"/>
                      </w:pPr>
                    </w:p>
                    <w:p w:rsidR="0019337C" w:rsidRDefault="0019337C" w:rsidP="0019337C">
                      <w:pPr>
                        <w:pStyle w:val="JustifiedCOB"/>
                        <w:spacing w:after="0"/>
                      </w:pPr>
                    </w:p>
                    <w:p w:rsidR="00B04D85" w:rsidRDefault="00B04D85" w:rsidP="0019337C">
                      <w:pPr>
                        <w:pStyle w:val="JustifiedCOB"/>
                        <w:spacing w:after="0"/>
                      </w:pPr>
                    </w:p>
                    <w:p w:rsidR="003D6050" w:rsidRDefault="003D6050" w:rsidP="0019337C">
                      <w:pPr>
                        <w:pStyle w:val="JustifiedCOB"/>
                        <w:spacing w:after="0"/>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5.</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B80E97">
                      <w:pPr>
                        <w:pStyle w:val="JustifiedCOB"/>
                        <w:jc w:val="left"/>
                      </w:pPr>
                      <w:r>
                        <w:fldChar w:fldCharType="begin"/>
                      </w:r>
                      <w:r w:rsidR="001313E7">
                        <w:instrText xml:space="preserve"> MacroButton NoMacro </w:instrText>
                      </w:r>
                      <w:r>
                        <w:fldChar w:fldCharType="end"/>
                      </w:r>
                      <w:r w:rsidR="001313E7">
                        <w:rPr>
                          <w:b/>
                        </w:rPr>
                        <w:t xml:space="preserve">AGUA CALIENTE SPRINGS AIRPORT – APPLY FOR AND ACCEPT GRANT FUNDS FROM THE CALIFORNIA DEPARTMENT OF TRANSPORTATION, AERONAUTICS DIVISION FOR AIRPORT RUNWAY REHABILITATION PROJECT (DISTRICT: 2)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Agua Caliente Springs Airport is north of Interstate 8, on County Highway S2, 95 miles east of the City of San Diego (57</w:t>
                      </w:r>
                      <w:r w:rsidR="001313E7">
                        <w:rPr>
                          <w:vertAlign w:val="superscript"/>
                        </w:rPr>
                        <w:t>th</w:t>
                      </w:r>
                      <w:r w:rsidR="001313E7">
                        <w:t xml:space="preserve"> Edition Thomas Guide: 1138-B5). </w:t>
                      </w:r>
                      <w:r w:rsidR="00B80E97">
                        <w:t xml:space="preserve"> </w:t>
                      </w:r>
                      <w:r w:rsidR="001313E7">
                        <w:t>The</w:t>
                      </w:r>
                      <w:r w:rsidR="00B80E97">
                        <w:t xml:space="preserve">         </w:t>
                      </w:r>
                      <w:r w:rsidR="001313E7">
                        <w:t xml:space="preserve"> 55-acre airport is within State parklands and serves residents of rural east San Diego County and visitors to Agua Caliente Hot Springs County Park. The airport is within a short walk to the County park, which features geothermal springs and pools, hiking trails and panoramic vistas. A single, paved runway, paved tie-down area and vehicular parking are the only facilities currently available on the site. </w:t>
                      </w:r>
                    </w:p>
                    <w:p w:rsidR="00F818D2" w:rsidRDefault="001313E7">
                      <w:pPr>
                        <w:pStyle w:val="JustifiedCOB"/>
                      </w:pPr>
                      <w:r>
                        <w:t xml:space="preserve">The State Department of Transportation, Aeronautics Division, is now prepared to offer a grant of up to $499,000 for the Agua Caliente Springs Airport Runway Rehabilitation Project (Project). The existing runway surface at Agua Caliente Springs Airport consists of simple compacted decomposed granite. This Project would provide a new asphalt concrete surface which will enhance the service level for pilots using the facility. Total Project cost is estimated to be $800,000. The State grant would provide 90 percent of the Project cost or up to $499,000 whichever is less. The State has requested adoption of a new form of resolution specifically for this project. </w:t>
                      </w:r>
                    </w:p>
                    <w:p w:rsidR="00F818D2" w:rsidRDefault="001313E7">
                      <w:pPr>
                        <w:pStyle w:val="JustifiedCOB"/>
                      </w:pPr>
                      <w:r>
                        <w:t>This is a request to adopt a resolution that authorizes filing the application for the Project in the Fiscal Year 2012-13 Aeronautics Program. The resolution would authorize the Director of Airports, Department of Public Works, to negotiate and execute the grant agreement and any other documents required to obtain and administer the grant and Project. This item is also a request to amend the current year spending plan by $200,000 for design of the Agua Caliente Springs Airport Runway Rehabilitation Project.</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19337C" w:rsidRDefault="006D2224">
                      <w:pPr>
                        <w:pStyle w:val="JustifiedCOB"/>
                      </w:pPr>
                      <w:r>
                        <w:fldChar w:fldCharType="begin"/>
                      </w:r>
                      <w:r w:rsidR="001313E7">
                        <w:instrText xml:space="preserve"> MacroButton NoMacro </w:instrText>
                      </w:r>
                      <w:r>
                        <w:fldChar w:fldCharType="end"/>
                      </w:r>
                      <w:r w:rsidR="001313E7">
                        <w:t xml:space="preserve">Funds for this request are not included in the Fiscal Year 2011-12 Operational Plan for the Airport Enterprise Fund. Total project cost is estimated at $800,000. If approved, this request will result in current year costs of $200,000 for design of the Agua Caliente Springs Airport Runway Rehabilitation Project. </w:t>
                      </w:r>
                      <w:r w:rsidR="00B80E97">
                        <w:t xml:space="preserve"> </w:t>
                      </w:r>
                      <w:r w:rsidR="001313E7">
                        <w:t xml:space="preserve">The funding sources are appropriations transfer from services and supplies, Major Maintenance ($150,000) and Airport Enterprise Fund </w:t>
                      </w:r>
                      <w:proofErr w:type="spellStart"/>
                      <w:r w:rsidR="001313E7">
                        <w:t>fund</w:t>
                      </w:r>
                      <w:proofErr w:type="spellEnd"/>
                      <w:r w:rsidR="001313E7">
                        <w:t xml:space="preserve"> balance available ($50,000). </w:t>
                      </w:r>
                      <w:r w:rsidR="00B80E97">
                        <w:t xml:space="preserve"> </w:t>
                      </w:r>
                      <w:r w:rsidR="001313E7">
                        <w:t xml:space="preserve">If grant funds are awarded, the Department of Public Works will return to the Board at a later date to establish appropriations and request approval to advertise and award a construction contract for the Agua Caliente Springs Airport Runway Rehabilitation project. Estimated cost is $600,000. The funding sources will be a grant from the State Department of Transportation, Aeronautics Division ($499,000) and Airport </w:t>
                      </w:r>
                    </w:p>
                    <w:p w:rsidR="0019337C" w:rsidRDefault="0019337C" w:rsidP="0019337C">
                      <w:pPr>
                        <w:pStyle w:val="JustifiedCOB"/>
                        <w:spacing w:after="0"/>
                      </w:pPr>
                    </w:p>
                    <w:p w:rsidR="00F818D2" w:rsidRDefault="001313E7">
                      <w:pPr>
                        <w:pStyle w:val="JustifiedCOB"/>
                      </w:pPr>
                      <w:r>
                        <w:t xml:space="preserve">Enterprise Fund </w:t>
                      </w:r>
                      <w:proofErr w:type="spellStart"/>
                      <w:r>
                        <w:t>fund</w:t>
                      </w:r>
                      <w:proofErr w:type="spellEnd"/>
                      <w:r>
                        <w:t xml:space="preserve"> balance available ($101,000). There will be no change in net General Fund cost and no additional staff years.</w:t>
                      </w:r>
                      <w:r>
                        <w:rPr>
                          <w:vanish/>
                        </w:rPr>
                        <w:t xml:space="preserve"> </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pPr>
                        <w:pStyle w:val="NumberListCOB"/>
                      </w:pPr>
                      <w:r>
                        <w:t>Find in accordance with Section 15060(c</w:t>
                      </w:r>
                      <w:proofErr w:type="gramStart"/>
                      <w:r>
                        <w:t>)(</w:t>
                      </w:r>
                      <w:proofErr w:type="gramEnd"/>
                      <w:r>
                        <w:t xml:space="preserve">2) of the California Environmental Quality Act (CEQA) Guidelines that the application for and acceptance of grant funding is exempt from CEQA review because it will not result in a direct or reasonably foreseeable indirect physical change in the environment. </w:t>
                      </w:r>
                    </w:p>
                    <w:p w:rsidR="00F818D2" w:rsidRDefault="001313E7">
                      <w:pPr>
                        <w:pStyle w:val="NumberListCOB"/>
                      </w:pPr>
                      <w:r>
                        <w:t>Adopt the Resolution entitled</w:t>
                      </w:r>
                      <w:r w:rsidR="00B80E97">
                        <w:t xml:space="preserve">: </w:t>
                      </w:r>
                      <w:r>
                        <w:t xml:space="preserve"> RESOLUTION OF THE SAN DIEGO COUNTY BOARD OF SUPERVISORS AUTHORIZING THE SUBMITTAL OF AN APPLICATION, ACCEPTANCE OF AN ALLOCATION OF FUNDS AND EXECUTION OF A GRANT AGREEMENT WITH THE CALIFORNIA DEPARTMENT OF TRANSPORTATION, FOR AN ACQUISITION &amp; DEVELOPMENT GRANT FOR THE AGUA CALIENTE SPRINGS AIRPORT, AND CERTIFYING AVAILABILITY OF THE COUNTY’S SHARE OF MATCHING FUNDS.</w:t>
                      </w:r>
                    </w:p>
                    <w:p w:rsidR="00F818D2" w:rsidRDefault="001313E7">
                      <w:pPr>
                        <w:pStyle w:val="NumberListCOB"/>
                      </w:pPr>
                      <w:r>
                        <w:t xml:space="preserve">Amend the Fiscal Year 2011-12 Airport Enterprise Fund Spending Plan by transferring appropriations of $150,000 from services and supplies, Major Maintenance, to the Agua Caliente Springs Airport Runway Rehabilitation Project for project design. </w:t>
                      </w:r>
                    </w:p>
                    <w:p w:rsidR="00F818D2" w:rsidRDefault="001313E7">
                      <w:pPr>
                        <w:pStyle w:val="NumberListCOB"/>
                      </w:pPr>
                      <w:r>
                        <w:t xml:space="preserve">Amend the Fiscal Year 2011-12 Airport Enterprise Fund Spending Plan in the amount of $50,000 for design of the Agua Caliente Springs Airport Runway Rehabilitation Project based on fund balance available ($50,000). </w:t>
                      </w:r>
                    </w:p>
                    <w:p w:rsidR="00F818D2" w:rsidRPr="009C3DDE" w:rsidRDefault="001313E7" w:rsidP="009C3DDE">
                      <w:pPr>
                        <w:pStyle w:val="NumberListCOB"/>
                      </w:pPr>
                      <w:r>
                        <w:t>Authorize the Director of Airports, Department of Public Works, to negotiate and execute the grant agreement and any other documents required to obtain and administer the grant and Project.</w:t>
                      </w:r>
                      <w:r w:rsidR="006D2224" w:rsidRPr="009C3DDE">
                        <w:rPr>
                          <w:vanish/>
                        </w:rPr>
                        <w:fldChar w:fldCharType="begin"/>
                      </w:r>
                      <w:r w:rsidRPr="009C3DDE">
                        <w:rPr>
                          <w:vanish/>
                        </w:rPr>
                        <w:instrText xml:space="preserve"> LISTNUM  \l 1 \s 0 </w:instrText>
                      </w:r>
                      <w:r w:rsidR="006D2224" w:rsidRPr="009C3DDE">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 adopting Resolution No. 12-</w:t>
                      </w:r>
                      <w:r>
                        <w:t>021</w:t>
                      </w:r>
                      <w:r w:rsidR="003D6050">
                        <w:t>, entitled: RESOLUTION OF THE SAN DIEGO COUNTY BOARD OF SUPERVISORS AUTHORIZING THE SUBMITTAL OF AN APPLICATION, ACCEPTANCE OF AN ALLOCATION OF FUNDS AND EXECUTION OF A GRANT AGREEMENT WITH THE CALIFORN</w:t>
                      </w:r>
                      <w:r w:rsidR="002357A4">
                        <w:t>IA DEPARTMENT OF TRANSPORTATION</w:t>
                      </w:r>
                      <w:r w:rsidR="003D6050">
                        <w:t xml:space="preserve"> FOR AN ACQUISITION &amp; DEVELOPMENT GRANT FOR THE AGUA CALIENTE SPRINGS AIRPORT, AND CERTIFYING AVAILABILITY OF THE COUNTY’S SHARE OF MATCHING FUNDS.</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19337C">
                      <w:pPr>
                        <w:pStyle w:val="HangingIndent"/>
                        <w:keepLines/>
                        <w:tabs>
                          <w:tab w:val="clear" w:pos="5760"/>
                          <w:tab w:val="clear" w:pos="6480"/>
                          <w:tab w:val="clear" w:pos="7200"/>
                          <w:tab w:val="clear" w:pos="7920"/>
                          <w:tab w:val="clear" w:pos="8640"/>
                        </w:tabs>
                        <w:ind w:left="0" w:firstLine="0"/>
                      </w:pPr>
                      <w:r>
                        <w:t>AYES:  Cox, Jacob, Slater-Price, Roberts, Horn</w:t>
                      </w: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6.</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B80E97">
                      <w:pPr>
                        <w:pStyle w:val="JustifiedCOB"/>
                        <w:jc w:val="left"/>
                      </w:pPr>
                      <w:r>
                        <w:fldChar w:fldCharType="begin"/>
                      </w:r>
                      <w:r w:rsidR="001313E7">
                        <w:instrText xml:space="preserve"> MacroButton NoMacro </w:instrText>
                      </w:r>
                      <w:r>
                        <w:fldChar w:fldCharType="end"/>
                      </w:r>
                      <w:r w:rsidR="001313E7">
                        <w:rPr>
                          <w:b/>
                        </w:rPr>
                        <w:t xml:space="preserve">JACUMBA AIRPORT – APPLY FOR AND ACCEPT GRANT FUNDS FROM THE CALIFORNIA DEPARTMENT OF TRANSPORTATION, AERONAUTICS DIVISION FOR AIRPORT RUNWAY REHABILITATION PROJECT (DISTRICT: 2)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The </w:t>
                      </w:r>
                      <w:proofErr w:type="spellStart"/>
                      <w:r w:rsidR="001313E7">
                        <w:t>Jacumba</w:t>
                      </w:r>
                      <w:proofErr w:type="spellEnd"/>
                      <w:r w:rsidR="001313E7">
                        <w:t xml:space="preserve"> Airport is on Old Highway 80, one mile east of </w:t>
                      </w:r>
                      <w:proofErr w:type="spellStart"/>
                      <w:r w:rsidR="001313E7">
                        <w:t>Jacumba</w:t>
                      </w:r>
                      <w:proofErr w:type="spellEnd"/>
                      <w:r w:rsidR="001313E7">
                        <w:t xml:space="preserve"> and 75 miles east of the City of San Diego (57</w:t>
                      </w:r>
                      <w:r w:rsidR="001313E7">
                        <w:rPr>
                          <w:vertAlign w:val="superscript"/>
                        </w:rPr>
                        <w:t>th</w:t>
                      </w:r>
                      <w:r w:rsidR="001313E7">
                        <w:t xml:space="preserve"> Edition Thomas Guide: page 1300, G5). The airport is unattended and unlighted. </w:t>
                      </w:r>
                      <w:r w:rsidR="00BA43F0">
                        <w:t xml:space="preserve"> </w:t>
                      </w:r>
                      <w:r w:rsidR="001313E7">
                        <w:t xml:space="preserve">The airport is mainly used as a glider facility by single-engine aircraft and sailplanes. </w:t>
                      </w:r>
                      <w:r w:rsidR="00BA43F0">
                        <w:t xml:space="preserve"> </w:t>
                      </w:r>
                      <w:r w:rsidR="001313E7">
                        <w:t xml:space="preserve">Aircraft activity is most predominant on the weekends between Labor Day and Memorial Day. </w:t>
                      </w:r>
                      <w:r w:rsidR="00BA43F0">
                        <w:t xml:space="preserve"> </w:t>
                      </w:r>
                      <w:r w:rsidR="001313E7">
                        <w:t xml:space="preserve">The existing runway surface at </w:t>
                      </w:r>
                      <w:proofErr w:type="spellStart"/>
                      <w:r w:rsidR="001313E7">
                        <w:t>Jacumba</w:t>
                      </w:r>
                      <w:proofErr w:type="spellEnd"/>
                      <w:r w:rsidR="001313E7">
                        <w:t xml:space="preserve"> Airport consists of simple compacted decomposed granite. </w:t>
                      </w:r>
                    </w:p>
                    <w:p w:rsidR="00F818D2" w:rsidRDefault="001313E7">
                      <w:pPr>
                        <w:pStyle w:val="JustifiedCOB"/>
                      </w:pPr>
                      <w:r>
                        <w:t xml:space="preserve">The State Department of Transportation, Aeronautics Division, is now prepared to offer a grant of up to $383,000 for the </w:t>
                      </w:r>
                      <w:proofErr w:type="spellStart"/>
                      <w:r>
                        <w:t>Jacumba</w:t>
                      </w:r>
                      <w:proofErr w:type="spellEnd"/>
                      <w:r>
                        <w:t xml:space="preserve"> Airport Runway Rehabilitation Project (Project). </w:t>
                      </w:r>
                      <w:r w:rsidR="00BA43F0">
                        <w:t xml:space="preserve"> </w:t>
                      </w:r>
                      <w:r>
                        <w:t xml:space="preserve">Total Project cost is estimated to be $425,000. </w:t>
                      </w:r>
                      <w:r w:rsidR="00BA43F0">
                        <w:t xml:space="preserve"> </w:t>
                      </w:r>
                      <w:r>
                        <w:t>The State would pay 90 percent of the Project cost; however, the State has requested adoption of a new form of resolution specifically for this Project.</w:t>
                      </w:r>
                    </w:p>
                    <w:p w:rsidR="00F818D2" w:rsidRDefault="001313E7">
                      <w:pPr>
                        <w:pStyle w:val="JustifiedCOB"/>
                      </w:pPr>
                      <w:r>
                        <w:t xml:space="preserve">This is a request to adopt a resolution that authorizes application for the </w:t>
                      </w:r>
                      <w:proofErr w:type="spellStart"/>
                      <w:r>
                        <w:t>Jacumba</w:t>
                      </w:r>
                      <w:proofErr w:type="spellEnd"/>
                      <w:r>
                        <w:t xml:space="preserve"> Airport Runway Rehabilitation Project in the Fiscal Year 2013-14 Aeronautics Program. Adoption of the resolution would also authorize the Director of Airports, Department of Public Works, to negotiate and execute the grant agreement and any other documents required to obtain and administer the grant and Project.</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There is no direct fiscal impact as a result of today’s requested actions. </w:t>
                      </w:r>
                      <w:r w:rsidR="00BA43F0">
                        <w:t xml:space="preserve"> </w:t>
                      </w:r>
                      <w:r w:rsidR="001313E7">
                        <w:t xml:space="preserve">If grant funds are awarded, the Department of Public Works will return to the Board at a later date to appropriate funding for the </w:t>
                      </w:r>
                      <w:proofErr w:type="spellStart"/>
                      <w:r w:rsidR="001313E7">
                        <w:t>Jacumba</w:t>
                      </w:r>
                      <w:proofErr w:type="spellEnd"/>
                      <w:r w:rsidR="001313E7">
                        <w:t xml:space="preserve"> Airport Runway Rehabilitation Project based on grant funding, with a 10 percent match from the Airport Enterprise Fund. </w:t>
                      </w:r>
                      <w:r w:rsidR="00BA43F0">
                        <w:t xml:space="preserve"> </w:t>
                      </w:r>
                      <w:r w:rsidR="001313E7">
                        <w:t>There will be no change in net General Fund cost and no additional staff years.</w:t>
                      </w:r>
                      <w:r w:rsidR="001313E7">
                        <w:rPr>
                          <w:vanish/>
                        </w:rPr>
                        <w:t xml:space="preserve"> </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rsidP="0019337C">
                      <w:pPr>
                        <w:pStyle w:val="NumberListCOB"/>
                        <w:spacing w:after="0"/>
                      </w:pPr>
                      <w:r>
                        <w:t>Find in accordance with Section 15060(c</w:t>
                      </w:r>
                      <w:proofErr w:type="gramStart"/>
                      <w:r>
                        <w:t>)(</w:t>
                      </w:r>
                      <w:proofErr w:type="gramEnd"/>
                      <w:r>
                        <w:t xml:space="preserve">2) of the California Environmental Quality Act (CEQA) Guidelines that the application for and acceptance of grant funding is exempt from CEQA review because it will not result in a direct or reasonably foreseeable indirect physical change in the environment. </w:t>
                      </w:r>
                    </w:p>
                    <w:p w:rsidR="0019337C" w:rsidRDefault="0019337C" w:rsidP="0019337C">
                      <w:pPr>
                        <w:pStyle w:val="NumberListCOB"/>
                        <w:numPr>
                          <w:ilvl w:val="0"/>
                          <w:numId w:val="0"/>
                        </w:numPr>
                        <w:spacing w:after="0"/>
                        <w:ind w:left="360"/>
                      </w:pPr>
                    </w:p>
                    <w:p w:rsidR="0019337C" w:rsidRDefault="0019337C" w:rsidP="0019337C">
                      <w:pPr>
                        <w:pStyle w:val="NumberListCOB"/>
                        <w:numPr>
                          <w:ilvl w:val="0"/>
                          <w:numId w:val="0"/>
                        </w:numPr>
                        <w:spacing w:after="0"/>
                        <w:ind w:left="360"/>
                      </w:pPr>
                    </w:p>
                    <w:p w:rsidR="0019337C" w:rsidRDefault="0019337C" w:rsidP="0019337C">
                      <w:pPr>
                        <w:pStyle w:val="NumberListCOB"/>
                        <w:numPr>
                          <w:ilvl w:val="0"/>
                          <w:numId w:val="0"/>
                        </w:numPr>
                        <w:spacing w:after="0"/>
                        <w:ind w:left="360"/>
                      </w:pPr>
                    </w:p>
                    <w:p w:rsidR="0019337C" w:rsidRDefault="0019337C" w:rsidP="0019337C">
                      <w:pPr>
                        <w:pStyle w:val="NumberListCOB"/>
                        <w:numPr>
                          <w:ilvl w:val="0"/>
                          <w:numId w:val="0"/>
                        </w:numPr>
                        <w:spacing w:after="0"/>
                        <w:ind w:left="360"/>
                      </w:pPr>
                    </w:p>
                    <w:p w:rsidR="0019337C" w:rsidRDefault="0019337C" w:rsidP="0019337C">
                      <w:pPr>
                        <w:pStyle w:val="NumberListCOB"/>
                        <w:numPr>
                          <w:ilvl w:val="0"/>
                          <w:numId w:val="0"/>
                        </w:numPr>
                        <w:spacing w:after="0"/>
                        <w:ind w:left="360"/>
                      </w:pPr>
                    </w:p>
                    <w:p w:rsidR="00F818D2" w:rsidRDefault="001313E7">
                      <w:pPr>
                        <w:pStyle w:val="NumberListCOB"/>
                      </w:pPr>
                      <w:r>
                        <w:t>Adopt the Resolution entitled</w:t>
                      </w:r>
                      <w:r w:rsidR="00B80E97">
                        <w:t xml:space="preserve">: </w:t>
                      </w:r>
                      <w:r>
                        <w:t xml:space="preserve"> RESOLUTION OF THE SAN DIEGO COUNTY BOARD OF SUPERVISORS AUTHORIZING THE SUBMITTAL OF AN APPLICATION, ACCEPTANCE OF AN ALLOCATION OF FUNDS AND EXECUTION OF A GRANT AGREEMENT WITH THE CALIFORNIA DEPARTMENT OF TRANSPORTATION FOR AN ACQUISITION &amp; DEVELOPMENT GRANT FOR THE JACUMBA AIRPORT, AND CERTIFYING AVAILABILITY OF THE COUNTY’S SHARE OF MATCHING FUNDS.</w:t>
                      </w:r>
                    </w:p>
                    <w:p w:rsidR="00F818D2" w:rsidRPr="009C3DDE" w:rsidRDefault="001313E7" w:rsidP="009C3DDE">
                      <w:pPr>
                        <w:pStyle w:val="NumberListCOB"/>
                      </w:pPr>
                      <w:r>
                        <w:t>Authorize the Director of Airports, Department of Public Works, to negotiate and execute the grant agreement and any other documents required to obtain and administer the grant and Project.</w:t>
                      </w:r>
                      <w:r w:rsidR="006D2224" w:rsidRPr="009C3DDE">
                        <w:rPr>
                          <w:vanish/>
                        </w:rPr>
                        <w:fldChar w:fldCharType="begin"/>
                      </w:r>
                      <w:r w:rsidRPr="009C3DDE">
                        <w:rPr>
                          <w:vanish/>
                        </w:rPr>
                        <w:instrText xml:space="preserve"> LISTNUM  \l 1 \s 0 </w:instrText>
                      </w:r>
                      <w:r w:rsidR="006D2224" w:rsidRPr="009C3DDE">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9C3DDE">
                        <w:t>, adopting Resolution No. 12-</w:t>
                      </w:r>
                      <w:r>
                        <w:t>022</w:t>
                      </w:r>
                      <w:r w:rsidR="009C3DDE">
                        <w:t>, entitled: RESOLUTION OF THE SAN DIEGO COUNTY BOARD OF SUPERVISORS AUTHORIZING THE SUBMITTAL OF AN APPLICATION, ACCEPTANCE OF AN ALLOCATION OF FUNDS AND EXECUTION OF A GRANT AGREEMENT WITH THE CALIFORNIA DEPARTMENT OF TRANSPORTATION FOR AN ACQUISITION &amp; DEVELOPMENT GRANT FOR THE JACUMBA AIRPORT, AND CERTIFYING AVAILABILITY OF THE COUNTY’S SHARE OF MATCHING FUNDS.</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rsidP="0019337C">
                      <w:pPr>
                        <w:pStyle w:val="BLTemplate"/>
                        <w:jc w:val="center"/>
                        <w:rPr>
                          <w:b/>
                        </w:rPr>
                      </w:pPr>
                      <w:r>
                        <w:rPr>
                          <w:b/>
                        </w:rPr>
                        <w:t>7.</w:t>
                      </w:r>
                    </w:p>
                  </w:tc>
                </w:customXml>
                <w:customXml w:uri="regular-agenda-item" w:element="CATEGORY">
                  <w:tc>
                    <w:tcPr>
                      <w:tcW w:w="1440" w:type="dxa"/>
                    </w:tcPr>
                    <w:p w:rsidR="00690459" w:rsidRDefault="00690459" w:rsidP="0019337C">
                      <w:pPr>
                        <w:pStyle w:val="BLTemplate"/>
                        <w:jc w:val="left"/>
                        <w:rPr>
                          <w:b/>
                        </w:rPr>
                      </w:pPr>
                      <w:r>
                        <w:rPr>
                          <w:b/>
                        </w:rPr>
                        <w:t>SUBJECT:</w:t>
                      </w:r>
                    </w:p>
                  </w:tc>
                </w:customXml>
                <w:customXml w:uri="regular-agenda-item" w:element="SUBJECT">
                  <w:tc>
                    <w:tcPr>
                      <w:tcW w:w="7056" w:type="dxa"/>
                    </w:tcPr>
                    <w:p w:rsidR="00F818D2" w:rsidRDefault="006D2224" w:rsidP="0019337C">
                      <w:pPr>
                        <w:pStyle w:val="JustifiedCOB"/>
                        <w:jc w:val="left"/>
                      </w:pPr>
                      <w:r>
                        <w:fldChar w:fldCharType="begin"/>
                      </w:r>
                      <w:r w:rsidR="001313E7">
                        <w:instrText xml:space="preserve"> MacroButton NoMacro </w:instrText>
                      </w:r>
                      <w:r>
                        <w:fldChar w:fldCharType="end"/>
                      </w:r>
                      <w:r w:rsidR="001313E7">
                        <w:rPr>
                          <w:b/>
                        </w:rPr>
                        <w:t xml:space="preserve">AUTHORIZATION TO ADVERTISE AND AWARD A CONSTRUCTION CONTRACT FOR THE FELICITA PARK IMPROVEMENTS PROJECT (DISTRICT: 3) </w:t>
                      </w:r>
                    </w:p>
                  </w:tc>
                </w:customXml>
              </w:tr>
            </w:customXml>
            <w:customXml w:uri="regular-agenda-item" w:element="DETAILS_ROW">
              <w:tr w:rsidR="00690459" w:rsidTr="00391A34">
                <w:tc>
                  <w:tcPr>
                    <w:tcW w:w="864" w:type="dxa"/>
                  </w:tcPr>
                  <w:p w:rsidR="00690459" w:rsidRDefault="00690459" w:rsidP="0019337C">
                    <w:pPr>
                      <w:pStyle w:val="BLTemplate"/>
                      <w:jc w:val="center"/>
                      <w:rPr>
                        <w:b/>
                      </w:rPr>
                    </w:pPr>
                  </w:p>
                </w:tc>
                <w:customXml w:uri="regular-agenda-item" w:element="HEADER">
                  <w:tc>
                    <w:tcPr>
                      <w:tcW w:w="8496" w:type="dxa"/>
                      <w:gridSpan w:val="2"/>
                      <w:vAlign w:val="bottom"/>
                    </w:tcPr>
                    <w:p w:rsidR="00690459" w:rsidRDefault="00690459" w:rsidP="0019337C">
                      <w:pPr>
                        <w:pStyle w:val="BLTemplate"/>
                      </w:pPr>
                      <w:r>
                        <w:rPr>
                          <w:b/>
                        </w:rPr>
                        <w:t>OVERVIEW:</w:t>
                      </w:r>
                    </w:p>
                  </w:tc>
                </w:customXml>
              </w:tr>
            </w:customXml>
            <w:customXml w:uri="regular-agenda-item" w:element="DETAILS_ROW">
              <w:tr w:rsidR="00690459" w:rsidTr="00391A34">
                <w:tc>
                  <w:tcPr>
                    <w:tcW w:w="864" w:type="dxa"/>
                  </w:tcPr>
                  <w:p w:rsidR="00690459" w:rsidRDefault="00690459" w:rsidP="0019337C">
                    <w:pPr>
                      <w:pStyle w:val="BLTemplate"/>
                      <w:jc w:val="center"/>
                      <w:rPr>
                        <w:b/>
                      </w:rPr>
                    </w:pPr>
                  </w:p>
                </w:tc>
                <w:customXml w:uri="regular-agenda-item" w:element="HEADER">
                  <w:tc>
                    <w:tcPr>
                      <w:tcW w:w="8496" w:type="dxa"/>
                      <w:gridSpan w:val="2"/>
                    </w:tcPr>
                    <w:p w:rsidR="00F818D2" w:rsidRDefault="006D2224" w:rsidP="0019337C">
                      <w:pPr>
                        <w:pStyle w:val="JustifiedCOB"/>
                      </w:pPr>
                      <w:r>
                        <w:fldChar w:fldCharType="begin"/>
                      </w:r>
                      <w:r w:rsidR="001313E7">
                        <w:instrText xml:space="preserve"> MacroButton NoMacro </w:instrText>
                      </w:r>
                      <w:r>
                        <w:fldChar w:fldCharType="end"/>
                      </w:r>
                      <w:proofErr w:type="spellStart"/>
                      <w:r w:rsidR="001313E7">
                        <w:t>Felicita</w:t>
                      </w:r>
                      <w:proofErr w:type="spellEnd"/>
                      <w:r w:rsidR="001313E7">
                        <w:t xml:space="preserve"> County Park is a 52-acre developed park located southwest of the city of Escondido in the unincorporated area of the county (Thomas Guide page 1149, J1).  The park currently has two playground areas, seven picnic areas, a special events area, </w:t>
                      </w:r>
                      <w:proofErr w:type="gramStart"/>
                      <w:r w:rsidR="001313E7">
                        <w:t>trail</w:t>
                      </w:r>
                      <w:proofErr w:type="gramEnd"/>
                      <w:r w:rsidR="001313E7">
                        <w:t xml:space="preserve"> systems with historical and cultural signage, parking, ranger station and housing, all within natural oak woodland.</w:t>
                      </w:r>
                    </w:p>
                    <w:p w:rsidR="00F818D2" w:rsidRDefault="001313E7" w:rsidP="00A751F9">
                      <w:pPr>
                        <w:pStyle w:val="JustifiedCOB"/>
                        <w:spacing w:after="120"/>
                      </w:pPr>
                      <w:r>
                        <w:t xml:space="preserve">This requested action will authorize the Director of the Department of Purchasing and Contracting to advertise and award a construction contract for the </w:t>
                      </w:r>
                      <w:proofErr w:type="spellStart"/>
                      <w:r>
                        <w:t>Felicita</w:t>
                      </w:r>
                      <w:proofErr w:type="spellEnd"/>
                      <w:r>
                        <w:t xml:space="preserve"> Park Improvements project estimated at $1,190,000, including contingency, for park and recreation improvements throughout </w:t>
                      </w:r>
                      <w:proofErr w:type="spellStart"/>
                      <w:r>
                        <w:t>Felicita</w:t>
                      </w:r>
                      <w:proofErr w:type="spellEnd"/>
                      <w:r>
                        <w:t xml:space="preserve"> Park.  Park and recreation improvements include the addition of a restroom with a bridal changing room; new shade pavilion and paving for the reception area; conversion of existing parking spaces to provide additional Americans with Disabilities Act (ADA) compliant parking; as well as new walkways, ramps, landscaping, irrigation; and replacement of the existing playground equipment.  Remaining project funds estimated at $105,491 will be used for related project costs, including testing, inspections, construction management, and administration costs. If approved, construction will begin in early Spring 2012 with completion in Summer 2012.</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Funds for this request are included in the Fiscal Year 2011-12 Capital Outlay Fund Operational Plan for Capital Project 1004981, </w:t>
                      </w:r>
                      <w:proofErr w:type="spellStart"/>
                      <w:r w:rsidR="001313E7">
                        <w:t>Felicita</w:t>
                      </w:r>
                      <w:proofErr w:type="spellEnd"/>
                      <w:r w:rsidR="001313E7">
                        <w:t xml:space="preserve"> Park Improvements.  If approved, this request will result in a current year cost of $1,295,491. </w:t>
                      </w:r>
                      <w:r w:rsidR="00BA43F0">
                        <w:t xml:space="preserve"> </w:t>
                      </w:r>
                      <w:r w:rsidR="001313E7">
                        <w:t>The funding sources are Escondido Park Lands Dedication Ordinance (PLDO) Fund ($100,000) and General Fund ($1,195,491).  Construction costs for the proposed improvements are estimated at $1,</w:t>
                      </w:r>
                      <w:r w:rsidR="00BA43F0">
                        <w:t xml:space="preserve">190,000 including contingency. </w:t>
                      </w:r>
                      <w:r w:rsidR="001313E7">
                        <w:t xml:space="preserve">Remaining project funds of $105,491 will be used for inspection, project management and administration costs.  </w:t>
                      </w:r>
                    </w:p>
                    <w:p w:rsidR="00F818D2" w:rsidRDefault="001313E7" w:rsidP="00A751F9">
                      <w:pPr>
                        <w:pStyle w:val="JustifiedCOB"/>
                        <w:spacing w:after="120"/>
                      </w:pPr>
                      <w:r>
                        <w:t xml:space="preserve">Upon project completion, annual operations and maintenance of the proposed improvements will be provided by existing Department of Parks and Recreation (DPR) staff.  There will be no change in net General Fund costs and no additional staff years.  </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pPr>
                        <w:pStyle w:val="NumberListCOB"/>
                      </w:pPr>
                      <w:r>
                        <w:t xml:space="preserve">Find that the </w:t>
                      </w:r>
                      <w:proofErr w:type="spellStart"/>
                      <w:r>
                        <w:t>Felicita</w:t>
                      </w:r>
                      <w:proofErr w:type="spellEnd"/>
                      <w:r>
                        <w:t xml:space="preserve"> Park Improvements Project is exempt from the California Environmental Quality Act (CEQA) pursuant to CEQA Guidelines Sections 15302 and 15303.  </w:t>
                      </w:r>
                    </w:p>
                    <w:p w:rsidR="00B80E97" w:rsidRPr="00B80E97" w:rsidRDefault="001313E7">
                      <w:pPr>
                        <w:pStyle w:val="NumberListCOB"/>
                        <w:rPr>
                          <w:vanish/>
                        </w:rPr>
                      </w:pPr>
                      <w:r>
                        <w:t xml:space="preserve">Authorize the Director of the Department of Purchasing and Contracting to advertise and award a construction contract and take any other action authorized by Section 401 et seq. of the Administrative Code, with respect to contracting for construction of the </w:t>
                      </w:r>
                      <w:proofErr w:type="spellStart"/>
                      <w:r>
                        <w:t>Felicita</w:t>
                      </w:r>
                      <w:proofErr w:type="spellEnd"/>
                      <w:r>
                        <w:t xml:space="preserve"> Park Improvements project.  </w:t>
                      </w:r>
                      <w:r w:rsidR="006D2224">
                        <w:rPr>
                          <w:vanish/>
                        </w:rPr>
                        <w:fldChar w:fldCharType="begin"/>
                      </w:r>
                      <w:r>
                        <w:rPr>
                          <w:vanish/>
                        </w:rPr>
                        <w:instrText xml:space="preserve"> LISTNUM  \l 1 \s 0 </w:instrText>
                      </w:r>
                      <w:r w:rsidR="006D2224">
                        <w:rPr>
                          <w:vanish/>
                        </w:rPr>
                        <w:fldChar w:fldCharType="end"/>
                      </w:r>
                    </w:p>
                    <w:p w:rsidR="0019337C" w:rsidRDefault="0019337C" w:rsidP="0019337C">
                      <w:pPr>
                        <w:pStyle w:val="NumberListCOB"/>
                        <w:numPr>
                          <w:ilvl w:val="0"/>
                          <w:numId w:val="0"/>
                        </w:numPr>
                        <w:spacing w:after="0"/>
                      </w:pPr>
                    </w:p>
                    <w:p w:rsidR="00F818D2" w:rsidRDefault="00F818D2" w:rsidP="0019337C">
                      <w:pPr>
                        <w:pStyle w:val="NumberListCOB"/>
                        <w:numPr>
                          <w:ilvl w:val="0"/>
                          <w:numId w:val="0"/>
                        </w:numPr>
                        <w:spacing w:after="0"/>
                        <w:rPr>
                          <w:vanish/>
                        </w:rPr>
                      </w:pP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rsidP="00B80E97">
                      <w:pPr>
                        <w:pStyle w:val="BLTemplate"/>
                        <w:keepNext/>
                        <w:jc w:val="center"/>
                        <w:rPr>
                          <w:b/>
                        </w:rPr>
                      </w:pPr>
                      <w:r>
                        <w:rPr>
                          <w:b/>
                        </w:rPr>
                        <w:t>8.</w:t>
                      </w:r>
                    </w:p>
                  </w:tc>
                </w:customXml>
                <w:customXml w:uri="regular-agenda-item" w:element="CATEGORY">
                  <w:tc>
                    <w:tcPr>
                      <w:tcW w:w="1440" w:type="dxa"/>
                    </w:tcPr>
                    <w:p w:rsidR="00690459" w:rsidRDefault="00690459" w:rsidP="00B80E97">
                      <w:pPr>
                        <w:pStyle w:val="BLTemplate"/>
                        <w:keepNext/>
                        <w:jc w:val="left"/>
                        <w:rPr>
                          <w:b/>
                        </w:rPr>
                      </w:pPr>
                      <w:r>
                        <w:rPr>
                          <w:b/>
                        </w:rPr>
                        <w:t>SUBJECT:</w:t>
                      </w:r>
                    </w:p>
                  </w:tc>
                </w:customXml>
                <w:customXml w:uri="regular-agenda-item" w:element="SUBJECT">
                  <w:tc>
                    <w:tcPr>
                      <w:tcW w:w="7056" w:type="dxa"/>
                    </w:tcPr>
                    <w:p w:rsidR="00036DD1" w:rsidRDefault="006D2224" w:rsidP="00036DD1">
                      <w:pPr>
                        <w:pStyle w:val="JustifiedCOB"/>
                        <w:keepNext/>
                        <w:spacing w:after="0"/>
                        <w:jc w:val="left"/>
                      </w:pPr>
                      <w:r>
                        <w:fldChar w:fldCharType="begin"/>
                      </w:r>
                      <w:r w:rsidR="001313E7">
                        <w:instrText xml:space="preserve"> MacroButton NoMacro </w:instrText>
                      </w:r>
                      <w:r>
                        <w:fldChar w:fldCharType="end"/>
                      </w:r>
                      <w:r w:rsidR="00036DD1" w:rsidRPr="00036DD1">
                        <w:rPr>
                          <w:b/>
                        </w:rPr>
                        <w:t>SET HEARING FOR 3/28/12:</w:t>
                      </w:r>
                    </w:p>
                    <w:p w:rsidR="00F818D2" w:rsidRDefault="001313E7" w:rsidP="00B80E97">
                      <w:pPr>
                        <w:pStyle w:val="JustifiedCOB"/>
                        <w:keepNext/>
                        <w:jc w:val="left"/>
                      </w:pPr>
                      <w:r>
                        <w:rPr>
                          <w:b/>
                        </w:rPr>
                        <w:t xml:space="preserve">GOLF CLUB OF CALIFORNIA OPEN SPACE VACATION, VAC 10-001; FALLBROOK COMMUNITY PLAN AREA (2/29/12 – SET HEARING; 3/28/12 – HOLD HEARING) (DISTRICT: 5)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The applicant requests an open space vacation to reconfigure the open space easements on the Sycamore Ranch Golf Course.  The open space easements were designed to preserve the sensitive biological habitat within the Sycamore Ranch Specific Plan Area. </w:t>
                      </w:r>
                      <w:r w:rsidR="00BA43F0">
                        <w:t xml:space="preserve"> </w:t>
                      </w:r>
                      <w:r w:rsidR="001313E7">
                        <w:t>The open space vacation is needed to remedy grading violations in seven areas that occurred on the property as a result of development of the Sycamore Ranch golf co</w:t>
                      </w:r>
                      <w:r w:rsidR="00BA43F0">
                        <w:t xml:space="preserve">urse (refer to Attachment A).  </w:t>
                      </w:r>
                      <w:r w:rsidR="001313E7">
                        <w:t xml:space="preserve">The applicant proposes to vacate 2.3 acres of an 84-acre previously dedicated biological open space easement and replace it with 3.98 acres of dedicated open space easement with equivalent biological value. The site is located off of </w:t>
                      </w:r>
                      <w:proofErr w:type="spellStart"/>
                      <w:r w:rsidR="001313E7">
                        <w:t>Flowerwood</w:t>
                      </w:r>
                      <w:proofErr w:type="spellEnd"/>
                      <w:r w:rsidR="001313E7">
                        <w:t xml:space="preserve"> Lane within the unincorporated Fallbrook Community Planning area.  The APNs containing the open space easements are portions of 124-460-23, 124-461-25, and 124-463-24 (2010 Thomas Guide Page 1048 3/B, 3/C, 3/D, 4/C, and 4/D).</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rPr>
                          <w:rStyle w:val="BoldCOB"/>
                          <w:vanish/>
                        </w:rPr>
                      </w:pPr>
                      <w:r>
                        <w:rPr>
                          <w:rStyle w:val="BoldCOB"/>
                        </w:rPr>
                        <w:t xml:space="preserve">DEPARTMENT OF PLANNING AND LAND USE </w:t>
                      </w:r>
                      <w:r w:rsidR="006D2224">
                        <w:rPr>
                          <w:rStyle w:val="BoldCOB"/>
                          <w:vanish/>
                        </w:rPr>
                        <w:fldChar w:fldCharType="begin"/>
                      </w:r>
                      <w:r>
                        <w:rPr>
                          <w:rStyle w:val="BoldCOB"/>
                          <w:vanish/>
                        </w:rPr>
                        <w:instrText xml:space="preserve"> LISTNUM  \l 1 \s 0 </w:instrText>
                      </w:r>
                      <w:r w:rsidR="006D2224">
                        <w:rPr>
                          <w:rStyle w:val="BoldCOB"/>
                          <w:vanish/>
                        </w:rPr>
                        <w:fldChar w:fldCharType="end"/>
                      </w:r>
                    </w:p>
                    <w:p w:rsidR="00F818D2" w:rsidRDefault="001313E7">
                      <w:pPr>
                        <w:pStyle w:val="BLTemplate"/>
                        <w:rPr>
                          <w:rStyle w:val="BoldCOB"/>
                          <w:b w:val="0"/>
                          <w:vanish/>
                        </w:rPr>
                      </w:pPr>
                      <w:r>
                        <w:rPr>
                          <w:rStyle w:val="BoldCOB"/>
                          <w:b w:val="0"/>
                          <w:vanish/>
                        </w:rPr>
                        <w:t>On February 29, 2012:</w:t>
                      </w:r>
                    </w:p>
                    <w:p w:rsidR="00F818D2" w:rsidRDefault="00F818D2">
                      <w:pPr>
                        <w:pStyle w:val="BLTemplate"/>
                        <w:rPr>
                          <w:rStyle w:val="BoldCOB"/>
                          <w:b w:val="0"/>
                        </w:rPr>
                      </w:pPr>
                    </w:p>
                    <w:p w:rsidR="00F818D2" w:rsidRDefault="001313E7">
                      <w:pPr>
                        <w:pStyle w:val="NumberListCOB"/>
                      </w:pPr>
                      <w:r>
                        <w:t>Set a public hearing date on March 28, 2012 at 9:00 a.m. to consider vacating 2.3 acres of open space as detailed in Attachment F.</w:t>
                      </w:r>
                    </w:p>
                    <w:p w:rsidR="00F818D2" w:rsidRDefault="001313E7">
                      <w:pPr>
                        <w:pStyle w:val="NumberListCOB"/>
                      </w:pPr>
                      <w:r>
                        <w:t xml:space="preserve">Direct the Clerk of the Board to provide notice of the hearing on the proposed vacation in the manner required by the Streets and Highway Code Sections </w:t>
                      </w:r>
                      <w:r w:rsidR="00BA43F0">
                        <w:t xml:space="preserve">        </w:t>
                      </w:r>
                      <w:r>
                        <w:t>8300-8363.</w:t>
                      </w:r>
                    </w:p>
                    <w:p w:rsidR="00F818D2" w:rsidRDefault="001313E7">
                      <w:pPr>
                        <w:pStyle w:val="NumberListCOB"/>
                        <w:ind w:left="423" w:hanging="423"/>
                      </w:pPr>
                      <w:r>
                        <w:t>Find that there are no changes in the project or in the circumstances under which it is undertaken which involve significant new environmental impacts which were not considered in the previously certified Environmental Impact Report (EIR) dated September 12, 1986 or Subsequent Environmental Impact Report (SEIR) dated September 29, 1998, or a substantial increase in the severity of previously identified significant effects, and that no new information of substantial importance has become available since said EIR and SEIR were prepared.</w:t>
                      </w:r>
                    </w:p>
                    <w:p w:rsidR="00F818D2" w:rsidRDefault="001313E7">
                      <w:pPr>
                        <w:pStyle w:val="BLTemplate"/>
                      </w:pPr>
                      <w:r>
                        <w:t xml:space="preserve">If, on February 29, 2012, the Board takes the action in Items 1-3, then, on </w:t>
                      </w:r>
                      <w:r w:rsidR="00B80E97">
                        <w:t xml:space="preserve">              </w:t>
                      </w:r>
                      <w:r>
                        <w:t xml:space="preserve">March 28, 2012 after the close of public testimony: </w:t>
                      </w:r>
                    </w:p>
                    <w:p w:rsidR="00F818D2" w:rsidRDefault="00F818D2">
                      <w:pPr>
                        <w:pStyle w:val="BLTemplate"/>
                      </w:pPr>
                    </w:p>
                    <w:p w:rsidR="00F818D2" w:rsidRDefault="00B80E97" w:rsidP="00B80E97">
                      <w:pPr>
                        <w:pStyle w:val="NumberListCOB"/>
                        <w:numPr>
                          <w:ilvl w:val="0"/>
                          <w:numId w:val="0"/>
                        </w:numPr>
                        <w:tabs>
                          <w:tab w:val="clear" w:pos="360"/>
                          <w:tab w:val="left" w:pos="378"/>
                        </w:tabs>
                        <w:ind w:left="378" w:hanging="360"/>
                      </w:pPr>
                      <w:r>
                        <w:t xml:space="preserve">1. Adopt a resolution entitled: A RESOLUTION OF THE BOARD OF </w:t>
                      </w:r>
                      <w:r w:rsidR="001313E7">
                        <w:t>SUPERVISORS OF THE COUNTY OF SAN DIEGO VACATING PUBLIC SERVICE EASEMENTS VAC 10-001 (Attachment C) to vacate 2.3 acres of open space as detailed in Attachment F.</w:t>
                      </w:r>
                    </w:p>
                    <w:p w:rsidR="00F818D2" w:rsidRDefault="001313E7" w:rsidP="0019337C">
                      <w:pPr>
                        <w:pStyle w:val="NumberListCOB"/>
                        <w:numPr>
                          <w:ilvl w:val="0"/>
                          <w:numId w:val="0"/>
                        </w:numPr>
                        <w:tabs>
                          <w:tab w:val="clear" w:pos="360"/>
                          <w:tab w:val="left" w:pos="378"/>
                        </w:tabs>
                        <w:spacing w:after="0"/>
                        <w:ind w:left="374" w:hanging="360"/>
                      </w:pPr>
                      <w:r>
                        <w:t xml:space="preserve">2.  </w:t>
                      </w:r>
                      <w:r w:rsidR="00B80E97">
                        <w:t xml:space="preserve"> </w:t>
                      </w:r>
                      <w:r>
                        <w:t>Direct the Clerk of the Board to record this resolution pursuant to the Streets and Highways Code Section 8325.</w:t>
                      </w:r>
                    </w:p>
                    <w:p w:rsidR="0019337C" w:rsidRDefault="0019337C" w:rsidP="0019337C">
                      <w:pPr>
                        <w:pStyle w:val="NumberListCOB"/>
                        <w:numPr>
                          <w:ilvl w:val="0"/>
                          <w:numId w:val="0"/>
                        </w:numPr>
                        <w:tabs>
                          <w:tab w:val="clear" w:pos="360"/>
                          <w:tab w:val="left" w:pos="378"/>
                        </w:tabs>
                        <w:spacing w:after="0"/>
                        <w:ind w:left="374" w:hanging="360"/>
                      </w:pPr>
                    </w:p>
                    <w:p w:rsidR="0019337C" w:rsidRDefault="0019337C" w:rsidP="0019337C">
                      <w:pPr>
                        <w:pStyle w:val="NumberListCOB"/>
                        <w:numPr>
                          <w:ilvl w:val="0"/>
                          <w:numId w:val="0"/>
                        </w:numPr>
                        <w:tabs>
                          <w:tab w:val="clear" w:pos="360"/>
                          <w:tab w:val="left" w:pos="378"/>
                        </w:tabs>
                        <w:spacing w:after="0"/>
                        <w:ind w:left="374" w:hanging="360"/>
                      </w:pPr>
                    </w:p>
                    <w:p w:rsidR="00F818D2" w:rsidRPr="0019337C" w:rsidRDefault="001313E7" w:rsidP="0019337C">
                      <w:pPr>
                        <w:pStyle w:val="NumberListCOB"/>
                        <w:numPr>
                          <w:ilvl w:val="0"/>
                          <w:numId w:val="0"/>
                        </w:numPr>
                        <w:ind w:left="378" w:hanging="360"/>
                      </w:pPr>
                      <w:r>
                        <w:t xml:space="preserve">3.  </w:t>
                      </w:r>
                      <w:r w:rsidR="00B80E97">
                        <w:t xml:space="preserve"> </w:t>
                      </w:r>
                      <w:r>
                        <w:t>Direct the Clerk of the Board to accept and record the dedication of the new Open Space Easement as detailed in Attachment G.</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9C3DDE">
                        <w:t xml:space="preserve">, setting Hearing for March 28, 2012 at </w:t>
                      </w:r>
                      <w:r w:rsidR="0019337C">
                        <w:t xml:space="preserve">  </w:t>
                      </w:r>
                      <w:r w:rsidR="009C3DDE">
                        <w:t>9:00 a.m</w:t>
                      </w:r>
                      <w:r w:rsidR="003D6050">
                        <w: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9.</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B80E97">
                      <w:pPr>
                        <w:pStyle w:val="JustifiedCOB"/>
                        <w:jc w:val="left"/>
                      </w:pPr>
                      <w:r>
                        <w:fldChar w:fldCharType="begin"/>
                      </w:r>
                      <w:r w:rsidR="001313E7">
                        <w:instrText xml:space="preserve"> MacroButton NoMacro </w:instrText>
                      </w:r>
                      <w:r>
                        <w:fldChar w:fldCharType="end"/>
                      </w:r>
                      <w:r w:rsidR="001313E7">
                        <w:rPr>
                          <w:b/>
                        </w:rPr>
                        <w:t>TRAFFIC ADVISORY COM</w:t>
                      </w:r>
                      <w:r w:rsidR="00B01849">
                        <w:rPr>
                          <w:b/>
                        </w:rPr>
                        <w:t>MITTEE RECOMMENDATIONS (</w:t>
                      </w:r>
                      <w:r w:rsidR="001A641B">
                        <w:rPr>
                          <w:b/>
                        </w:rPr>
                        <w:t>2/29/</w:t>
                      </w:r>
                      <w:r w:rsidR="001313E7">
                        <w:rPr>
                          <w:b/>
                        </w:rPr>
                        <w:t xml:space="preserve">12 - </w:t>
                      </w:r>
                      <w:r w:rsidR="00B01849">
                        <w:rPr>
                          <w:b/>
                        </w:rPr>
                        <w:t xml:space="preserve">ADOPT RECOMMENDATIONS; </w:t>
                      </w:r>
                      <w:r w:rsidR="001A641B">
                        <w:rPr>
                          <w:b/>
                        </w:rPr>
                        <w:t>3/14/</w:t>
                      </w:r>
                      <w:r w:rsidR="00040C21">
                        <w:rPr>
                          <w:b/>
                        </w:rPr>
                        <w:t>12 - SECOND READING OF ORDINANCES</w:t>
                      </w:r>
                      <w:r w:rsidR="007559F1">
                        <w:rPr>
                          <w:b/>
                        </w:rPr>
                        <w:t xml:space="preserve">) </w:t>
                      </w:r>
                      <w:r w:rsidR="001313E7">
                        <w:rPr>
                          <w:b/>
                        </w:rPr>
                        <w:t xml:space="preserve">(DISTRICTS: 2 &amp; 5)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The Traffic Advisory Committee meets every six weeks to review proposed additions, deletions or changes to regulatory traffic controls. Six items were on the Committee's December 16, 2011 meeting agenda. </w:t>
                      </w:r>
                      <w:r w:rsidR="00B80E97">
                        <w:t xml:space="preserve"> </w:t>
                      </w:r>
                      <w:r w:rsidR="001313E7">
                        <w:t xml:space="preserve">The Committee recommends your action on all six items.  </w:t>
                      </w:r>
                    </w:p>
                    <w:p w:rsidR="00F818D2" w:rsidRDefault="001313E7">
                      <w:r>
                        <w:t xml:space="preserve">This action requires two steps. On February 29, 2012, the Board will consider six Traffic Advisory Committee items. If the Board takes action on February 29, 2012, then on March 14, 2012, a second reading of an Ordinance adding Section 72.173.11.1.,  </w:t>
                      </w:r>
                      <w:r>
                        <w:rPr>
                          <w:rFonts w:cs="Arial"/>
                          <w:spacing w:val="-3"/>
                        </w:rPr>
                        <w:t xml:space="preserve">amending </w:t>
                      </w:r>
                      <w:r>
                        <w:t xml:space="preserve">Sections 72.123.11. </w:t>
                      </w:r>
                      <w:proofErr w:type="gramStart"/>
                      <w:r>
                        <w:t>and</w:t>
                      </w:r>
                      <w:proofErr w:type="gramEnd"/>
                      <w:r>
                        <w:t xml:space="preserve"> 72.173.81. (</w:t>
                      </w:r>
                      <w:proofErr w:type="gramStart"/>
                      <w:r>
                        <w:t>pertaining</w:t>
                      </w:r>
                      <w:proofErr w:type="gramEnd"/>
                      <w:r>
                        <w:t xml:space="preserve"> to Item 2-C), of the San Diego County Code of Regulatory Ordinances is necessary to implement the Board’s direction.</w:t>
                      </w:r>
                    </w:p>
                    <w:p w:rsidR="00F818D2" w:rsidRDefault="00F818D2"/>
                    <w:p w:rsidR="00F818D2" w:rsidRDefault="001313E7">
                      <w:pPr>
                        <w:rPr>
                          <w:rFonts w:cs="Arial"/>
                        </w:rPr>
                      </w:pPr>
                      <w:r>
                        <w:rPr>
                          <w:rFonts w:cs="Arial"/>
                        </w:rPr>
                        <w:t xml:space="preserve">On Wednesday, January 25, 2012 (5), the Board considered the Traffic Advisory Committee’s recommendation not to establish a parking prohibition along </w:t>
                      </w:r>
                      <w:proofErr w:type="spellStart"/>
                      <w:r>
                        <w:rPr>
                          <w:rFonts w:cs="Arial"/>
                        </w:rPr>
                        <w:t>Calle</w:t>
                      </w:r>
                      <w:proofErr w:type="spellEnd"/>
                      <w:r>
                        <w:rPr>
                          <w:rFonts w:cs="Arial"/>
                        </w:rPr>
                        <w:t xml:space="preserve"> Los </w:t>
                      </w:r>
                      <w:proofErr w:type="spellStart"/>
                      <w:r>
                        <w:rPr>
                          <w:rFonts w:cs="Arial"/>
                        </w:rPr>
                        <w:t>Arboles</w:t>
                      </w:r>
                      <w:proofErr w:type="spellEnd"/>
                      <w:r>
                        <w:rPr>
                          <w:rFonts w:cs="Arial"/>
                        </w:rPr>
                        <w:t xml:space="preserve"> (Item 2-D). After considering the matter, the Board directed the Chief Administrative Officer to install a 100 foot red curb along </w:t>
                      </w:r>
                      <w:proofErr w:type="spellStart"/>
                      <w:r>
                        <w:rPr>
                          <w:rFonts w:cs="Arial"/>
                        </w:rPr>
                        <w:t>Calle</w:t>
                      </w:r>
                      <w:proofErr w:type="spellEnd"/>
                      <w:r>
                        <w:rPr>
                          <w:rFonts w:cs="Arial"/>
                        </w:rPr>
                        <w:t xml:space="preserve"> Los </w:t>
                      </w:r>
                      <w:proofErr w:type="spellStart"/>
                      <w:r>
                        <w:rPr>
                          <w:rFonts w:cs="Arial"/>
                        </w:rPr>
                        <w:t>Arboles</w:t>
                      </w:r>
                      <w:proofErr w:type="spellEnd"/>
                      <w:r>
                        <w:rPr>
                          <w:rFonts w:cs="Arial"/>
                        </w:rPr>
                        <w:t xml:space="preserve">, north side, at the </w:t>
                      </w:r>
                      <w:proofErr w:type="spellStart"/>
                      <w:r>
                        <w:rPr>
                          <w:rFonts w:cs="Arial"/>
                        </w:rPr>
                        <w:t>Ranchwood</w:t>
                      </w:r>
                      <w:proofErr w:type="spellEnd"/>
                      <w:r>
                        <w:rPr>
                          <w:rFonts w:cs="Arial"/>
                        </w:rPr>
                        <w:t xml:space="preserve"> Drive intersection (Action Item 5.3 page 3) and consider other locations in that area where a similar condition could develop. This item includes a recommendation (No. 6) to adopt the resolution to formalize and enact this Board direction.  Upon further inspection, staff completed a review of the one other intersection on </w:t>
                      </w:r>
                      <w:proofErr w:type="spellStart"/>
                      <w:r>
                        <w:rPr>
                          <w:rFonts w:cs="Arial"/>
                        </w:rPr>
                        <w:t>Calle</w:t>
                      </w:r>
                      <w:proofErr w:type="spellEnd"/>
                      <w:r>
                        <w:rPr>
                          <w:rFonts w:cs="Arial"/>
                        </w:rPr>
                        <w:t xml:space="preserve"> Los </w:t>
                      </w:r>
                      <w:proofErr w:type="spellStart"/>
                      <w:r>
                        <w:rPr>
                          <w:rFonts w:cs="Arial"/>
                        </w:rPr>
                        <w:t>Arboles</w:t>
                      </w:r>
                      <w:proofErr w:type="spellEnd"/>
                      <w:r>
                        <w:rPr>
                          <w:rFonts w:cs="Arial"/>
                        </w:rPr>
                        <w:t xml:space="preserve"> and determined that parking demand and opera</w:t>
                      </w:r>
                      <w:r w:rsidR="00B80E97">
                        <w:rPr>
                          <w:rFonts w:cs="Arial"/>
                        </w:rPr>
                        <w:t xml:space="preserve">ting conditions are different. </w:t>
                      </w:r>
                      <w:r>
                        <w:rPr>
                          <w:rFonts w:cs="Arial"/>
                        </w:rPr>
                        <w:t xml:space="preserve">Therefore, similar parking restrictions could not be considered at other locations on </w:t>
                      </w:r>
                      <w:proofErr w:type="spellStart"/>
                      <w:r>
                        <w:rPr>
                          <w:rFonts w:cs="Arial"/>
                        </w:rPr>
                        <w:t>Calle</w:t>
                      </w:r>
                      <w:proofErr w:type="spellEnd"/>
                      <w:r>
                        <w:rPr>
                          <w:rFonts w:cs="Arial"/>
                        </w:rPr>
                        <w:t xml:space="preserve"> Los </w:t>
                      </w:r>
                      <w:proofErr w:type="spellStart"/>
                      <w:r>
                        <w:rPr>
                          <w:rFonts w:cs="Arial"/>
                        </w:rPr>
                        <w:t>Arboles</w:t>
                      </w:r>
                      <w:proofErr w:type="spellEnd"/>
                      <w:r>
                        <w:rPr>
                          <w:rFonts w:cs="Arial"/>
                        </w:rPr>
                        <w:t>.</w:t>
                      </w:r>
                    </w:p>
                    <w:p w:rsidR="00F818D2" w:rsidRDefault="006D2224">
                      <w:pPr>
                        <w:rPr>
                          <w:rFonts w:cs="Arial"/>
                        </w:rPr>
                      </w:pP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rsidP="00B83F85">
                    <w:pPr>
                      <w:pStyle w:val="BLTemplate"/>
                      <w:jc w:val="center"/>
                      <w:rPr>
                        <w:b/>
                      </w:rPr>
                    </w:pPr>
                  </w:p>
                </w:tc>
                <w:customXml w:uri="regular-agenda-item" w:element="HEADER">
                  <w:tc>
                    <w:tcPr>
                      <w:tcW w:w="8496" w:type="dxa"/>
                      <w:gridSpan w:val="2"/>
                      <w:vAlign w:val="bottom"/>
                    </w:tcPr>
                    <w:p w:rsidR="00690459" w:rsidRDefault="00690459" w:rsidP="00B83F85">
                      <w:pPr>
                        <w:pStyle w:val="BLTemplate"/>
                      </w:pPr>
                      <w:r>
                        <w:rPr>
                          <w:b/>
                        </w:rPr>
                        <w:t>FISCAL IMPACT:</w:t>
                      </w:r>
                    </w:p>
                  </w:tc>
                </w:customXml>
              </w:tr>
            </w:customXml>
            <w:customXml w:uri="regular-agenda-item" w:element="DETAILS_ROW">
              <w:tr w:rsidR="00690459" w:rsidTr="00391A34">
                <w:tc>
                  <w:tcPr>
                    <w:tcW w:w="864" w:type="dxa"/>
                  </w:tcPr>
                  <w:p w:rsidR="00690459" w:rsidRDefault="00690459" w:rsidP="00B83F85">
                    <w:pPr>
                      <w:pStyle w:val="BLTemplate"/>
                      <w:jc w:val="center"/>
                      <w:rPr>
                        <w:b/>
                      </w:rPr>
                    </w:pPr>
                  </w:p>
                </w:tc>
                <w:customXml w:uri="regular-agenda-item" w:element="HEADER">
                  <w:tc>
                    <w:tcPr>
                      <w:tcW w:w="8496" w:type="dxa"/>
                      <w:gridSpan w:val="2"/>
                    </w:tcPr>
                    <w:p w:rsidR="00F818D2" w:rsidRDefault="006D2224" w:rsidP="00B83F85">
                      <w:pPr>
                        <w:pStyle w:val="JustifiedCOB"/>
                        <w:rPr>
                          <w:vanish/>
                        </w:rPr>
                      </w:pPr>
                      <w:r>
                        <w:fldChar w:fldCharType="begin"/>
                      </w:r>
                      <w:r w:rsidR="001313E7">
                        <w:instrText xml:space="preserve"> MacroButton NoMacro </w:instrText>
                      </w:r>
                      <w:r>
                        <w:fldChar w:fldCharType="end"/>
                      </w:r>
                      <w:r w:rsidR="001313E7">
                        <w:t xml:space="preserve">Funds for this proposal are included in the Department of Public Works Road Fund Fiscal Year 2011-12 Operational Plan. </w:t>
                      </w:r>
                      <w:r w:rsidR="00B80E97">
                        <w:t xml:space="preserve"> </w:t>
                      </w:r>
                      <w:r w:rsidR="001313E7">
                        <w:t>If approved, there will be no change in net General Fund cost and require no additional staff years.</w:t>
                      </w:r>
                    </w:p>
                    <w:p w:rsidR="00B83F85" w:rsidRDefault="006D2224" w:rsidP="00B83F85">
                      <w:pPr>
                        <w:pStyle w:val="JustifiedCOB"/>
                        <w:spacing w:after="0"/>
                      </w:pPr>
                      <w:r>
                        <w:fldChar w:fldCharType="begin"/>
                      </w:r>
                      <w:r w:rsidR="001313E7">
                        <w:instrText xml:space="preserve"> MacroButton NoMacro </w:instrText>
                      </w:r>
                      <w:r>
                        <w:fldChar w:fldCharType="end"/>
                      </w:r>
                    </w:p>
                    <w:p w:rsidR="00B83F85" w:rsidRDefault="00B83F85" w:rsidP="00B83F85">
                      <w:pPr>
                        <w:pStyle w:val="JustifiedCOB"/>
                        <w:spacing w:after="0"/>
                      </w:pPr>
                    </w:p>
                    <w:p w:rsidR="00F818D2" w:rsidRDefault="006D2224" w:rsidP="00B83F85">
                      <w:pPr>
                        <w:pStyle w:val="JustifiedCOB"/>
                        <w:spacing w:after="0"/>
                      </w:pP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rsidP="00B83F85">
                    <w:pPr>
                      <w:pStyle w:val="BLTemplate"/>
                      <w:keepNext/>
                      <w:jc w:val="center"/>
                      <w:rPr>
                        <w:b/>
                      </w:rPr>
                    </w:pPr>
                  </w:p>
                </w:tc>
                <w:customXml w:uri="regular-agenda-item" w:element="HEADER">
                  <w:tc>
                    <w:tcPr>
                      <w:tcW w:w="8496" w:type="dxa"/>
                      <w:gridSpan w:val="2"/>
                      <w:vAlign w:val="bottom"/>
                    </w:tcPr>
                    <w:p w:rsidR="00690459" w:rsidRDefault="00690459" w:rsidP="00B83F85">
                      <w:pPr>
                        <w:pStyle w:val="BLTemplate"/>
                        <w:keepNext/>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JustifiedCOB"/>
                      </w:pPr>
                      <w:r>
                        <w:t>N/A</w:t>
                      </w:r>
                      <w:r>
                        <w:rPr>
                          <w:vanish/>
                        </w:rPr>
                        <w:t xml:space="preserve"> </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keepNext/>
                        <w:outlineLvl w:val="4"/>
                      </w:pPr>
                      <w:r>
                        <w:rPr>
                          <w:rStyle w:val="BoldCOB"/>
                        </w:rPr>
                        <w:t>TRAFFIC ADVISORY COMMITTEE</w:t>
                      </w:r>
                    </w:p>
                    <w:p w:rsidR="00F818D2" w:rsidRDefault="001313E7">
                      <w:pPr>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outlineLvl w:val="4"/>
                        <w:rPr>
                          <w:i/>
                        </w:rPr>
                      </w:pPr>
                      <w:r>
                        <w:rPr>
                          <w:i/>
                        </w:rPr>
                        <w:t>District 2</w:t>
                      </w:r>
                    </w:p>
                    <w:p w:rsidR="00F818D2" w:rsidRDefault="001313E7" w:rsidP="00194E52">
                      <w:pPr>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240"/>
                        <w:ind w:left="605" w:hanging="605"/>
                        <w:outlineLvl w:val="4"/>
                      </w:pPr>
                      <w:r>
                        <w:t xml:space="preserve">2-A. </w:t>
                      </w:r>
                      <w:r>
                        <w:tab/>
                      </w:r>
                      <w:r>
                        <w:rPr>
                          <w:spacing w:val="-3"/>
                        </w:rPr>
                        <w:t xml:space="preserve">Thing Road, both sides, from SR-188 </w:t>
                      </w:r>
                      <w:r>
                        <w:t>easterly to the eastern boundary of the California Highway Patrol-Commercial Vehicle Enforcement Facility -</w:t>
                      </w:r>
                      <w:proofErr w:type="spellStart"/>
                      <w:r>
                        <w:t>Tecate</w:t>
                      </w:r>
                      <w:proofErr w:type="spellEnd"/>
                      <w:r>
                        <w:t xml:space="preserve"> Platform Scale (1,930 feet in length), (2009 Thomas Guide Page 429, L-10) TECATE – Establish a No Parking-Tow Away Zone.    </w:t>
                      </w:r>
                    </w:p>
                    <w:p w:rsidR="00F818D2" w:rsidRDefault="001313E7" w:rsidP="00194E52">
                      <w:pPr>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240"/>
                        <w:ind w:left="605" w:hanging="605"/>
                        <w:outlineLvl w:val="4"/>
                      </w:pPr>
                      <w:r>
                        <w:t xml:space="preserve">2-B. </w:t>
                      </w:r>
                      <w:r>
                        <w:tab/>
                      </w:r>
                      <w:r>
                        <w:rPr>
                          <w:spacing w:val="-3"/>
                        </w:rPr>
                        <w:t>Leland Street and Saint George Street</w:t>
                      </w:r>
                      <w:r>
                        <w:t xml:space="preserve"> (Thomas Guide 57</w:t>
                      </w:r>
                      <w:r>
                        <w:rPr>
                          <w:vertAlign w:val="superscript"/>
                        </w:rPr>
                        <w:t>th</w:t>
                      </w:r>
                      <w:r>
                        <w:t xml:space="preserve"> Edition Page 1291, A-3) SPRING VALLEY -- Establish a stop control for eastbound traffic on Saint George Street.  </w:t>
                      </w:r>
                    </w:p>
                    <w:p w:rsidR="00F818D2" w:rsidRDefault="001313E7" w:rsidP="00194E52">
                      <w:pPr>
                        <w:tabs>
                          <w:tab w:val="left" w:pos="603"/>
                          <w:tab w:val="left" w:pos="1440"/>
                        </w:tabs>
                        <w:suppressAutoHyphens/>
                        <w:spacing w:before="240"/>
                        <w:ind w:left="605" w:hanging="605"/>
                      </w:pPr>
                      <w:r>
                        <w:t xml:space="preserve">2-C. </w:t>
                      </w:r>
                      <w:r>
                        <w:tab/>
                      </w:r>
                      <w:r>
                        <w:rPr>
                          <w:spacing w:val="-3"/>
                        </w:rPr>
                        <w:t>Broadway/Campo Road between the Lemon Grove City Limit and the intersection of Kenwood Drive</w:t>
                      </w:r>
                      <w:r>
                        <w:t xml:space="preserve"> (Thomas Guide 57</w:t>
                      </w:r>
                      <w:r>
                        <w:rPr>
                          <w:vertAlign w:val="superscript"/>
                        </w:rPr>
                        <w:t>th</w:t>
                      </w:r>
                      <w:r>
                        <w:t xml:space="preserve"> Edition Page 1270, J-5) CASA DE ORO/SPRING VALLEY -- Modify the existing 35 MPH and 40 MPH speed limit postings on Broadway/Campo Road, from the Lemon Grove City Limit easterly to a point 420 feet  east of South Granada Avenue as follows: 45 MPH from the Lemon Grove City Limit easterly to the State Route 125 Ramps, 40 MPH from the State Route 125 Ramps to Bancroft Drive and 35 MPH from Bancroft Drive easterly to a point 420 feet east of South Granada Avenue. Direct that these three proposed speed limits be certified for radar speed enforcement.</w:t>
                      </w:r>
                    </w:p>
                    <w:p w:rsidR="00F818D2" w:rsidRDefault="001313E7" w:rsidP="00194E52">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240"/>
                        <w:ind w:left="605" w:hanging="605"/>
                      </w:pPr>
                      <w:r>
                        <w:t xml:space="preserve">2-D. </w:t>
                      </w:r>
                      <w:r>
                        <w:tab/>
                        <w:t>Dye Road/Ramona Street/Warnock Drive from a point 1,000 feet west of Ramona Street easterly to San Vicente Road (Thomas Guide 57</w:t>
                      </w:r>
                      <w:r>
                        <w:rPr>
                          <w:vertAlign w:val="superscript"/>
                        </w:rPr>
                        <w:t>th</w:t>
                      </w:r>
                      <w:r>
                        <w:t xml:space="preserve"> Edition Page 1172, F-3) RAMONA -- Direct the existing 50 MPH speed limit be recertified for continued radar speed enforcement.</w:t>
                      </w:r>
                    </w:p>
                    <w:p w:rsidR="00F818D2" w:rsidRDefault="001313E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 xml:space="preserve">2-E. </w:t>
                      </w:r>
                      <w:r>
                        <w:tab/>
                      </w:r>
                      <w:r>
                        <w:rPr>
                          <w:spacing w:val="-3"/>
                        </w:rPr>
                        <w:t xml:space="preserve">San Vicente Road from Eleventh Street southerly to Hanson Lane </w:t>
                      </w:r>
                      <w:r>
                        <w:t>(Thomas Guide 57</w:t>
                      </w:r>
                      <w:r>
                        <w:rPr>
                          <w:vertAlign w:val="superscript"/>
                        </w:rPr>
                        <w:t>th</w:t>
                      </w:r>
                      <w:r>
                        <w:t xml:space="preserve"> Edition Page 1152, G-7) RAMONA -- Direct the existing 50 MPH speed limit be recertified for continued radar speed enforcement.</w:t>
                      </w:r>
                    </w:p>
                    <w:p w:rsidR="00F818D2" w:rsidRDefault="001313E7" w:rsidP="00194E52">
                      <w:pPr>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240" w:after="240"/>
                        <w:ind w:left="605" w:right="1598" w:hanging="634"/>
                        <w:rPr>
                          <w:i/>
                        </w:rPr>
                      </w:pPr>
                      <w:r>
                        <w:t xml:space="preserve"> </w:t>
                      </w:r>
                      <w:r>
                        <w:rPr>
                          <w:i/>
                        </w:rPr>
                        <w:t>District 5</w:t>
                      </w:r>
                    </w:p>
                    <w:p w:rsidR="00F818D2" w:rsidRDefault="001313E7">
                      <w:pPr>
                        <w:tabs>
                          <w:tab w:val="left" w:pos="603"/>
                        </w:tabs>
                        <w:ind w:left="603" w:hanging="603"/>
                      </w:pPr>
                      <w:r>
                        <w:t xml:space="preserve">5-A. </w:t>
                      </w:r>
                      <w:r>
                        <w:tab/>
                      </w:r>
                      <w:r>
                        <w:rPr>
                          <w:spacing w:val="-3"/>
                        </w:rPr>
                        <w:t xml:space="preserve">Stage Coach Lane from a point 1,580 feet south of </w:t>
                      </w:r>
                      <w:proofErr w:type="spellStart"/>
                      <w:r>
                        <w:rPr>
                          <w:spacing w:val="-3"/>
                        </w:rPr>
                        <w:t>Calavo</w:t>
                      </w:r>
                      <w:proofErr w:type="spellEnd"/>
                      <w:r>
                        <w:rPr>
                          <w:spacing w:val="-3"/>
                        </w:rPr>
                        <w:t xml:space="preserve"> Road northeasterly to </w:t>
                      </w:r>
                      <w:proofErr w:type="spellStart"/>
                      <w:r>
                        <w:rPr>
                          <w:spacing w:val="-3"/>
                        </w:rPr>
                        <w:t>Reche</w:t>
                      </w:r>
                      <w:proofErr w:type="spellEnd"/>
                      <w:r>
                        <w:rPr>
                          <w:spacing w:val="-3"/>
                        </w:rPr>
                        <w:t xml:space="preserve"> Road</w:t>
                      </w:r>
                      <w:r>
                        <w:rPr>
                          <w:rFonts w:ascii="Arial" w:cs="Arial"/>
                          <w:spacing w:val="-3"/>
                        </w:rPr>
                        <w:t xml:space="preserve"> </w:t>
                      </w:r>
                      <w:r>
                        <w:t>(Thomas Guide 57</w:t>
                      </w:r>
                      <w:r>
                        <w:rPr>
                          <w:vertAlign w:val="superscript"/>
                        </w:rPr>
                        <w:t>th</w:t>
                      </w:r>
                      <w:r>
                        <w:t xml:space="preserve"> Edition Page 1027, H-6) FALLBROOK -- Direct the existing 45 MPH speed limit be certified for radar speed enforcement.</w:t>
                      </w:r>
                    </w:p>
                    <w:p w:rsidR="00194E52" w:rsidRDefault="00194E52"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pPr>
                    </w:p>
                    <w:p w:rsidR="00B83F85" w:rsidRDefault="00B83F85"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pPr>
                    </w:p>
                    <w:p w:rsidR="00B83F85" w:rsidRDefault="00B83F85"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pPr>
                    </w:p>
                    <w:p w:rsidR="00B83F85" w:rsidRDefault="00B83F85"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pPr>
                    </w:p>
                    <w:p w:rsidR="00B83F85" w:rsidRDefault="00B83F85"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pPr>
                    </w:p>
                    <w:p w:rsidR="00B83F85" w:rsidRDefault="00B83F85"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pPr>
                    </w:p>
                    <w:p w:rsidR="00F818D2" w:rsidRDefault="001313E7" w:rsidP="00B80E97">
                      <w:pPr>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rPr>
                          <w:rStyle w:val="BoldCOB"/>
                        </w:rPr>
                      </w:pPr>
                      <w:r>
                        <w:rPr>
                          <w:rStyle w:val="BoldCOB"/>
                        </w:rPr>
                        <w:t>CHIEF ADMINISTRATIVE OFFICER</w:t>
                      </w:r>
                    </w:p>
                    <w:p w:rsidR="00F818D2" w:rsidRDefault="001313E7" w:rsidP="00B80E97">
                      <w:pPr>
                        <w:tabs>
                          <w:tab w:val="left" w:pos="783"/>
                          <w:tab w:val="left" w:pos="1143"/>
                          <w:tab w:val="left" w:pos="3483"/>
                          <w:tab w:val="left" w:pos="4923"/>
                          <w:tab w:val="left" w:pos="7713"/>
                        </w:tabs>
                      </w:pPr>
                      <w:r>
                        <w:t xml:space="preserve"> February 29, 2012:</w:t>
                      </w:r>
                    </w:p>
                    <w:p w:rsidR="00F818D2" w:rsidRDefault="001313E7">
                      <w:pPr>
                        <w:pStyle w:val="NumberListCOB"/>
                      </w:pPr>
                      <w:r>
                        <w:t>Find that the proposed project is exempt from review under the California Environmental Quality Act (CEQA) as specified under Section 15301 of the CEQA Guidelines.</w:t>
                      </w:r>
                    </w:p>
                    <w:p w:rsidR="00F818D2" w:rsidRDefault="001313E7">
                      <w:pPr>
                        <w:pStyle w:val="NumberListCOB"/>
                      </w:pPr>
                      <w:r>
                        <w:t>Adopt the Traffic Advisory Committee’s recommendations.</w:t>
                      </w:r>
                    </w:p>
                    <w:p w:rsidR="00F818D2" w:rsidRDefault="001313E7">
                      <w:pPr>
                        <w:pStyle w:val="NumberListCOB"/>
                      </w:pPr>
                      <w:r>
                        <w:t>Adopt the resolution entitled</w:t>
                      </w:r>
                      <w:r w:rsidR="00194E52">
                        <w:t>:</w:t>
                      </w:r>
                      <w:r>
                        <w:t xml:space="preserve"> RESOLUTION AMENDING TRAFFIC RESOLUTION NO. 301 RELATING TO THE ESTABLISHMENT OF NO STANDING AND PARKING ZONES (ITEM 2-A).</w:t>
                      </w:r>
                    </w:p>
                    <w:p w:rsidR="00F818D2" w:rsidRDefault="001313E7">
                      <w:pPr>
                        <w:pStyle w:val="NumberListCOB"/>
                      </w:pPr>
                      <w:r>
                        <w:t>Adopt the resolution entitled</w:t>
                      </w:r>
                      <w:r w:rsidR="00194E52">
                        <w:t>:</w:t>
                      </w:r>
                      <w:r>
                        <w:t xml:space="preserve"> RESOLUTION AMENDING TRAFFIC RESOLUTION NO. 667 RELATING TO THE ESTABLISHMENT OF NO PARKING-TOW AWAY ZONES (ITEM 2-A).  </w:t>
                      </w:r>
                    </w:p>
                    <w:p w:rsidR="00F818D2" w:rsidRDefault="001313E7">
                      <w:pPr>
                        <w:pStyle w:val="NumberListCOB"/>
                      </w:pPr>
                      <w:r>
                        <w:t>Adopt the resolution entitled</w:t>
                      </w:r>
                      <w:r w:rsidR="00194E52">
                        <w:t>:</w:t>
                      </w:r>
                      <w:r>
                        <w:t xml:space="preserve"> RESOLUTION AMENDING TRAFFIC RESOLUTION NO. 304 RELATING TO THE ESTABLISHMENT OF STOP INTERSECTIONS (ITEM 2-B).  </w:t>
                      </w:r>
                    </w:p>
                    <w:p w:rsidR="00F818D2" w:rsidRDefault="001313E7">
                      <w:pPr>
                        <w:pStyle w:val="NumberListCOB"/>
                      </w:pPr>
                      <w:r>
                        <w:t>Adopt the resolution entitled</w:t>
                      </w:r>
                      <w:r w:rsidR="00194E52">
                        <w:t>:</w:t>
                      </w:r>
                      <w:r>
                        <w:t xml:space="preserve"> RESOLUTION AMENDING TRAFFIC RESOLUTION NO. 301 RELATING TO THE ESTABLISHMENT OF NO STANDING OR PARKING ZONES IN THE COUNTY OF SAN DIEGO</w:t>
                      </w:r>
                    </w:p>
                    <w:p w:rsidR="00F818D2" w:rsidRDefault="001313E7" w:rsidP="00B83F85">
                      <w:pPr>
                        <w:pStyle w:val="NumberListCOB"/>
                        <w:spacing w:after="120"/>
                      </w:pPr>
                      <w:r>
                        <w:t xml:space="preserve">Approve the introduction, read title and waive further reading of the following Ordinance: </w:t>
                      </w:r>
                    </w:p>
                    <w:p w:rsidR="00F818D2" w:rsidRDefault="001313E7" w:rsidP="00462BC1">
                      <w:pPr>
                        <w:tabs>
                          <w:tab w:val="left" w:pos="693"/>
                          <w:tab w:val="left" w:pos="783"/>
                          <w:tab w:val="left" w:pos="828"/>
                          <w:tab w:val="left" w:pos="1503"/>
                          <w:tab w:val="left" w:pos="7758"/>
                          <w:tab w:val="left" w:pos="8637"/>
                        </w:tabs>
                        <w:spacing w:before="240"/>
                        <w:ind w:left="835" w:right="518"/>
                      </w:pPr>
                      <w:r>
                        <w:t>AN ORDINANCE ADDING SECTION 72.173.11.1. AND AMENDING SECTIONS 72.173.11. AND 72.173.81. OF THE SAN DIEGO COUNTY CODE RELATING TO TRAFFIC REGULATIONS IN THE COUNTY OF SAN DIEGO</w:t>
                      </w:r>
                      <w:r w:rsidR="00194E52">
                        <w:t>.</w:t>
                      </w:r>
                      <w:r>
                        <w:t xml:space="preserve"> (Item 2-C)</w:t>
                      </w:r>
                    </w:p>
                    <w:p w:rsidR="00F818D2" w:rsidRDefault="001313E7" w:rsidP="00462BC1">
                      <w:pPr>
                        <w:tabs>
                          <w:tab w:val="left" w:pos="783"/>
                          <w:tab w:val="left" w:pos="1143"/>
                          <w:tab w:val="left" w:pos="3483"/>
                          <w:tab w:val="left" w:pos="4923"/>
                        </w:tabs>
                        <w:spacing w:before="240"/>
                      </w:pPr>
                      <w:r>
                        <w:t>If, on February 29, 2012, the Board takes action as recommended in Chief Administrative Officer’s Recommendation above, then, on March 14, 2012:</w:t>
                      </w:r>
                    </w:p>
                    <w:p w:rsidR="007559F1" w:rsidRDefault="007559F1" w:rsidP="007559F1">
                      <w:pPr>
                        <w:pStyle w:val="NumberListCOB"/>
                        <w:numPr>
                          <w:ilvl w:val="0"/>
                          <w:numId w:val="0"/>
                        </w:numPr>
                        <w:spacing w:after="0"/>
                      </w:pPr>
                    </w:p>
                    <w:p w:rsidR="00F818D2" w:rsidRPr="00B83F85" w:rsidRDefault="001313E7" w:rsidP="00B83F85">
                      <w:pPr>
                        <w:pStyle w:val="NumberListCOB"/>
                        <w:numPr>
                          <w:ilvl w:val="0"/>
                          <w:numId w:val="0"/>
                        </w:numPr>
                      </w:pPr>
                      <w:r>
                        <w:t xml:space="preserve">Consider and adopt an Ordinance adding Section 72.173.11.1. </w:t>
                      </w:r>
                      <w:proofErr w:type="gramStart"/>
                      <w:r>
                        <w:t>and</w:t>
                      </w:r>
                      <w:proofErr w:type="gramEnd"/>
                      <w:r>
                        <w:t xml:space="preserve"> amending Sections 72.173.11. </w:t>
                      </w:r>
                      <w:proofErr w:type="gramStart"/>
                      <w:r>
                        <w:t>and</w:t>
                      </w:r>
                      <w:proofErr w:type="gramEnd"/>
                      <w:r>
                        <w:t xml:space="preserve"> 72.173.81. of the County Code relating to traffic regulations in the County of San Diego (Item 2-C). (second reading)</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856ABA"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9C3DDE">
                        <w:t xml:space="preserve">, </w:t>
                      </w:r>
                      <w:r w:rsidR="00856ABA">
                        <w:t>adopting the following Resolutions, entitled:</w:t>
                      </w:r>
                    </w:p>
                    <w:p w:rsidR="00856ABA" w:rsidRDefault="00856ABA" w:rsidP="00BE12B5">
                      <w:pPr>
                        <w:pStyle w:val="HangingIndent"/>
                        <w:keepLines/>
                        <w:tabs>
                          <w:tab w:val="clear" w:pos="5760"/>
                          <w:tab w:val="clear" w:pos="6480"/>
                          <w:tab w:val="clear" w:pos="7200"/>
                          <w:tab w:val="clear" w:pos="7920"/>
                          <w:tab w:val="clear" w:pos="8640"/>
                        </w:tabs>
                        <w:ind w:left="0" w:firstLine="0"/>
                      </w:pPr>
                    </w:p>
                    <w:p w:rsidR="00856ABA" w:rsidRDefault="00856ABA" w:rsidP="00BE12B5">
                      <w:pPr>
                        <w:pStyle w:val="HangingIndent"/>
                        <w:keepLines/>
                        <w:tabs>
                          <w:tab w:val="clear" w:pos="5760"/>
                          <w:tab w:val="clear" w:pos="6480"/>
                          <w:tab w:val="clear" w:pos="7200"/>
                          <w:tab w:val="clear" w:pos="7920"/>
                          <w:tab w:val="clear" w:pos="8640"/>
                        </w:tabs>
                        <w:ind w:left="0" w:firstLine="0"/>
                      </w:pPr>
                      <w:r>
                        <w:t xml:space="preserve">Item 2-A, </w:t>
                      </w:r>
                      <w:r w:rsidR="009C3DDE">
                        <w:t>Resolution No. 12-</w:t>
                      </w:r>
                      <w:r w:rsidR="00B83F85">
                        <w:t>023</w:t>
                      </w:r>
                      <w:r w:rsidR="009C3DDE">
                        <w:t xml:space="preserve">, entitled:  </w:t>
                      </w:r>
                      <w:r w:rsidR="008C1FEA">
                        <w:t xml:space="preserve">TRAFFIC RESOLUTION NO. 3187, </w:t>
                      </w:r>
                      <w:r w:rsidR="009C3DDE">
                        <w:t xml:space="preserve">RESOLUTION AMENDING TRAFFIC RESOLUTION NO. 301 RELATING TO THE ESTABLISHMENT OF NO STANDING AND PARKING ZONES </w:t>
                      </w:r>
                      <w:r w:rsidR="008C1FEA">
                        <w:t>IN THE COUNTY OF SAN DIEGO</w:t>
                      </w:r>
                      <w:r w:rsidR="009C3DDE">
                        <w:t xml:space="preserve">; </w:t>
                      </w:r>
                    </w:p>
                    <w:p w:rsidR="00856ABA" w:rsidRDefault="00856ABA" w:rsidP="00BE12B5">
                      <w:pPr>
                        <w:pStyle w:val="HangingIndent"/>
                        <w:keepLines/>
                        <w:tabs>
                          <w:tab w:val="clear" w:pos="5760"/>
                          <w:tab w:val="clear" w:pos="6480"/>
                          <w:tab w:val="clear" w:pos="7200"/>
                          <w:tab w:val="clear" w:pos="7920"/>
                          <w:tab w:val="clear" w:pos="8640"/>
                        </w:tabs>
                        <w:ind w:left="0" w:firstLine="0"/>
                      </w:pPr>
                    </w:p>
                    <w:p w:rsidR="00856ABA" w:rsidRDefault="00856ABA" w:rsidP="00BE12B5">
                      <w:pPr>
                        <w:pStyle w:val="HangingIndent"/>
                        <w:keepLines/>
                        <w:tabs>
                          <w:tab w:val="clear" w:pos="5760"/>
                          <w:tab w:val="clear" w:pos="6480"/>
                          <w:tab w:val="clear" w:pos="7200"/>
                          <w:tab w:val="clear" w:pos="7920"/>
                          <w:tab w:val="clear" w:pos="8640"/>
                        </w:tabs>
                        <w:ind w:left="0" w:firstLine="0"/>
                      </w:pPr>
                      <w:r>
                        <w:t>Item 2-A, Resolution No. 12-</w:t>
                      </w:r>
                      <w:r w:rsidR="00B83F85">
                        <w:t>024</w:t>
                      </w:r>
                      <w:r>
                        <w:t xml:space="preserve">, entitled:  </w:t>
                      </w:r>
                      <w:r w:rsidR="008C1FEA">
                        <w:t xml:space="preserve">TRAFFIC RESOLUTION NO. 3189, </w:t>
                      </w:r>
                      <w:r>
                        <w:t>RESOLUTION AMENDING TRAFFIC RESOLUTION NO. 667 RELATING TO THE ESTABLISHMENT OF NO PARKING-TOW AWAY ZONES</w:t>
                      </w:r>
                      <w:r w:rsidR="008C1FEA">
                        <w:t xml:space="preserve"> IN THE COUNTY OF SAN DIEGO</w:t>
                      </w:r>
                      <w:r>
                        <w:t xml:space="preserve">; </w:t>
                      </w:r>
                    </w:p>
                    <w:p w:rsidR="00856ABA" w:rsidRDefault="00856ABA" w:rsidP="00BE12B5">
                      <w:pPr>
                        <w:pStyle w:val="HangingIndent"/>
                        <w:keepLines/>
                        <w:tabs>
                          <w:tab w:val="clear" w:pos="5760"/>
                          <w:tab w:val="clear" w:pos="6480"/>
                          <w:tab w:val="clear" w:pos="7200"/>
                          <w:tab w:val="clear" w:pos="7920"/>
                          <w:tab w:val="clear" w:pos="8640"/>
                        </w:tabs>
                        <w:ind w:left="0" w:firstLine="0"/>
                      </w:pPr>
                    </w:p>
                    <w:p w:rsidR="00856ABA" w:rsidRDefault="00856ABA" w:rsidP="00BE12B5">
                      <w:pPr>
                        <w:pStyle w:val="HangingIndent"/>
                        <w:keepLines/>
                        <w:tabs>
                          <w:tab w:val="clear" w:pos="5760"/>
                          <w:tab w:val="clear" w:pos="6480"/>
                          <w:tab w:val="clear" w:pos="7200"/>
                          <w:tab w:val="clear" w:pos="7920"/>
                          <w:tab w:val="clear" w:pos="8640"/>
                        </w:tabs>
                        <w:ind w:left="0" w:firstLine="0"/>
                      </w:pPr>
                      <w:r>
                        <w:t>Item 2-B, Resolution No. 12-</w:t>
                      </w:r>
                      <w:r w:rsidR="00B83F85">
                        <w:t>025</w:t>
                      </w:r>
                      <w:r>
                        <w:t xml:space="preserve">, entitled: TRAFFIC RESOLUTION NO. 3188, RESOLUTION AMENDING TRAFFIC RESOLUTION NO. 304 RELATING TO THE ESTABLISHMENT OF STOP INTERSECTIONS IN THE COUNTY OF    SAN DIEGO; </w:t>
                      </w:r>
                    </w:p>
                    <w:p w:rsidR="00856ABA" w:rsidRDefault="00856ABA" w:rsidP="00BE12B5">
                      <w:pPr>
                        <w:pStyle w:val="HangingIndent"/>
                        <w:keepLines/>
                        <w:tabs>
                          <w:tab w:val="clear" w:pos="5760"/>
                          <w:tab w:val="clear" w:pos="6480"/>
                          <w:tab w:val="clear" w:pos="7200"/>
                          <w:tab w:val="clear" w:pos="7920"/>
                          <w:tab w:val="clear" w:pos="8640"/>
                        </w:tabs>
                        <w:ind w:left="0" w:firstLine="0"/>
                      </w:pPr>
                    </w:p>
                    <w:p w:rsidR="003D6050" w:rsidRDefault="00856ABA" w:rsidP="00BE12B5">
                      <w:pPr>
                        <w:pStyle w:val="HangingIndent"/>
                        <w:keepLines/>
                        <w:tabs>
                          <w:tab w:val="clear" w:pos="5760"/>
                          <w:tab w:val="clear" w:pos="6480"/>
                          <w:tab w:val="clear" w:pos="7200"/>
                          <w:tab w:val="clear" w:pos="7920"/>
                          <w:tab w:val="clear" w:pos="8640"/>
                        </w:tabs>
                        <w:ind w:left="0" w:firstLine="0"/>
                      </w:pPr>
                      <w:r>
                        <w:t>Item 2-B, Resolution No. 12-</w:t>
                      </w:r>
                      <w:r w:rsidR="00B83F85">
                        <w:t>026</w:t>
                      </w:r>
                      <w:r>
                        <w:t xml:space="preserve">, entitled: </w:t>
                      </w:r>
                      <w:r w:rsidR="009C3DDE">
                        <w:t xml:space="preserve"> </w:t>
                      </w:r>
                      <w:r w:rsidR="008C1FEA">
                        <w:t xml:space="preserve">TRAFFIC RESOLUTION NO. 3190, </w:t>
                      </w:r>
                      <w:r>
                        <w:t>RESOLUTION AMENDING TRAFFIC RESOLUTION NO. 301 RELATING TO THE ESTABLISHMENT OF NO STANDING OR PARKING ZONES IN THE COUNTY OF SAN DIEGO; and introducing Ordinance for further Board consideration and adoption on March 14, 2012</w:t>
                      </w:r>
                      <w:r w:rsidR="003D6050">
                        <w: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rsidP="00856ABA">
                      <w:pPr>
                        <w:pStyle w:val="BLTemplate"/>
                        <w:jc w:val="center"/>
                        <w:rPr>
                          <w:b/>
                        </w:rPr>
                      </w:pPr>
                      <w:r>
                        <w:rPr>
                          <w:b/>
                        </w:rPr>
                        <w:t>10.</w:t>
                      </w:r>
                    </w:p>
                  </w:tc>
                </w:customXml>
                <w:customXml w:uri="regular-agenda-item" w:element="CATEGORY">
                  <w:tc>
                    <w:tcPr>
                      <w:tcW w:w="1440" w:type="dxa"/>
                    </w:tcPr>
                    <w:p w:rsidR="00690459" w:rsidRDefault="00690459" w:rsidP="00856ABA">
                      <w:pPr>
                        <w:pStyle w:val="BLTemplate"/>
                        <w:jc w:val="left"/>
                        <w:rPr>
                          <w:b/>
                        </w:rPr>
                      </w:pPr>
                      <w:r>
                        <w:rPr>
                          <w:b/>
                        </w:rPr>
                        <w:t>SUBJECT:</w:t>
                      </w:r>
                    </w:p>
                  </w:tc>
                </w:customXml>
                <w:customXml w:uri="regular-agenda-item" w:element="SUBJECT">
                  <w:tc>
                    <w:tcPr>
                      <w:tcW w:w="7056" w:type="dxa"/>
                    </w:tcPr>
                    <w:p w:rsidR="00F818D2" w:rsidRDefault="006D2224" w:rsidP="00856ABA">
                      <w:pPr>
                        <w:pStyle w:val="JustifiedCOB"/>
                        <w:jc w:val="left"/>
                      </w:pPr>
                      <w:r>
                        <w:fldChar w:fldCharType="begin"/>
                      </w:r>
                      <w:r w:rsidR="001313E7">
                        <w:instrText xml:space="preserve"> MacroButton NoMacro </w:instrText>
                      </w:r>
                      <w:r>
                        <w:fldChar w:fldCharType="end"/>
                      </w:r>
                      <w:r w:rsidR="001313E7">
                        <w:rPr>
                          <w:b/>
                        </w:rPr>
                        <w:t xml:space="preserve">SOLE SOURCE PROCUREMENT FOR </w:t>
                      </w:r>
                      <w:r w:rsidR="001313E7">
                        <w:rPr>
                          <w:b/>
                          <w:color w:val="000000"/>
                        </w:rPr>
                        <w:t>REPLACEMENT OF FIVE FIELD SURVEY GLOBAL POSITION SYSTEM INSTRUMENTS FROM TRIMBLE CORPORATION</w:t>
                      </w:r>
                      <w:r w:rsidR="001313E7">
                        <w:rPr>
                          <w:b/>
                        </w:rPr>
                        <w:t xml:space="preserve"> (DISTRICT</w:t>
                      </w:r>
                      <w:r w:rsidR="007559F1">
                        <w:rPr>
                          <w:b/>
                        </w:rPr>
                        <w:t>S</w:t>
                      </w:r>
                      <w:r w:rsidR="001313E7">
                        <w:rPr>
                          <w:b/>
                        </w:rPr>
                        <w:t xml:space="preserve">: ALL) </w:t>
                      </w:r>
                    </w:p>
                  </w:tc>
                </w:customXml>
              </w:tr>
            </w:customXml>
            <w:customXml w:uri="regular-agenda-item" w:element="DETAILS_ROW">
              <w:tr w:rsidR="00690459" w:rsidTr="00391A34">
                <w:tc>
                  <w:tcPr>
                    <w:tcW w:w="864" w:type="dxa"/>
                  </w:tcPr>
                  <w:p w:rsidR="00690459" w:rsidRDefault="00690459" w:rsidP="00856ABA">
                    <w:pPr>
                      <w:pStyle w:val="BLTemplate"/>
                      <w:jc w:val="center"/>
                      <w:rPr>
                        <w:b/>
                      </w:rPr>
                    </w:pPr>
                  </w:p>
                </w:tc>
                <w:customXml w:uri="regular-agenda-item" w:element="HEADER">
                  <w:tc>
                    <w:tcPr>
                      <w:tcW w:w="8496" w:type="dxa"/>
                      <w:gridSpan w:val="2"/>
                      <w:vAlign w:val="bottom"/>
                    </w:tcPr>
                    <w:p w:rsidR="00690459" w:rsidRDefault="00690459" w:rsidP="00856ABA">
                      <w:pPr>
                        <w:pStyle w:val="BLTemplate"/>
                      </w:pPr>
                      <w:r>
                        <w:rPr>
                          <w:b/>
                        </w:rPr>
                        <w:t>OVERVIEW:</w:t>
                      </w:r>
                    </w:p>
                  </w:tc>
                </w:customXml>
              </w:tr>
            </w:customXml>
            <w:customXml w:uri="regular-agenda-item" w:element="DETAILS_ROW">
              <w:tr w:rsidR="00690459" w:rsidTr="00391A34">
                <w:tc>
                  <w:tcPr>
                    <w:tcW w:w="864" w:type="dxa"/>
                  </w:tcPr>
                  <w:p w:rsidR="00690459" w:rsidRDefault="00690459" w:rsidP="00856ABA">
                    <w:pPr>
                      <w:pStyle w:val="BLTemplate"/>
                      <w:jc w:val="center"/>
                      <w:rPr>
                        <w:b/>
                      </w:rPr>
                    </w:pPr>
                  </w:p>
                </w:tc>
                <w:customXml w:uri="regular-agenda-item" w:element="HEADER">
                  <w:tc>
                    <w:tcPr>
                      <w:tcW w:w="8496" w:type="dxa"/>
                      <w:gridSpan w:val="2"/>
                    </w:tcPr>
                    <w:p w:rsidR="00F818D2" w:rsidRDefault="006D2224" w:rsidP="00856ABA">
                      <w:pPr>
                        <w:rPr>
                          <w:color w:val="000000"/>
                        </w:rPr>
                      </w:pPr>
                      <w:r>
                        <w:fldChar w:fldCharType="begin"/>
                      </w:r>
                      <w:r w:rsidR="001313E7">
                        <w:instrText xml:space="preserve"> MacroButton NoMacro </w:instrText>
                      </w:r>
                      <w:r>
                        <w:fldChar w:fldCharType="end"/>
                      </w:r>
                      <w:r w:rsidR="001313E7">
                        <w:t xml:space="preserve">The Department of Public Works Field Surveys section provides various services; including, </w:t>
                      </w:r>
                      <w:r w:rsidR="001313E7">
                        <w:rPr>
                          <w:color w:val="000000"/>
                        </w:rPr>
                        <w:t xml:space="preserve">construction staking and topographic surveys for County Capital Improvement Projects (CIP); land boundary retracement for improvements to County property; setting control points for aerial mapping and flood control projects; and recovery and </w:t>
                      </w:r>
                      <w:proofErr w:type="spellStart"/>
                      <w:r w:rsidR="001313E7">
                        <w:rPr>
                          <w:color w:val="000000"/>
                        </w:rPr>
                        <w:t>remonumentation</w:t>
                      </w:r>
                      <w:proofErr w:type="spellEnd"/>
                      <w:r w:rsidR="001313E7">
                        <w:rPr>
                          <w:color w:val="000000"/>
                        </w:rPr>
                        <w:t xml:space="preserve"> of historical land corners. Accuracy and efficiency is essential for this work, which impacts both public and private property and the surveying community. </w:t>
                      </w:r>
                    </w:p>
                    <w:p w:rsidR="00F818D2" w:rsidRDefault="00F818D2" w:rsidP="00856ABA"/>
                    <w:p w:rsidR="00F818D2" w:rsidRDefault="001313E7" w:rsidP="00856ABA">
                      <w:pPr>
                        <w:rPr>
                          <w:color w:val="000000"/>
                        </w:rPr>
                      </w:pPr>
                      <w:r>
                        <w:t>The County has used commercial survey-grade global positioning system (GPS) equipment for over 20 years. The current equipment is more than nine years old and has reached the end of its useful life. T</w:t>
                      </w:r>
                      <w:r>
                        <w:rPr>
                          <w:color w:val="000000"/>
                        </w:rPr>
                        <w:t xml:space="preserve">his equipment is technically obsolete and costly to repair, with no guarantee that the current equipment provider will continue to provide service and support for this system. </w:t>
                      </w:r>
                    </w:p>
                    <w:p w:rsidR="00F818D2" w:rsidRDefault="00F818D2" w:rsidP="00856ABA">
                      <w:pPr>
                        <w:rPr>
                          <w:color w:val="000000"/>
                        </w:rPr>
                      </w:pPr>
                    </w:p>
                    <w:p w:rsidR="00F818D2" w:rsidRDefault="001313E7" w:rsidP="00856ABA">
                      <w:pPr>
                        <w:rPr>
                          <w:color w:val="000000"/>
                        </w:rPr>
                      </w:pPr>
                      <w:r>
                        <w:t xml:space="preserve">This is a request to authorize a sole source agreement with </w:t>
                      </w:r>
                      <w:r>
                        <w:rPr>
                          <w:color w:val="000000"/>
                        </w:rPr>
                        <w:t>Allen Instruments &amp; Supplies</w:t>
                      </w:r>
                      <w:r>
                        <w:t xml:space="preserve"> for procurement of five Trimble Corporation’s </w:t>
                      </w:r>
                      <w:r>
                        <w:rPr>
                          <w:color w:val="000000"/>
                        </w:rPr>
                        <w:t>R8 Global Navigational Survey System receivers and related hardware. This is the only equipment that meets the County Surveyor’s requirement for absolute compatibility with existing County-owned hardware and software</w:t>
                      </w:r>
                      <w:r>
                        <w:t>. Trimble Corporation</w:t>
                      </w:r>
                      <w:r>
                        <w:rPr>
                          <w:color w:val="000000"/>
                        </w:rPr>
                        <w:t xml:space="preserve"> also owns Tripod Data System’s (TDS) proprietary software that has been used exclusively in the County’s Field Surveys division for more than 15 years. This allows survey data to be transferred to the County’s AutoCAD drafting software.  Procurement of the Trimble R8 Global Navigational Survey System receivers will also provide seamless integration with the County’s existing Trimble S6 total stations and data collector surveying equipment. </w:t>
                      </w:r>
                    </w:p>
                    <w:p w:rsidR="00F818D2" w:rsidRDefault="00F818D2" w:rsidP="00856ABA"/>
                    <w:p w:rsidR="00F818D2" w:rsidRDefault="001313E7" w:rsidP="00856ABA">
                      <w:pPr>
                        <w:pStyle w:val="JustifiedCOB"/>
                      </w:pPr>
                      <w:r>
                        <w:rPr>
                          <w:color w:val="000000"/>
                        </w:rPr>
                        <w:t>Allen Instruments &amp; Supplies is the exclusive franchise dealer on all Trimble GPS receivers for the San Diego region.</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Funds for this request are budgeted in the Fiscal Year 2011-12 Operational Plan for the Department of Public Works.  </w:t>
                      </w:r>
                      <w:r w:rsidR="007559F1">
                        <w:t xml:space="preserve"> </w:t>
                      </w:r>
                      <w:r w:rsidR="001313E7">
                        <w:t xml:space="preserve">If approved, this request will result in total current year cost not to exceed $120,000. </w:t>
                      </w:r>
                      <w:r w:rsidR="007559F1">
                        <w:t xml:space="preserve"> </w:t>
                      </w:r>
                      <w:r w:rsidR="001313E7">
                        <w:t>The funding source is Public Works Road Fund. There will be no change in net General Fund cost and no additional staff years.</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rsidP="007559F1">
                    <w:pPr>
                      <w:pStyle w:val="BLTemplate"/>
                      <w:keepNext/>
                      <w:jc w:val="center"/>
                      <w:rPr>
                        <w:b/>
                      </w:rPr>
                    </w:pPr>
                  </w:p>
                </w:tc>
                <w:customXml w:uri="regular-agenda-item" w:element="HEADER">
                  <w:tc>
                    <w:tcPr>
                      <w:tcW w:w="8496" w:type="dxa"/>
                      <w:gridSpan w:val="2"/>
                      <w:vAlign w:val="bottom"/>
                    </w:tcPr>
                    <w:p w:rsidR="00690459" w:rsidRDefault="00690459" w:rsidP="007559F1">
                      <w:pPr>
                        <w:pStyle w:val="BLTemplate"/>
                        <w:keepNext/>
                      </w:pPr>
                      <w:r>
                        <w:rPr>
                          <w:b/>
                        </w:rPr>
                        <w:t>RECOMMENDATION:</w:t>
                      </w:r>
                    </w:p>
                  </w:tc>
                </w:customXml>
              </w:tr>
            </w:customXml>
            <w:customXml w:uri="regular-agenda-item" w:element="DETAILS_ROW">
              <w:tr w:rsidR="00690459" w:rsidTr="00391A34">
                <w:tc>
                  <w:tcPr>
                    <w:tcW w:w="864" w:type="dxa"/>
                  </w:tcPr>
                  <w:p w:rsidR="00690459" w:rsidRDefault="00690459" w:rsidP="007559F1">
                    <w:pPr>
                      <w:pStyle w:val="BLTemplate"/>
                      <w:keepNext/>
                      <w:jc w:val="center"/>
                      <w:rPr>
                        <w:b/>
                      </w:rPr>
                    </w:pPr>
                  </w:p>
                </w:tc>
                <w:customXml w:uri="regular-agenda-item" w:element="HEADER">
                  <w:tc>
                    <w:tcPr>
                      <w:tcW w:w="8496" w:type="dxa"/>
                      <w:gridSpan w:val="2"/>
                    </w:tcPr>
                    <w:p w:rsidR="00F818D2" w:rsidRDefault="001313E7" w:rsidP="007559F1">
                      <w:pPr>
                        <w:pStyle w:val="BLTemplate"/>
                        <w:keepNext/>
                      </w:pPr>
                      <w:r>
                        <w:rPr>
                          <w:rStyle w:val="BoldCOB"/>
                        </w:rPr>
                        <w:t>CHIEF ADMINISTRATIVE OFFICER</w:t>
                      </w:r>
                    </w:p>
                    <w:p w:rsidR="00F818D2" w:rsidRDefault="001313E7" w:rsidP="007559F1">
                      <w:pPr>
                        <w:pStyle w:val="NumberListCOB"/>
                        <w:keepNext/>
                      </w:pPr>
                      <w:r>
                        <w:t>Find, pursuant to Section 15061(b)(3) of the California Environmental Quality Act (CEQA) Guidelines, requested action is not subject to the environmental review process, because it can be seen with certainty there is no possibility it may have a significant effect on the environment.</w:t>
                      </w:r>
                    </w:p>
                    <w:p w:rsidR="00F818D2" w:rsidRDefault="001313E7" w:rsidP="007559F1">
                      <w:pPr>
                        <w:pStyle w:val="NumberListCOB"/>
                        <w:keepNext/>
                      </w:pPr>
                      <w:r>
                        <w:t xml:space="preserve">In accordance with Board Policy A-87, Competitive Procurement, approve and authorize the Director, Department of Purchasing &amp; Contracting, to enter into negotiations with Allen Instruments &amp; Supplies and subject to successful negotiations and determination of a fair and reasonable price, award a contract to acquire GPS equipment and product support to include; one year basic warranty, parts, and training subject to approval of the Director, Department of Public Works.  </w:t>
                      </w:r>
                    </w:p>
                    <w:p w:rsidR="00F818D2" w:rsidRPr="00391A34" w:rsidRDefault="001313E7" w:rsidP="007559F1">
                      <w:pPr>
                        <w:pStyle w:val="NumberListCOB"/>
                        <w:keepNext/>
                      </w:pPr>
                      <w:r>
                        <w:t>Waive advertising requirements of Board Policy A-87.</w:t>
                      </w:r>
                      <w:r w:rsidR="006D2224" w:rsidRPr="00391A34">
                        <w:rPr>
                          <w:vanish/>
                        </w:rPr>
                        <w:fldChar w:fldCharType="begin"/>
                      </w:r>
                      <w:r w:rsidRPr="00391A34">
                        <w:rPr>
                          <w:vanish/>
                        </w:rPr>
                        <w:instrText xml:space="preserve"> LISTNUM  \l 1 \s 0 </w:instrText>
                      </w:r>
                      <w:r w:rsidR="006D2224" w:rsidRPr="00391A34">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11.</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7559F1">
                      <w:pPr>
                        <w:pStyle w:val="JustifiedCOB"/>
                        <w:jc w:val="left"/>
                      </w:pPr>
                      <w:r>
                        <w:fldChar w:fldCharType="begin"/>
                      </w:r>
                      <w:r w:rsidR="001313E7">
                        <w:instrText xml:space="preserve"> MacroButton NoMacro </w:instrText>
                      </w:r>
                      <w:r>
                        <w:fldChar w:fldCharType="end"/>
                      </w:r>
                      <w:r w:rsidR="001313E7">
                        <w:rPr>
                          <w:b/>
                        </w:rPr>
                        <w:t xml:space="preserve">ADVERTISE AND AWARD CONTRACT FOR CONSTRUCTION OF PROSPECT STREET SOUTHERN SIDEWALK IMPROVEMENTS (DISTRICT: 1)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 xml:space="preserve">Lincoln Acres is an island of unincorporated San Diego County located within the boundaries of the City of National City north of State Route 54 at I-805 (2009 Thomas Guide Page 1310, B2-B3 and C2-C3). The proposed project involves construction of approximately 280 feet of new curb, gutter and sidewalk, one new pedestrian ramp, and approximately 165 feet of retaining wall to support the new sidewalk improvements on the south side of Prospect Street at Sweetwater Road in the community of Lincoln Acres.  The improvements will benefit the community by enhancing pedestrian access and walk-ability in this heavily-traveled, mixed-use residential and commercial area.  </w:t>
                      </w:r>
                    </w:p>
                    <w:p w:rsidR="00F818D2" w:rsidRDefault="001313E7">
                      <w:pPr>
                        <w:pStyle w:val="JustifiedCOB"/>
                      </w:pPr>
                      <w:r>
                        <w:t>This is a request to approve advertisement and subsequent award, to the lowest responsible bidder, of a contract to construct the Prospect Street Southern Sidewalk Improvements project. Upon Board approval, Department of Purchasing and Contracting will advertise and subsequently award a contract for construction.  Project construction is scheduled to begin late Spring 2012 and be completed by Summer 2012.</w:t>
                      </w:r>
                      <w:r w:rsidR="006D2224">
                        <w:rPr>
                          <w:vanish/>
                        </w:rPr>
                        <w:fldChar w:fldCharType="begin"/>
                      </w:r>
                      <w:r>
                        <w:rPr>
                          <w:vanish/>
                        </w:rPr>
                        <w:instrText xml:space="preserve"> LISTNUM  \l 1 \s 0 </w:instrText>
                      </w:r>
                      <w:r w:rsidR="006D2224">
                        <w:rPr>
                          <w:vanish/>
                        </w:rPr>
                        <w:fldChar w:fldCharType="end"/>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690459" w:rsidTr="00391A34">
                <w:tc>
                  <w:tcPr>
                    <w:tcW w:w="864" w:type="dxa"/>
                  </w:tcPr>
                  <w:p w:rsidR="00690459" w:rsidRDefault="00690459" w:rsidP="007559F1">
                    <w:pPr>
                      <w:pStyle w:val="BLTemplate"/>
                      <w:keepNext/>
                      <w:jc w:val="center"/>
                      <w:rPr>
                        <w:b/>
                      </w:rPr>
                    </w:pPr>
                  </w:p>
                </w:tc>
                <w:customXml w:uri="regular-agenda-item" w:element="HEADER">
                  <w:tc>
                    <w:tcPr>
                      <w:tcW w:w="8496" w:type="dxa"/>
                      <w:gridSpan w:val="2"/>
                      <w:vAlign w:val="bottom"/>
                    </w:tcPr>
                    <w:p w:rsidR="00690459" w:rsidRDefault="00690459" w:rsidP="007559F1">
                      <w:pPr>
                        <w:pStyle w:val="BLTemplate"/>
                        <w:keepNext/>
                      </w:pPr>
                      <w:r>
                        <w:rPr>
                          <w:b/>
                        </w:rPr>
                        <w:t>FISCAL IMPACT:</w:t>
                      </w:r>
                    </w:p>
                  </w:tc>
                </w:customXml>
              </w:tr>
            </w:customXml>
            <w:customXml w:uri="regular-agenda-item" w:element="DETAILS_ROW">
              <w:tr w:rsidR="00690459" w:rsidTr="00391A34">
                <w:tc>
                  <w:tcPr>
                    <w:tcW w:w="864" w:type="dxa"/>
                  </w:tcPr>
                  <w:p w:rsidR="00690459" w:rsidRDefault="00690459" w:rsidP="007559F1">
                    <w:pPr>
                      <w:pStyle w:val="BLTemplate"/>
                      <w:keepNext/>
                      <w:jc w:val="center"/>
                      <w:rPr>
                        <w:b/>
                      </w:rPr>
                    </w:pPr>
                  </w:p>
                </w:tc>
                <w:customXml w:uri="regular-agenda-item" w:element="HEADER">
                  <w:tc>
                    <w:tcPr>
                      <w:tcW w:w="8496" w:type="dxa"/>
                      <w:gridSpan w:val="2"/>
                    </w:tcPr>
                    <w:p w:rsidR="00F818D2" w:rsidRDefault="006D2224" w:rsidP="007559F1">
                      <w:pPr>
                        <w:pStyle w:val="JustifiedCOB"/>
                        <w:keepNext/>
                      </w:pPr>
                      <w:r>
                        <w:fldChar w:fldCharType="begin"/>
                      </w:r>
                      <w:r w:rsidR="001313E7">
                        <w:instrText xml:space="preserve"> MacroButton NoMacro </w:instrText>
                      </w:r>
                      <w:r>
                        <w:fldChar w:fldCharType="end"/>
                      </w:r>
                      <w:r w:rsidR="001313E7">
                        <w:t>Funds for this request are included in the Fiscal Year 2011-12 Department of Public Works Operationa</w:t>
                      </w:r>
                      <w:r w:rsidR="00B60F0D">
                        <w:t xml:space="preserve">l Plan, Detailed Work Program. </w:t>
                      </w:r>
                      <w:r w:rsidR="001313E7">
                        <w:t>If approved, current year construction project costs will be $240,000 with no additional on-going cost and no additional staffing.  The funding source is Community Development Block Grant ($150,000) and Highway User Tax Account ($90,000). There will be no impact to the General Fund.</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County construction contracts are competitively bid and help stimulate the local economy.</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pPr>
                        <w:pStyle w:val="NumberListCOB"/>
                      </w:pPr>
                      <w:r>
                        <w:t>Find that the proposed project is exempt from the California Environmental Quality Act (CEQA) as specified under Section 15301 of the state CEQA Guidelines.</w:t>
                      </w:r>
                    </w:p>
                    <w:p w:rsidR="00F818D2" w:rsidRDefault="001313E7">
                      <w:pPr>
                        <w:pStyle w:val="NumberListCOB"/>
                      </w:pPr>
                      <w:r>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F818D2" w:rsidRPr="00391A34" w:rsidRDefault="001313E7" w:rsidP="00391A34">
                      <w:pPr>
                        <w:pStyle w:val="NumberListCOB"/>
                      </w:pPr>
                      <w:r>
                        <w:t>Designate the Director, Department of Public Works, as County Officer   responsible for administering the construction contract, in accordance with Board Policy F-41, Public Works Construction Projects.</w:t>
                      </w:r>
                      <w:r w:rsidR="006D2224" w:rsidRPr="00391A34">
                        <w:rPr>
                          <w:vanish/>
                        </w:rPr>
                        <w:fldChar w:fldCharType="begin"/>
                      </w:r>
                      <w:r w:rsidRPr="00391A34">
                        <w:rPr>
                          <w:vanish/>
                        </w:rPr>
                        <w:instrText xml:space="preserve"> LISTNUM  \l 1 \s 0 </w:instrText>
                      </w:r>
                      <w:r w:rsidR="006D2224" w:rsidRPr="00391A34">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12.</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7559F1">
                      <w:pPr>
                        <w:pStyle w:val="JustifiedCOB"/>
                        <w:jc w:val="left"/>
                      </w:pPr>
                      <w:r>
                        <w:fldChar w:fldCharType="begin"/>
                      </w:r>
                      <w:r w:rsidR="001313E7">
                        <w:instrText xml:space="preserve"> MacroButton NoMacro </w:instrText>
                      </w:r>
                      <w:r>
                        <w:fldChar w:fldCharType="end"/>
                      </w:r>
                      <w:r w:rsidR="001313E7">
                        <w:rPr>
                          <w:b/>
                        </w:rPr>
                        <w:t xml:space="preserve">ADOPT A RESOLUTION TO SUMMARILY VACATE A PORTION OF JAMACHA BOULEVARD AND SWEETWATER ROAD </w:t>
                      </w:r>
                      <w:r w:rsidR="001313E7">
                        <w:rPr>
                          <w:b/>
                          <w:caps/>
                        </w:rPr>
                        <w:t>and Reserve a Utility Easement Over the Vacated Area</w:t>
                      </w:r>
                      <w:r w:rsidR="001313E7">
                        <w:rPr>
                          <w:b/>
                        </w:rPr>
                        <w:t xml:space="preserve"> (VACATION NO. 2011-0072) (DISTRICT: 2)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r>
                        <w:fldChar w:fldCharType="begin"/>
                      </w:r>
                      <w:r w:rsidR="001313E7">
                        <w:instrText xml:space="preserve"> MacroButton NoMacro </w:instrText>
                      </w:r>
                      <w:r>
                        <w:fldChar w:fldCharType="end"/>
                      </w:r>
                      <w:r w:rsidR="001313E7">
                        <w:t xml:space="preserve">SVSC Holdings, L.P. requested that the County of San Diego vacate public road easements along </w:t>
                      </w:r>
                      <w:proofErr w:type="spellStart"/>
                      <w:r w:rsidR="001313E7">
                        <w:t>Jamacha</w:t>
                      </w:r>
                      <w:proofErr w:type="spellEnd"/>
                      <w:r w:rsidR="001313E7">
                        <w:t xml:space="preserve"> Boulevard (RS 1343) and Sweetwater Road (RS 609).  The easements were acquired by the County of San Diego per docu</w:t>
                      </w:r>
                      <w:r w:rsidR="00B60F0D">
                        <w:t xml:space="preserve">ments recorded December 3, 1954 </w:t>
                      </w:r>
                      <w:r w:rsidR="001313E7">
                        <w:t>in Book 5450, Page 96, on December 13, 1954 in Book 5459, Page 476 and on January 6, 1959 in Book 7430, Page 293, in the Office of the County</w:t>
                      </w:r>
                      <w:r w:rsidR="00B60F0D">
                        <w:t xml:space="preserve"> Recorder of San Diego County. </w:t>
                      </w:r>
                      <w:r w:rsidR="001313E7">
                        <w:t xml:space="preserve">Since that time, the State Department of Transportation (DOT) acquired additional right of way along </w:t>
                      </w:r>
                      <w:proofErr w:type="spellStart"/>
                      <w:r w:rsidR="001313E7">
                        <w:t>Jamacha</w:t>
                      </w:r>
                      <w:proofErr w:type="spellEnd"/>
                      <w:r w:rsidR="001313E7">
                        <w:t xml:space="preserve"> Boulevard and Sweetwater Road to relocate these roads and construct State Route 125 (SR 125).  </w:t>
                      </w:r>
                    </w:p>
                    <w:p w:rsidR="00F818D2" w:rsidRDefault="00F818D2"/>
                    <w:p w:rsidR="00F818D2" w:rsidRDefault="001313E7">
                      <w:r>
                        <w:t xml:space="preserve">After construction was completed and these roads were realigned, excess right of way beyond SR 125 was relinquished from the DOT to the County per Document </w:t>
                      </w:r>
                      <w:r w:rsidR="00B60F0D">
                        <w:t xml:space="preserve">           </w:t>
                      </w:r>
                      <w:r>
                        <w:t xml:space="preserve">No. 2005-0997988, recorded November 17, 2005 in said Recorder’s Office.  Thus, the proposed vacation area has been superseded by realignment of both roads pursuant to Streets &amp; Highways Code Section 8330(a).  </w:t>
                      </w:r>
                      <w:r w:rsidR="00B60F0D">
                        <w:t xml:space="preserve"> </w:t>
                      </w:r>
                      <w:r>
                        <w:t xml:space="preserve">The proposed road vacation is located northeasterly of the intersection of the two roads within a shopping center </w:t>
                      </w:r>
                      <w:r w:rsidR="007559F1">
                        <w:t xml:space="preserve">              </w:t>
                      </w:r>
                      <w:r>
                        <w:t xml:space="preserve">(2010 Thomas Guide Page 1291, A4).  </w:t>
                      </w:r>
                    </w:p>
                    <w:p w:rsidR="00F818D2" w:rsidRDefault="00F818D2"/>
                    <w:p w:rsidR="00F818D2" w:rsidRDefault="001313E7">
                      <w:pPr>
                        <w:pStyle w:val="JustifiedCOB"/>
                      </w:pPr>
                      <w:r>
                        <w:t xml:space="preserve">Today’s request is to adopt a resolution to summarily vacate a portion of </w:t>
                      </w:r>
                      <w:proofErr w:type="spellStart"/>
                      <w:r>
                        <w:t>Jamacha</w:t>
                      </w:r>
                      <w:proofErr w:type="spellEnd"/>
                      <w:r>
                        <w:t xml:space="preserve"> Boulevard and Sweetwater Road no longer required for public road purposes and reserve a public utility easement over the vacated road right of way.</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The applicant has paid the $4,000 cost to process the requested vacation, which has been placed on deposit with the County.</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N/A</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rPr>
                          <w:rStyle w:val="BoldCOB"/>
                        </w:rPr>
                      </w:pPr>
                      <w:r>
                        <w:rPr>
                          <w:rStyle w:val="BoldCOB"/>
                        </w:rPr>
                        <w:t>CHIEF ADMINISTRATIVE OFFICER</w:t>
                      </w:r>
                    </w:p>
                    <w:p w:rsidR="00F818D2" w:rsidRDefault="001313E7" w:rsidP="00462BC1">
                      <w:pPr>
                        <w:pStyle w:val="NumberListCOB"/>
                        <w:tabs>
                          <w:tab w:val="clear" w:pos="360"/>
                        </w:tabs>
                        <w:ind w:left="378" w:hanging="378"/>
                      </w:pPr>
                      <w:r>
                        <w:t>Find the proposed project is exempt from the California Environmental Quality Act (CEQA) pursuant to CEQA Guidelines Section 15303 because it is related to the construction of a small commercial structure.</w:t>
                      </w:r>
                    </w:p>
                    <w:p w:rsidR="00F818D2" w:rsidRDefault="001313E7" w:rsidP="00864F1E">
                      <w:pPr>
                        <w:pStyle w:val="NumberListCOB"/>
                        <w:tabs>
                          <w:tab w:val="clear" w:pos="360"/>
                        </w:tabs>
                        <w:spacing w:after="0"/>
                        <w:ind w:left="374" w:hanging="374"/>
                      </w:pPr>
                      <w:r>
                        <w:t xml:space="preserve">Adopt a Resolution entitled, </w:t>
                      </w:r>
                      <w:r>
                        <w:rPr>
                          <w:caps/>
                        </w:rPr>
                        <w:t>Resolution of the Board of Supervisors to Summarily Vacate a Portion of Jamacha Boulevard and Sweetwater Road and Reserve a Utility Easement Over the Vacated Area (Vacation No. 2011-0072)</w:t>
                      </w:r>
                      <w:r>
                        <w:t>.</w:t>
                      </w:r>
                    </w:p>
                    <w:p w:rsidR="00864F1E" w:rsidRDefault="00864F1E" w:rsidP="00864F1E">
                      <w:pPr>
                        <w:pStyle w:val="NumberListCOB"/>
                        <w:numPr>
                          <w:ilvl w:val="0"/>
                          <w:numId w:val="0"/>
                        </w:numPr>
                        <w:tabs>
                          <w:tab w:val="clear" w:pos="360"/>
                        </w:tabs>
                        <w:spacing w:after="0"/>
                        <w:ind w:left="374"/>
                      </w:pPr>
                    </w:p>
                    <w:p w:rsidR="00864F1E" w:rsidRDefault="00864F1E" w:rsidP="00864F1E">
                      <w:pPr>
                        <w:pStyle w:val="NumberListCOB"/>
                        <w:numPr>
                          <w:ilvl w:val="0"/>
                          <w:numId w:val="0"/>
                        </w:numPr>
                        <w:tabs>
                          <w:tab w:val="clear" w:pos="360"/>
                        </w:tabs>
                        <w:spacing w:after="0"/>
                        <w:ind w:left="374"/>
                      </w:pPr>
                    </w:p>
                    <w:p w:rsidR="00864F1E" w:rsidRDefault="00864F1E" w:rsidP="00864F1E">
                      <w:pPr>
                        <w:pStyle w:val="NumberListCOB"/>
                        <w:numPr>
                          <w:ilvl w:val="0"/>
                          <w:numId w:val="0"/>
                        </w:numPr>
                        <w:tabs>
                          <w:tab w:val="clear" w:pos="360"/>
                        </w:tabs>
                        <w:spacing w:after="0"/>
                        <w:ind w:left="374"/>
                      </w:pPr>
                    </w:p>
                    <w:p w:rsidR="007559F1" w:rsidRPr="007559F1" w:rsidRDefault="001313E7" w:rsidP="00462BC1">
                      <w:pPr>
                        <w:pStyle w:val="NumberListCOB"/>
                        <w:tabs>
                          <w:tab w:val="clear" w:pos="360"/>
                        </w:tabs>
                        <w:ind w:left="378" w:hanging="378"/>
                        <w:rPr>
                          <w:vanish/>
                        </w:rPr>
                      </w:pPr>
                      <w:r>
                        <w:t xml:space="preserve">Direct the Clerk of the Board to record the Resolution for Vacation No. </w:t>
                      </w:r>
                      <w:r w:rsidR="00B60F0D">
                        <w:t xml:space="preserve">          </w:t>
                      </w:r>
                      <w:r>
                        <w:t>2011-0072 pursuant to Streets and Highway Code Section 8336.</w:t>
                      </w:r>
                    </w:p>
                    <w:p w:rsidR="00864F1E" w:rsidRDefault="00864F1E" w:rsidP="00864F1E">
                      <w:pPr>
                        <w:pStyle w:val="NumberListCOB"/>
                        <w:numPr>
                          <w:ilvl w:val="0"/>
                          <w:numId w:val="0"/>
                        </w:numPr>
                        <w:tabs>
                          <w:tab w:val="clear" w:pos="360"/>
                        </w:tabs>
                        <w:spacing w:after="0"/>
                      </w:pPr>
                    </w:p>
                    <w:p w:rsidR="00F818D2" w:rsidRDefault="00F818D2" w:rsidP="00864F1E">
                      <w:pPr>
                        <w:pStyle w:val="NumberListCOB"/>
                        <w:numPr>
                          <w:ilvl w:val="0"/>
                          <w:numId w:val="0"/>
                        </w:numPr>
                        <w:tabs>
                          <w:tab w:val="clear" w:pos="360"/>
                        </w:tabs>
                        <w:spacing w:after="0"/>
                        <w:rPr>
                          <w:vanish/>
                        </w:rPr>
                      </w:pP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690CB2" w:rsidRDefault="00690CB2" w:rsidP="00690CB2">
                      <w:pPr>
                        <w:pStyle w:val="NumberListCOB"/>
                        <w:numPr>
                          <w:ilvl w:val="0"/>
                          <w:numId w:val="0"/>
                        </w:numPr>
                        <w:tabs>
                          <w:tab w:val="clear" w:pos="360"/>
                          <w:tab w:val="left" w:pos="540"/>
                        </w:tabs>
                      </w:pPr>
                      <w:r>
                        <w:t xml:space="preserve">Noting for the record that an Errata sheet </w:t>
                      </w:r>
                      <w:r w:rsidR="00E04FF1">
                        <w:t>was</w:t>
                      </w:r>
                      <w:r>
                        <w:t xml:space="preserve"> submitted</w:t>
                      </w:r>
                      <w:r w:rsidR="00E04FF1">
                        <w:t xml:space="preserve"> that added an additional recommendation</w:t>
                      </w:r>
                      <w:r>
                        <w:t xml:space="preserve">, </w:t>
                      </w:r>
                      <w:r w:rsidR="00F8041A">
                        <w:t>ON MOTION of Supervisor Horn, seconded by Supervisor Slater-Price</w:t>
                      </w:r>
                      <w:r w:rsidR="003D6050" w:rsidRPr="00906D8C">
                        <w:t xml:space="preserve">, the Board took </w:t>
                      </w:r>
                      <w:r>
                        <w:t>the following actions</w:t>
                      </w:r>
                      <w:r w:rsidR="003D6050">
                        <w:t>, on Consent</w:t>
                      </w:r>
                      <w:r>
                        <w:t>:</w:t>
                      </w:r>
                    </w:p>
                    <w:p w:rsidR="00690CB2" w:rsidRDefault="00690CB2" w:rsidP="00690CB2">
                      <w:pPr>
                        <w:pStyle w:val="NumberListCOB"/>
                        <w:numPr>
                          <w:ilvl w:val="0"/>
                          <w:numId w:val="33"/>
                        </w:numPr>
                        <w:tabs>
                          <w:tab w:val="clear" w:pos="360"/>
                        </w:tabs>
                      </w:pPr>
                      <w:r>
                        <w:t xml:space="preserve">Found the proposed project is exempt from the California Environmental Quality Act (CEQA) pursuant </w:t>
                      </w:r>
                      <w:r w:rsidRPr="003F1B8E">
                        <w:t xml:space="preserve">to </w:t>
                      </w:r>
                      <w:r>
                        <w:t xml:space="preserve">CEQA Guidelines </w:t>
                      </w:r>
                      <w:r w:rsidRPr="003F1B8E">
                        <w:t>Section 1530</w:t>
                      </w:r>
                      <w:r>
                        <w:t>3 because it is related to the construction of a small commercial structure.</w:t>
                      </w:r>
                    </w:p>
                    <w:p w:rsidR="00690CB2" w:rsidRPr="00E04FF1" w:rsidRDefault="00690CB2" w:rsidP="00690CB2">
                      <w:pPr>
                        <w:pStyle w:val="NumberListCOB"/>
                        <w:numPr>
                          <w:ilvl w:val="0"/>
                          <w:numId w:val="33"/>
                        </w:numPr>
                        <w:tabs>
                          <w:tab w:val="clear" w:pos="360"/>
                        </w:tabs>
                      </w:pPr>
                      <w:r w:rsidRPr="00E04FF1">
                        <w:t>Found that the proposed project is exempt from the California Environmental Quality Act pursuant to CEQA Guidelines Section 15061 (b) (3) because the vacation of this road segment has no potential to cause a significant effect on the environment.   Caltrans completed construction of an adjacent right of way and has constructed a new highway on those lands, superseding the need for this road segment.  The County’s action in vacating this superseded road segment will merely take the road out of the public road system, but will not close the road. Therefore, there is no possibility that vacating the public road will have a significant effect on the environment because the road will still exist following the vacation process.     </w:t>
                      </w:r>
                    </w:p>
                    <w:p w:rsidR="00690CB2" w:rsidRDefault="00690CB2" w:rsidP="00690CB2">
                      <w:pPr>
                        <w:pStyle w:val="NumberListCOB"/>
                        <w:numPr>
                          <w:ilvl w:val="0"/>
                          <w:numId w:val="33"/>
                        </w:numPr>
                        <w:tabs>
                          <w:tab w:val="clear" w:pos="360"/>
                        </w:tabs>
                      </w:pPr>
                      <w:r>
                        <w:t xml:space="preserve">Adopted Resolution No. 12-027, entitled: </w:t>
                      </w:r>
                      <w:r>
                        <w:rPr>
                          <w:caps/>
                        </w:rPr>
                        <w:t>Resolution of the Board of Supervisors to Summarily Vacate a Portion of Jamacha Boulevard and Sweetwater Road and Reserve a Utility Easement Over the Vacated Area (Vacation No. 2011-0072)</w:t>
                      </w:r>
                      <w:r>
                        <w:t>.</w:t>
                      </w:r>
                      <w:r w:rsidRPr="00906D8C">
                        <w:t xml:space="preserve"> </w:t>
                      </w:r>
                    </w:p>
                    <w:p w:rsidR="00690CB2" w:rsidRDefault="00690CB2" w:rsidP="00690CB2">
                      <w:pPr>
                        <w:pStyle w:val="NumberListCOB"/>
                        <w:numPr>
                          <w:ilvl w:val="0"/>
                          <w:numId w:val="33"/>
                        </w:numPr>
                        <w:tabs>
                          <w:tab w:val="clear" w:pos="360"/>
                        </w:tabs>
                      </w:pPr>
                      <w:r w:rsidRPr="00C950B7">
                        <w:t>Direct</w:t>
                      </w:r>
                      <w:r>
                        <w:t>ed</w:t>
                      </w:r>
                      <w:r w:rsidRPr="00C950B7">
                        <w:t xml:space="preserve"> the Clerk of the Board to </w:t>
                      </w:r>
                      <w:r>
                        <w:t>record the Resolution for Vacation No.     2011-0072 pursuant to</w:t>
                      </w:r>
                      <w:r w:rsidRPr="00C950B7">
                        <w:t xml:space="preserve"> Streets and Highway Code Section 83</w:t>
                      </w:r>
                      <w:r>
                        <w:t>36</w:t>
                      </w:r>
                      <w:r w:rsidRPr="00C950B7">
                        <w:t>.</w:t>
                      </w: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690459" w:rsidTr="00391A34">
                <w:customXml w:uri="regular-agenda-item" w:element="AGENDA_INDEX">
                  <w:tc>
                    <w:tcPr>
                      <w:tcW w:w="864" w:type="dxa"/>
                    </w:tcPr>
                    <w:p w:rsidR="00690459" w:rsidRDefault="00690459">
                      <w:pPr>
                        <w:pStyle w:val="BLTemplate"/>
                        <w:jc w:val="center"/>
                        <w:rPr>
                          <w:b/>
                        </w:rPr>
                      </w:pPr>
                      <w:r>
                        <w:rPr>
                          <w:b/>
                        </w:rPr>
                        <w:t>13.</w:t>
                      </w:r>
                    </w:p>
                  </w:tc>
                </w:customXml>
                <w:customXml w:uri="regular-agenda-item" w:element="CATEGORY">
                  <w:tc>
                    <w:tcPr>
                      <w:tcW w:w="1440" w:type="dxa"/>
                    </w:tcPr>
                    <w:p w:rsidR="00690459" w:rsidRDefault="00690459">
                      <w:pPr>
                        <w:pStyle w:val="BLTemplate"/>
                        <w:jc w:val="left"/>
                        <w:rPr>
                          <w:b/>
                        </w:rPr>
                      </w:pPr>
                      <w:r>
                        <w:rPr>
                          <w:b/>
                        </w:rPr>
                        <w:t>SUBJECT:</w:t>
                      </w:r>
                    </w:p>
                  </w:tc>
                </w:customXml>
                <w:customXml w:uri="regular-agenda-item" w:element="SUBJECT">
                  <w:tc>
                    <w:tcPr>
                      <w:tcW w:w="7056" w:type="dxa"/>
                    </w:tcPr>
                    <w:p w:rsidR="00F818D2" w:rsidRDefault="006D2224" w:rsidP="007559F1">
                      <w:pPr>
                        <w:pStyle w:val="JustifiedCOB"/>
                        <w:jc w:val="left"/>
                      </w:pPr>
                      <w:r>
                        <w:fldChar w:fldCharType="begin"/>
                      </w:r>
                      <w:r w:rsidR="001313E7">
                        <w:instrText xml:space="preserve"> MacroButton NoMacro </w:instrText>
                      </w:r>
                      <w:r>
                        <w:fldChar w:fldCharType="end"/>
                      </w:r>
                      <w:r w:rsidR="001313E7">
                        <w:rPr>
                          <w:b/>
                        </w:rPr>
                        <w:t>AMEND THE COUNTY CODE RELATING TO REGISTRATION OF COMMERCIAL WEIGHING AND MEASURING INSTRUMENTS AND POINT-OF-SALE SYSTEMS (</w:t>
                      </w:r>
                      <w:r w:rsidR="00040C21">
                        <w:rPr>
                          <w:b/>
                        </w:rPr>
                        <w:t xml:space="preserve">FIRST READING 2/29/12; SECOND READING </w:t>
                      </w:r>
                      <w:r w:rsidR="001313E7">
                        <w:rPr>
                          <w:b/>
                        </w:rPr>
                        <w:t>3/14/12) (DISTRICT</w:t>
                      </w:r>
                      <w:r w:rsidR="007559F1">
                        <w:rPr>
                          <w:b/>
                        </w:rPr>
                        <w:t>S</w:t>
                      </w:r>
                      <w:r w:rsidR="001313E7">
                        <w:rPr>
                          <w:b/>
                        </w:rPr>
                        <w:t xml:space="preserve">: ALL) </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OVERVIEW:</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JustifiedCOB"/>
                      </w:pPr>
                      <w:r>
                        <w:t>The Department of Agriculture, Weights and Measures (AWM) ensures a fair marketplace for consumers and businesses in San Diego County by verifying products are sold by accurate weights, measures, and prices.   Commercial scales, meters, and point-of-sale (POS) systems are registered, inspected, and tested.  When a business pays registration fees, AWM mails either a certificate or permit, which must then be posted by the business.</w:t>
                      </w:r>
                    </w:p>
                    <w:p w:rsidR="00F818D2" w:rsidRDefault="001313E7">
                      <w:pPr>
                        <w:pStyle w:val="JustifiedCOB"/>
                      </w:pPr>
                      <w:r>
                        <w:t>County Code makes it unlawful for a person to use these commercial instruments without a valid permit or certificate.  This requested action is to amend the San Diego County Code (Title 2) in two chapters by removing the requirement to obtain and post a certificate or permit.  Instead, a person using a scale, meter, or POS system would only be required to register annually with the county sealer. This will allow AWM customers to be in compliance with the registration requirements the moment the County processes its registration application and payment.  When a device is found to be correct, a weights and measures seal, indicating the date of inspection, is placed on the device so as to provide optimum visibility to the customer, showing that the weight, measure, or instrument was inspected and in proper working condition.  The seal is widely recognized by the public as the way to know if the Sealer of Weights and Mea</w:t>
                      </w:r>
                      <w:r w:rsidR="007559F1">
                        <w:t xml:space="preserve">sures has certified a device.  </w:t>
                      </w:r>
                      <w:r>
                        <w:t>This proposal will also allow AWM to save time and resources in the printing and mailing of thousands of certificates and permits annually.  Additionally, the proposed action includes language to clarify the payment of registration fees and late penalties. This will not increase costs to customers.</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FISCAL IMPACT: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Funds for this request are included in the Fiscal Year 2011-12 Operational Plan in the Department of Agriculture, Weights and Measures.  If approved, this request will result in savings, estimated at $20,000 annually, from reduced printing, postage and staff time.  There will be no change in net General Fund costs and no additional staff years.</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BUSINESS IMPACT STATEMENT:</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6D2224">
                      <w:pPr>
                        <w:pStyle w:val="JustifiedCOB"/>
                      </w:pPr>
                      <w:r>
                        <w:fldChar w:fldCharType="begin"/>
                      </w:r>
                      <w:r w:rsidR="001313E7">
                        <w:instrText xml:space="preserve"> MacroButton NoMacro </w:instrText>
                      </w:r>
                      <w:r>
                        <w:fldChar w:fldCharType="end"/>
                      </w:r>
                      <w:r w:rsidR="001313E7">
                        <w:t>Adoption of the proposed Ordinance will eliminate the unnecessary requirements that businesses post permits and certificates.  Fees for lost certificates and lost permits will be eliminated and there would be minor savings to businesses in the event one of these documents is lost.</w:t>
                      </w:r>
                      <w:r>
                        <w:rPr>
                          <w:vanish/>
                        </w:rPr>
                        <w:fldChar w:fldCharType="begin"/>
                      </w:r>
                      <w:r w:rsidR="001313E7">
                        <w:rPr>
                          <w:vanish/>
                        </w:rPr>
                        <w:instrText xml:space="preserve"> LISTNUM  \l 1 \s 0 </w:instrText>
                      </w:r>
                      <w:r>
                        <w:rPr>
                          <w:vanish/>
                        </w:rPr>
                        <w:fldChar w:fldCharType="end"/>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vAlign w:val="bottom"/>
                    </w:tcPr>
                    <w:p w:rsidR="00690459" w:rsidRDefault="00690459">
                      <w:pPr>
                        <w:pStyle w:val="BLTemplate"/>
                      </w:pPr>
                      <w:r>
                        <w:rPr>
                          <w:b/>
                        </w:rPr>
                        <w:t>RECOMMENDATION:</w:t>
                      </w:r>
                    </w:p>
                  </w:tc>
                </w:customXml>
              </w:tr>
            </w:customXml>
            <w:customXml w:uri="regular-agenda-item" w:element="DETAILS_ROW">
              <w:tr w:rsidR="00690459" w:rsidTr="00391A34">
                <w:tc>
                  <w:tcPr>
                    <w:tcW w:w="864" w:type="dxa"/>
                  </w:tcPr>
                  <w:p w:rsidR="00690459" w:rsidRDefault="00690459">
                    <w:pPr>
                      <w:pStyle w:val="BLTemplate"/>
                      <w:jc w:val="center"/>
                      <w:rPr>
                        <w:b/>
                      </w:rPr>
                    </w:pPr>
                  </w:p>
                </w:tc>
                <w:customXml w:uri="regular-agenda-item" w:element="HEADER">
                  <w:tc>
                    <w:tcPr>
                      <w:tcW w:w="8496" w:type="dxa"/>
                      <w:gridSpan w:val="2"/>
                    </w:tcPr>
                    <w:p w:rsidR="00F818D2" w:rsidRDefault="001313E7">
                      <w:pPr>
                        <w:pStyle w:val="BLTemplate"/>
                      </w:pPr>
                      <w:r>
                        <w:rPr>
                          <w:rStyle w:val="BoldCOB"/>
                        </w:rPr>
                        <w:t>CHIEF ADMINISTRATIVE OFFICER</w:t>
                      </w:r>
                    </w:p>
                    <w:p w:rsidR="00F818D2" w:rsidRDefault="001313E7" w:rsidP="00864F1E">
                      <w:pPr>
                        <w:pStyle w:val="NumberListCOB"/>
                        <w:numPr>
                          <w:ilvl w:val="0"/>
                          <w:numId w:val="0"/>
                        </w:numPr>
                        <w:spacing w:after="0"/>
                        <w:ind w:left="360" w:hanging="360"/>
                      </w:pPr>
                      <w:r>
                        <w:t>On February 29, 2012:</w:t>
                      </w:r>
                    </w:p>
                    <w:p w:rsidR="00F818D2" w:rsidRDefault="001313E7">
                      <w:pPr>
                        <w:pStyle w:val="NumberListCOB"/>
                      </w:pPr>
                      <w:r>
                        <w:t>Find that the proposed action is not a project under the California Environmental Quality Act (CEQA) pursuant to CEQA Guidelines Sections 15060(c)(3) and 15378.</w:t>
                      </w:r>
                    </w:p>
                    <w:p w:rsidR="00F818D2" w:rsidRDefault="001313E7" w:rsidP="00864F1E">
                      <w:pPr>
                        <w:pStyle w:val="NumberListCOB"/>
                        <w:spacing w:after="120"/>
                      </w:pPr>
                      <w:r>
                        <w:t>Approve the introduction of the Ordinance (first reading), read title and waive further reading:</w:t>
                      </w:r>
                    </w:p>
                    <w:p w:rsidR="00F818D2" w:rsidRDefault="001313E7" w:rsidP="00A751F9">
                      <w:pPr>
                        <w:pStyle w:val="NumberListCOB"/>
                        <w:numPr>
                          <w:ilvl w:val="0"/>
                          <w:numId w:val="0"/>
                        </w:numPr>
                        <w:tabs>
                          <w:tab w:val="clear" w:pos="360"/>
                          <w:tab w:val="left" w:pos="828"/>
                          <w:tab w:val="left" w:pos="7128"/>
                        </w:tabs>
                        <w:ind w:left="828" w:right="1152"/>
                      </w:pPr>
                      <w:r>
                        <w:t>AN ORDINANCE AMENDING THE SAN DIEGO COUNTY CODE OF REGULATORY ORDINANCES RELATING TO REGISTRATION OF COMMERCIAL WEIGHING AND MEASURING INSTRUMENTS</w:t>
                      </w:r>
                      <w:r w:rsidR="007C373E">
                        <w:t>.</w:t>
                      </w:r>
                      <w:r>
                        <w:t xml:space="preserve"> </w:t>
                      </w:r>
                    </w:p>
                    <w:p w:rsidR="00690CB2" w:rsidRDefault="00690CB2" w:rsidP="00690CB2">
                      <w:pPr>
                        <w:pStyle w:val="NumberListCOB"/>
                        <w:numPr>
                          <w:ilvl w:val="0"/>
                          <w:numId w:val="0"/>
                        </w:numPr>
                        <w:tabs>
                          <w:tab w:val="clear" w:pos="360"/>
                          <w:tab w:val="left" w:pos="828"/>
                          <w:tab w:val="left" w:pos="7128"/>
                        </w:tabs>
                        <w:spacing w:after="0"/>
                        <w:ind w:left="835" w:right="1152"/>
                      </w:pPr>
                    </w:p>
                    <w:p w:rsidR="00690CB2" w:rsidRDefault="00690CB2" w:rsidP="00690CB2">
                      <w:pPr>
                        <w:pStyle w:val="NumberListCOB"/>
                        <w:numPr>
                          <w:ilvl w:val="0"/>
                          <w:numId w:val="0"/>
                        </w:numPr>
                        <w:tabs>
                          <w:tab w:val="clear" w:pos="360"/>
                          <w:tab w:val="left" w:pos="828"/>
                          <w:tab w:val="left" w:pos="7128"/>
                        </w:tabs>
                        <w:spacing w:after="0"/>
                        <w:ind w:left="835" w:right="1152"/>
                      </w:pPr>
                    </w:p>
                    <w:p w:rsidR="00690CB2" w:rsidRDefault="00690CB2" w:rsidP="00690CB2">
                      <w:pPr>
                        <w:pStyle w:val="NumberListCOB"/>
                        <w:numPr>
                          <w:ilvl w:val="0"/>
                          <w:numId w:val="0"/>
                        </w:numPr>
                        <w:tabs>
                          <w:tab w:val="clear" w:pos="360"/>
                          <w:tab w:val="left" w:pos="828"/>
                          <w:tab w:val="left" w:pos="7128"/>
                        </w:tabs>
                        <w:spacing w:after="0"/>
                        <w:ind w:left="835" w:right="1152"/>
                      </w:pPr>
                    </w:p>
                    <w:p w:rsidR="00690CB2" w:rsidRDefault="00690CB2" w:rsidP="00690CB2">
                      <w:pPr>
                        <w:pStyle w:val="NumberListCOB"/>
                        <w:numPr>
                          <w:ilvl w:val="0"/>
                          <w:numId w:val="0"/>
                        </w:numPr>
                        <w:tabs>
                          <w:tab w:val="clear" w:pos="360"/>
                          <w:tab w:val="left" w:pos="828"/>
                          <w:tab w:val="left" w:pos="7128"/>
                        </w:tabs>
                        <w:spacing w:after="0"/>
                        <w:ind w:left="835" w:right="1152"/>
                      </w:pPr>
                    </w:p>
                    <w:p w:rsidR="00F818D2" w:rsidRDefault="001313E7" w:rsidP="00864F1E">
                      <w:pPr>
                        <w:pStyle w:val="NumberListCOB"/>
                        <w:spacing w:after="120"/>
                      </w:pPr>
                      <w:r>
                        <w:t>Approve the introduction of the Ordinance (first reading), read title and waive further reading:</w:t>
                      </w:r>
                    </w:p>
                    <w:p w:rsidR="00F818D2" w:rsidRDefault="001313E7" w:rsidP="00A751F9">
                      <w:pPr>
                        <w:pStyle w:val="NumberListCOB"/>
                        <w:numPr>
                          <w:ilvl w:val="0"/>
                          <w:numId w:val="0"/>
                        </w:numPr>
                        <w:tabs>
                          <w:tab w:val="clear" w:pos="360"/>
                          <w:tab w:val="left" w:pos="828"/>
                          <w:tab w:val="left" w:pos="7128"/>
                        </w:tabs>
                        <w:ind w:left="828" w:right="1152"/>
                      </w:pPr>
                      <w:r>
                        <w:t>AN ORDINANCE AMENDING THE SAN DIEGO COUNTY CODE OF REGULATORY ORDINANCES RELATING TO REGISTRATION OF POINT-OF-SALE SYSTEMS</w:t>
                      </w:r>
                      <w:r w:rsidR="007C373E">
                        <w:t>.</w:t>
                      </w:r>
                    </w:p>
                    <w:p w:rsidR="00F818D2" w:rsidRDefault="001313E7" w:rsidP="00864F1E">
                      <w:pPr>
                        <w:ind w:left="-29"/>
                      </w:pPr>
                      <w:r>
                        <w:t>If on February 29, 2012 the Board takes actions as recommended above, then, on March 14, 2012:</w:t>
                      </w:r>
                    </w:p>
                    <w:p w:rsidR="00F818D2" w:rsidRDefault="001313E7" w:rsidP="0095400B">
                      <w:pPr>
                        <w:pStyle w:val="NumberListCOB"/>
                        <w:numPr>
                          <w:ilvl w:val="3"/>
                          <w:numId w:val="7"/>
                        </w:numPr>
                        <w:ind w:left="378" w:hanging="378"/>
                      </w:pPr>
                      <w:r>
                        <w:t>Submit the Ordinance for further Board consideration and adoption (Second Reading):</w:t>
                      </w:r>
                    </w:p>
                    <w:p w:rsidR="00F818D2" w:rsidRDefault="001313E7" w:rsidP="00040C21">
                      <w:pPr>
                        <w:pStyle w:val="NumberListCOB"/>
                        <w:numPr>
                          <w:ilvl w:val="0"/>
                          <w:numId w:val="0"/>
                        </w:numPr>
                        <w:tabs>
                          <w:tab w:val="clear" w:pos="360"/>
                          <w:tab w:val="left" w:pos="828"/>
                          <w:tab w:val="left" w:pos="7128"/>
                        </w:tabs>
                        <w:ind w:left="828" w:right="1152"/>
                      </w:pPr>
                      <w:r>
                        <w:t>AN ORDINANCE AMENDING THE SAN DIEGO COUNTY CODE OF REGULATORY ORDINANCES RELATING TO REGISTRATION OF COMMERCIAL WEIGHING AND MEASURING INSTRUMENTS</w:t>
                      </w:r>
                      <w:r w:rsidR="0095400B">
                        <w:t>.</w:t>
                      </w:r>
                      <w:r>
                        <w:t xml:space="preserve"> </w:t>
                      </w:r>
                    </w:p>
                    <w:p w:rsidR="00F818D2" w:rsidRDefault="001313E7" w:rsidP="0095400B">
                      <w:pPr>
                        <w:pStyle w:val="NumberListCOB"/>
                        <w:numPr>
                          <w:ilvl w:val="3"/>
                          <w:numId w:val="7"/>
                        </w:numPr>
                        <w:ind w:left="378" w:hanging="378"/>
                      </w:pPr>
                      <w:r>
                        <w:t>Submit the Ordinance for further Board consideration and adoption (Second Reading):</w:t>
                      </w:r>
                    </w:p>
                    <w:p w:rsidR="00F818D2" w:rsidRPr="00864F1E" w:rsidRDefault="001313E7" w:rsidP="00864F1E">
                      <w:pPr>
                        <w:pStyle w:val="NumberListCOB"/>
                        <w:numPr>
                          <w:ilvl w:val="0"/>
                          <w:numId w:val="0"/>
                        </w:numPr>
                        <w:tabs>
                          <w:tab w:val="clear" w:pos="360"/>
                          <w:tab w:val="left" w:pos="828"/>
                          <w:tab w:val="left" w:pos="7128"/>
                        </w:tabs>
                        <w:ind w:left="828" w:right="1152"/>
                      </w:pPr>
                      <w:r>
                        <w:t>AN ORDINANCE AMENDING THE SAN DIEGO COUNTY CODE OF REGULATORY ORDINANCES RELATING TO REGISTRATION OF POINT-OF-SALE SYSTEMS</w:t>
                      </w:r>
                      <w:r w:rsidR="0095400B">
                        <w:t>.</w:t>
                      </w:r>
                      <w:r w:rsidR="006D2224">
                        <w:rPr>
                          <w:vanish/>
                        </w:rPr>
                        <w:fldChar w:fldCharType="begin"/>
                      </w:r>
                      <w:r>
                        <w:rPr>
                          <w:vanish/>
                        </w:rPr>
                        <w:instrText xml:space="preserve"> LISTNUM  \l 1 \s 0 </w:instrText>
                      </w:r>
                      <w:r w:rsidR="006D2224">
                        <w:rPr>
                          <w:vanish/>
                        </w:rPr>
                        <w:fldChar w:fldCharType="end"/>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vAlign w:val="bottom"/>
                    </w:tcPr>
                    <w:p w:rsidR="003D6050" w:rsidRDefault="003D6050" w:rsidP="00BE12B5">
                      <w:pPr>
                        <w:pStyle w:val="BLTemplate"/>
                      </w:pPr>
                      <w:r w:rsidRPr="00AD7ED6">
                        <w:rPr>
                          <w:b/>
                        </w:rPr>
                        <w:t>ACTION:</w:t>
                      </w:r>
                    </w:p>
                  </w:tc>
                </w:customXml>
              </w:tr>
            </w:customXml>
            <w:customXml w:uri="regular-agenda-item" w:element="DETAILS_ROW">
              <w:tr w:rsidR="003D6050" w:rsidTr="00391A34">
                <w:tc>
                  <w:tcPr>
                    <w:tcW w:w="864" w:type="dxa"/>
                  </w:tcPr>
                  <w:p w:rsidR="003D6050" w:rsidRDefault="003D6050" w:rsidP="00BE12B5">
                    <w:pPr>
                      <w:pStyle w:val="BLTemplate"/>
                      <w:jc w:val="center"/>
                      <w:rPr>
                        <w:b/>
                      </w:rPr>
                    </w:pPr>
                  </w:p>
                </w:tc>
                <w:customXml w:uri="regular-agenda-item" w:element="HEADER">
                  <w:tc>
                    <w:tcPr>
                      <w:tcW w:w="8496" w:type="dxa"/>
                      <w:gridSpan w:val="2"/>
                    </w:tcPr>
                    <w:p w:rsidR="003D6050" w:rsidRDefault="00F8041A" w:rsidP="00BE12B5">
                      <w:pPr>
                        <w:pStyle w:val="HangingIndent"/>
                        <w:keepLines/>
                        <w:tabs>
                          <w:tab w:val="clear" w:pos="5760"/>
                          <w:tab w:val="clear" w:pos="6480"/>
                          <w:tab w:val="clear" w:pos="7200"/>
                          <w:tab w:val="clear" w:pos="7920"/>
                          <w:tab w:val="clear" w:pos="8640"/>
                        </w:tabs>
                        <w:ind w:left="0" w:firstLine="0"/>
                      </w:pPr>
                      <w:r>
                        <w:t>ON MOTION of Supervisor Horn, seconded by Supervisor Slater-Price</w:t>
                      </w:r>
                      <w:r w:rsidR="003D6050" w:rsidRPr="00906D8C">
                        <w:t>, the Board took ac</w:t>
                      </w:r>
                      <w:r w:rsidR="003D6050">
                        <w:t>tion as recommended, on Consent</w:t>
                      </w:r>
                      <w:r w:rsidR="00391A34">
                        <w:t>, introducing Ordinances for further Board consideration and adoption on March 14, 2012</w:t>
                      </w:r>
                      <w:r w:rsidR="003D6050">
                        <w:t>.</w:t>
                      </w:r>
                      <w:r w:rsidR="003D6050" w:rsidRPr="00906D8C">
                        <w:t xml:space="preserve"> </w:t>
                      </w:r>
                    </w:p>
                    <w:p w:rsidR="003D6050" w:rsidRDefault="003D6050" w:rsidP="00BE12B5">
                      <w:pPr>
                        <w:pStyle w:val="HangingIndent"/>
                        <w:keepLines/>
                        <w:tabs>
                          <w:tab w:val="clear" w:pos="5760"/>
                          <w:tab w:val="clear" w:pos="6480"/>
                          <w:tab w:val="clear" w:pos="7200"/>
                          <w:tab w:val="clear" w:pos="7920"/>
                          <w:tab w:val="clear" w:pos="8640"/>
                        </w:tabs>
                        <w:ind w:left="0" w:firstLine="0"/>
                      </w:pPr>
                    </w:p>
                    <w:p w:rsidR="003D6050" w:rsidRDefault="003D6050" w:rsidP="00BE12B5">
                      <w:pPr>
                        <w:pStyle w:val="HangingIndent"/>
                        <w:keepLines/>
                        <w:tabs>
                          <w:tab w:val="clear" w:pos="5760"/>
                          <w:tab w:val="clear" w:pos="6480"/>
                          <w:tab w:val="clear" w:pos="7200"/>
                          <w:tab w:val="clear" w:pos="7920"/>
                          <w:tab w:val="clear" w:pos="8640"/>
                        </w:tabs>
                        <w:ind w:left="0" w:firstLine="0"/>
                      </w:pPr>
                      <w:r>
                        <w:t>AYES:  Cox, Jacob, Slater-Price, Roberts, Horn</w:t>
                      </w:r>
                    </w:p>
                    <w:p w:rsidR="003D6050" w:rsidRDefault="003D6050" w:rsidP="00BE12B5">
                      <w:pPr>
                        <w:pStyle w:val="JustifiedCOB"/>
                      </w:pPr>
                    </w:p>
                  </w:tc>
                </w:customXml>
              </w:tr>
            </w:customXml>
            <w:customXml w:uri="regular-agenda-item" w:element="DETAILS_ROW">
              <w:tr w:rsidR="00391A34" w:rsidTr="00391A34">
                <w:customXml w:uri="regular-agenda-item" w:element="AGENDA_INDEX">
                  <w:tc>
                    <w:tcPr>
                      <w:tcW w:w="864" w:type="dxa"/>
                    </w:tcPr>
                    <w:p w:rsidR="00391A34" w:rsidRDefault="00391A34" w:rsidP="00391A34">
                      <w:pPr>
                        <w:pStyle w:val="BLTemplate"/>
                        <w:jc w:val="center"/>
                        <w:rPr>
                          <w:b/>
                        </w:rPr>
                      </w:pPr>
                      <w:r>
                        <w:rPr>
                          <w:b/>
                        </w:rPr>
                        <w:t>14.</w:t>
                      </w:r>
                    </w:p>
                  </w:tc>
                </w:customXml>
                <w:customXml w:uri="regular-agenda-item" w:element="CATEGORY">
                  <w:tc>
                    <w:tcPr>
                      <w:tcW w:w="1440" w:type="dxa"/>
                    </w:tcPr>
                    <w:p w:rsidR="00391A34" w:rsidRDefault="00391A34" w:rsidP="00391A34">
                      <w:pPr>
                        <w:pStyle w:val="BLTemplate"/>
                        <w:jc w:val="left"/>
                        <w:rPr>
                          <w:b/>
                        </w:rPr>
                      </w:pPr>
                      <w:r>
                        <w:rPr>
                          <w:b/>
                        </w:rPr>
                        <w:t>SUBJECT:</w:t>
                      </w:r>
                    </w:p>
                  </w:tc>
                </w:customXml>
                <w:customXml w:uri="regular-agenda-item" w:element="SUBJECT">
                  <w:tc>
                    <w:tcPr>
                      <w:tcW w:w="7056" w:type="dxa"/>
                    </w:tcPr>
                    <w:p w:rsidR="00391A34" w:rsidRDefault="006D2224" w:rsidP="00391A34">
                      <w:pPr>
                        <w:pStyle w:val="JustifiedCOB"/>
                        <w:jc w:val="left"/>
                      </w:pPr>
                      <w:r>
                        <w:fldChar w:fldCharType="begin"/>
                      </w:r>
                      <w:r w:rsidR="00391A34">
                        <w:instrText xml:space="preserve"> MacroButton NoMacro </w:instrText>
                      </w:r>
                      <w:r>
                        <w:fldChar w:fldCharType="end"/>
                      </w:r>
                      <w:r w:rsidR="00391A34" w:rsidRPr="00391A34">
                        <w:rPr>
                          <w:b/>
                        </w:rPr>
                        <w:t xml:space="preserve">CLOSED SESSION </w:t>
                      </w:r>
                      <w:r w:rsidR="00706BCA">
                        <w:rPr>
                          <w:b/>
                        </w:rPr>
                        <w:t xml:space="preserve">(CARRYOVER FROM 2/28/12, AGENDA NO. 22) </w:t>
                      </w:r>
                      <w:r w:rsidR="00391A34">
                        <w:rPr>
                          <w:b/>
                        </w:rPr>
                        <w:t xml:space="preserve">(DISTRICTS: ALL) </w:t>
                      </w:r>
                    </w:p>
                  </w:tc>
                </w:customXml>
              </w:tr>
            </w:customXml>
            <w:customXml w:uri="regular-agenda-item" w:element="DETAILS_ROW">
              <w:tr w:rsidR="00391A34" w:rsidTr="00391A34">
                <w:tc>
                  <w:tcPr>
                    <w:tcW w:w="864" w:type="dxa"/>
                  </w:tcPr>
                  <w:p w:rsidR="00391A34" w:rsidRDefault="00391A34" w:rsidP="00391A34">
                    <w:pPr>
                      <w:pStyle w:val="BLTemplate"/>
                      <w:jc w:val="center"/>
                      <w:rPr>
                        <w:b/>
                      </w:rPr>
                    </w:pPr>
                  </w:p>
                </w:tc>
                <w:customXml w:uri="regular-agenda-item" w:element="HEADER">
                  <w:tc>
                    <w:tcPr>
                      <w:tcW w:w="8496" w:type="dxa"/>
                      <w:gridSpan w:val="2"/>
                      <w:vAlign w:val="bottom"/>
                    </w:tcPr>
                    <w:p w:rsidR="00391A34" w:rsidRDefault="00391A34" w:rsidP="00391A34">
                      <w:pPr>
                        <w:pStyle w:val="BLTemplate"/>
                      </w:pPr>
                      <w:r>
                        <w:rPr>
                          <w:b/>
                        </w:rPr>
                        <w:t>OVERVIEW:</w:t>
                      </w:r>
                    </w:p>
                  </w:tc>
                </w:customXml>
              </w:tr>
            </w:customXml>
            <w:customXml w:uri="regular-agenda-item" w:element="DETAILS_ROW">
              <w:tr w:rsidR="00391A34" w:rsidTr="00391A34">
                <w:tc>
                  <w:tcPr>
                    <w:tcW w:w="864" w:type="dxa"/>
                  </w:tcPr>
                  <w:p w:rsidR="00391A34" w:rsidRDefault="00391A34" w:rsidP="00391A34">
                    <w:pPr>
                      <w:pStyle w:val="BLTemplate"/>
                      <w:jc w:val="center"/>
                      <w:rPr>
                        <w:b/>
                      </w:rPr>
                    </w:pPr>
                  </w:p>
                </w:tc>
                <w:tc>
                  <w:tcPr>
                    <w:tcW w:w="8496" w:type="dxa"/>
                    <w:gridSpan w:val="2"/>
                  </w:tcPr>
                  <w:p w:rsidR="00391A34" w:rsidRPr="00391A34" w:rsidRDefault="00391A34" w:rsidP="00391A34">
                    <w:pPr>
                      <w:pStyle w:val="ListParagraph"/>
                      <w:numPr>
                        <w:ilvl w:val="0"/>
                        <w:numId w:val="23"/>
                      </w:numPr>
                      <w:ind w:left="360"/>
                      <w:rPr>
                        <w:szCs w:val="24"/>
                      </w:rPr>
                    </w:pPr>
                    <w:r w:rsidRPr="00391A34">
                      <w:rPr>
                        <w:bCs/>
                      </w:rPr>
                      <w:t>CONFERENCE</w:t>
                    </w:r>
                    <w:r w:rsidRPr="00391A34">
                      <w:rPr>
                        <w:szCs w:val="24"/>
                      </w:rPr>
                      <w:t xml:space="preserve"> WITH LEGAL COUNSEL - EXISTING LITIGATION</w:t>
                    </w:r>
                  </w:p>
                  <w:p w:rsidR="00391A34" w:rsidRPr="00391A34" w:rsidRDefault="00391A34" w:rsidP="00391A34">
                    <w:pPr>
                      <w:ind w:left="360"/>
                      <w:rPr>
                        <w:bCs/>
                      </w:rPr>
                    </w:pPr>
                    <w:r w:rsidRPr="00391A34">
                      <w:rPr>
                        <w:bCs/>
                      </w:rPr>
                      <w:t>(Subdivision (a) of Government Code section 54956.9</w:t>
                    </w:r>
                  </w:p>
                  <w:p w:rsidR="00391A34" w:rsidRPr="00391A34" w:rsidRDefault="00391A34" w:rsidP="00391A34">
                    <w:pPr>
                      <w:ind w:left="360"/>
                      <w:rPr>
                        <w:szCs w:val="24"/>
                      </w:rPr>
                    </w:pPr>
                    <w:r w:rsidRPr="00391A34">
                      <w:rPr>
                        <w:bCs/>
                      </w:rPr>
                      <w:t xml:space="preserve">Daniel David </w:t>
                    </w:r>
                    <w:proofErr w:type="spellStart"/>
                    <w:r w:rsidRPr="00391A34">
                      <w:rPr>
                        <w:bCs/>
                      </w:rPr>
                      <w:t>Courson</w:t>
                    </w:r>
                    <w:proofErr w:type="spellEnd"/>
                    <w:r w:rsidRPr="00391A34">
                      <w:rPr>
                        <w:bCs/>
                      </w:rPr>
                      <w:t xml:space="preserve"> v. Sheriff’s Deputy Cochran, et al.; U.S. District Court, Southern</w:t>
                    </w:r>
                    <w:r w:rsidRPr="00391A34">
                      <w:rPr>
                        <w:szCs w:val="24"/>
                      </w:rPr>
                      <w:t xml:space="preserve"> District, Div. One, No. 08-cv-0871 JAH (WVG)</w:t>
                    </w:r>
                  </w:p>
                  <w:p w:rsidR="00391A34" w:rsidRPr="00391A34" w:rsidRDefault="00391A34" w:rsidP="00391A34">
                    <w:pPr>
                      <w:pStyle w:val="BodyTextIndent2"/>
                      <w:spacing w:line="270" w:lineRule="exact"/>
                      <w:rPr>
                        <w:szCs w:val="24"/>
                      </w:rPr>
                    </w:pPr>
                  </w:p>
                  <w:p w:rsidR="00391A34" w:rsidRPr="00391A34" w:rsidRDefault="00391A34" w:rsidP="00391A34">
                    <w:pPr>
                      <w:pStyle w:val="ListParagraph"/>
                      <w:numPr>
                        <w:ilvl w:val="0"/>
                        <w:numId w:val="23"/>
                      </w:numPr>
                      <w:ind w:left="360"/>
                      <w:rPr>
                        <w:szCs w:val="24"/>
                      </w:rPr>
                    </w:pPr>
                    <w:r w:rsidRPr="00391A34">
                      <w:rPr>
                        <w:bCs/>
                      </w:rPr>
                      <w:t>CONFERENCE</w:t>
                    </w:r>
                    <w:r w:rsidRPr="00391A34">
                      <w:rPr>
                        <w:szCs w:val="24"/>
                      </w:rPr>
                      <w:t xml:space="preserve"> </w:t>
                    </w:r>
                    <w:r w:rsidRPr="00391A34">
                      <w:rPr>
                        <w:bCs/>
                      </w:rPr>
                      <w:t>WITH LEGAL COUNSEL - EXISTING LITIGATION</w:t>
                    </w:r>
                  </w:p>
                  <w:p w:rsidR="00391A34" w:rsidRPr="00391A34" w:rsidRDefault="00391A34" w:rsidP="00391A34">
                    <w:pPr>
                      <w:ind w:left="360"/>
                      <w:rPr>
                        <w:szCs w:val="24"/>
                      </w:rPr>
                    </w:pPr>
                    <w:r w:rsidRPr="00391A34">
                      <w:rPr>
                        <w:szCs w:val="24"/>
                      </w:rPr>
                      <w:t>(Subdivision (a) of Government Code section 54956.9</w:t>
                    </w:r>
                  </w:p>
                  <w:p w:rsidR="00391A34" w:rsidRPr="00391A34" w:rsidRDefault="00391A34" w:rsidP="00391A34">
                    <w:pPr>
                      <w:ind w:left="360"/>
                      <w:rPr>
                        <w:szCs w:val="24"/>
                      </w:rPr>
                    </w:pPr>
                    <w:r w:rsidRPr="00391A34">
                      <w:rPr>
                        <w:bCs/>
                      </w:rPr>
                      <w:t>Lincoln</w:t>
                    </w:r>
                    <w:r w:rsidRPr="00391A34">
                      <w:rPr>
                        <w:szCs w:val="24"/>
                      </w:rPr>
                      <w:t xml:space="preserve"> Club v. County of San Diego; U.S. District Court, Southern District, Div. One, No. 10CV2114BEN RBB  </w:t>
                    </w:r>
                  </w:p>
                  <w:p w:rsidR="00391A34" w:rsidRDefault="00391A34" w:rsidP="00391A34">
                    <w:pPr>
                      <w:pStyle w:val="BodyTextIndent2"/>
                      <w:spacing w:line="270" w:lineRule="exact"/>
                      <w:ind w:right="-216"/>
                      <w:rPr>
                        <w:caps/>
                        <w:szCs w:val="24"/>
                      </w:rPr>
                    </w:pPr>
                  </w:p>
                  <w:p w:rsidR="00690CB2" w:rsidRPr="00391A34" w:rsidRDefault="00690CB2" w:rsidP="00391A34">
                    <w:pPr>
                      <w:pStyle w:val="BodyTextIndent2"/>
                      <w:spacing w:line="270" w:lineRule="exact"/>
                      <w:ind w:right="-216"/>
                      <w:rPr>
                        <w:caps/>
                        <w:szCs w:val="24"/>
                      </w:rPr>
                    </w:pPr>
                  </w:p>
                  <w:p w:rsidR="00391A34" w:rsidRPr="00391A34" w:rsidRDefault="00391A34" w:rsidP="00391A34">
                    <w:pPr>
                      <w:pStyle w:val="ListParagraph"/>
                      <w:numPr>
                        <w:ilvl w:val="0"/>
                        <w:numId w:val="23"/>
                      </w:numPr>
                      <w:ind w:left="360"/>
                      <w:rPr>
                        <w:szCs w:val="24"/>
                      </w:rPr>
                    </w:pPr>
                    <w:r w:rsidRPr="00391A34">
                      <w:rPr>
                        <w:bCs/>
                      </w:rPr>
                      <w:t>CONFERENCE</w:t>
                    </w:r>
                    <w:r w:rsidRPr="00391A34">
                      <w:rPr>
                        <w:szCs w:val="24"/>
                      </w:rPr>
                      <w:t xml:space="preserve"> WITH LEGAL COUNSEL - EXISTING LITIGATION</w:t>
                    </w:r>
                  </w:p>
                  <w:p w:rsidR="00391A34" w:rsidRPr="00391A34" w:rsidRDefault="00391A34" w:rsidP="00391A34">
                    <w:pPr>
                      <w:ind w:left="360"/>
                      <w:rPr>
                        <w:szCs w:val="24"/>
                      </w:rPr>
                    </w:pPr>
                    <w:r w:rsidRPr="00391A34">
                      <w:rPr>
                        <w:szCs w:val="24"/>
                      </w:rPr>
                      <w:t>(</w:t>
                    </w:r>
                    <w:r w:rsidRPr="00391A34">
                      <w:rPr>
                        <w:bCs/>
                      </w:rPr>
                      <w:t>Subdivision</w:t>
                    </w:r>
                    <w:r w:rsidRPr="00391A34">
                      <w:rPr>
                        <w:szCs w:val="24"/>
                      </w:rPr>
                      <w:t xml:space="preserve"> (a) of Government Code section 54956.9)</w:t>
                    </w:r>
                  </w:p>
                  <w:p w:rsidR="00391A34" w:rsidRPr="00391A34" w:rsidRDefault="00391A34" w:rsidP="00391A34">
                    <w:pPr>
                      <w:ind w:left="360"/>
                      <w:rPr>
                        <w:szCs w:val="24"/>
                      </w:rPr>
                    </w:pPr>
                    <w:r w:rsidRPr="00391A34">
                      <w:rPr>
                        <w:bCs/>
                      </w:rPr>
                      <w:t>Lisa</w:t>
                    </w:r>
                    <w:r w:rsidRPr="00391A34">
                      <w:rPr>
                        <w:szCs w:val="24"/>
                      </w:rPr>
                      <w:t xml:space="preserve"> Gabel v. County of San Diego, et al.; San Diego County Superior Court No. 37-2010-00103900-CU-WT-CTL</w:t>
                    </w:r>
                  </w:p>
                  <w:p w:rsidR="00391A34" w:rsidRPr="00391A34" w:rsidRDefault="00391A34" w:rsidP="00391A34">
                    <w:pPr>
                      <w:pStyle w:val="BodyTextIndent2"/>
                      <w:spacing w:line="270" w:lineRule="exact"/>
                      <w:ind w:right="-216"/>
                      <w:rPr>
                        <w:caps/>
                        <w:szCs w:val="24"/>
                      </w:rPr>
                    </w:pPr>
                  </w:p>
                  <w:p w:rsidR="00391A34" w:rsidRPr="00391A34" w:rsidRDefault="00391A34" w:rsidP="00391A34">
                    <w:pPr>
                      <w:pStyle w:val="ListParagraph"/>
                      <w:numPr>
                        <w:ilvl w:val="0"/>
                        <w:numId w:val="23"/>
                      </w:numPr>
                      <w:ind w:left="360"/>
                      <w:rPr>
                        <w:szCs w:val="24"/>
                      </w:rPr>
                    </w:pPr>
                    <w:r w:rsidRPr="00391A34">
                      <w:rPr>
                        <w:bCs/>
                      </w:rPr>
                      <w:t>CONFERENCE</w:t>
                    </w:r>
                    <w:r w:rsidRPr="00391A34">
                      <w:rPr>
                        <w:szCs w:val="24"/>
                      </w:rPr>
                      <w:t xml:space="preserve"> WITH LEGAL COUNSEL - EXISTING LITIGATION</w:t>
                    </w:r>
                  </w:p>
                  <w:p w:rsidR="00391A34" w:rsidRPr="00391A34" w:rsidRDefault="00391A34" w:rsidP="00391A34">
                    <w:pPr>
                      <w:ind w:left="360"/>
                      <w:rPr>
                        <w:szCs w:val="24"/>
                      </w:rPr>
                    </w:pPr>
                    <w:r w:rsidRPr="00391A34">
                      <w:rPr>
                        <w:szCs w:val="24"/>
                      </w:rPr>
                      <w:t>(</w:t>
                    </w:r>
                    <w:r w:rsidRPr="00391A34">
                      <w:rPr>
                        <w:bCs/>
                      </w:rPr>
                      <w:t>Subdivision</w:t>
                    </w:r>
                    <w:r w:rsidRPr="00391A34">
                      <w:rPr>
                        <w:szCs w:val="24"/>
                      </w:rPr>
                      <w:t xml:space="preserve"> (a) of Government Code section 54956.9)</w:t>
                    </w:r>
                  </w:p>
                  <w:p w:rsidR="00391A34" w:rsidRPr="00391A34" w:rsidRDefault="00391A34" w:rsidP="00391A34">
                    <w:pPr>
                      <w:ind w:left="360"/>
                      <w:rPr>
                        <w:szCs w:val="24"/>
                      </w:rPr>
                    </w:pPr>
                    <w:r w:rsidRPr="00391A34">
                      <w:rPr>
                        <w:szCs w:val="24"/>
                      </w:rPr>
                      <w:t xml:space="preserve">San </w:t>
                    </w:r>
                    <w:r w:rsidRPr="00391A34">
                      <w:rPr>
                        <w:bCs/>
                      </w:rPr>
                      <w:t>Diego</w:t>
                    </w:r>
                    <w:r w:rsidRPr="00391A34">
                      <w:rPr>
                        <w:szCs w:val="24"/>
                      </w:rPr>
                      <w:t xml:space="preserve"> County v. Bank of America, et al.; Los Angeles Superior Court, Case No</w:t>
                    </w:r>
                    <w:r w:rsidRPr="00391A34">
                      <w:rPr>
                        <w:b/>
                        <w:szCs w:val="24"/>
                      </w:rPr>
                      <w:t xml:space="preserve">. </w:t>
                    </w:r>
                    <w:r w:rsidRPr="00391A34">
                      <w:rPr>
                        <w:szCs w:val="24"/>
                      </w:rPr>
                      <w:t>SC099566; Consolidated Case No. (S.D.N.Y. No. 08-02516)</w:t>
                    </w:r>
                  </w:p>
                  <w:p w:rsidR="00391A34" w:rsidRPr="00391A34" w:rsidRDefault="00391A34" w:rsidP="00391A34">
                    <w:pPr>
                      <w:spacing w:line="270" w:lineRule="exact"/>
                      <w:rPr>
                        <w:szCs w:val="24"/>
                      </w:rPr>
                    </w:pPr>
                  </w:p>
                  <w:p w:rsidR="00391A34" w:rsidRPr="00391A34" w:rsidRDefault="00391A34" w:rsidP="00391A34">
                    <w:pPr>
                      <w:pStyle w:val="ListParagraph"/>
                      <w:numPr>
                        <w:ilvl w:val="0"/>
                        <w:numId w:val="23"/>
                      </w:numPr>
                      <w:ind w:left="360"/>
                      <w:rPr>
                        <w:szCs w:val="24"/>
                      </w:rPr>
                    </w:pPr>
                    <w:r w:rsidRPr="00391A34">
                      <w:rPr>
                        <w:bCs/>
                      </w:rPr>
                      <w:t>CONFERENCE WITH LEGAL COUNSEL - EXISTING LITIGATION</w:t>
                    </w:r>
                  </w:p>
                  <w:p w:rsidR="00391A34" w:rsidRPr="00391A34" w:rsidRDefault="00391A34" w:rsidP="00391A34">
                    <w:pPr>
                      <w:ind w:left="360"/>
                      <w:rPr>
                        <w:szCs w:val="24"/>
                      </w:rPr>
                    </w:pPr>
                    <w:r w:rsidRPr="00391A34">
                      <w:rPr>
                        <w:szCs w:val="24"/>
                      </w:rPr>
                      <w:t>(</w:t>
                    </w:r>
                    <w:r w:rsidRPr="00391A34">
                      <w:rPr>
                        <w:bCs/>
                      </w:rPr>
                      <w:t>Subdivision</w:t>
                    </w:r>
                    <w:r w:rsidRPr="00391A34">
                      <w:rPr>
                        <w:szCs w:val="24"/>
                      </w:rPr>
                      <w:t xml:space="preserve"> (a) of Government Code section 54956.9)</w:t>
                    </w:r>
                  </w:p>
                  <w:p w:rsidR="00391A34" w:rsidRPr="00391A34" w:rsidRDefault="00391A34" w:rsidP="00391A34">
                    <w:pPr>
                      <w:ind w:left="360"/>
                      <w:rPr>
                        <w:szCs w:val="24"/>
                      </w:rPr>
                    </w:pPr>
                    <w:r w:rsidRPr="00391A34">
                      <w:rPr>
                        <w:szCs w:val="24"/>
                      </w:rPr>
                      <w:t xml:space="preserve">Keith </w:t>
                    </w:r>
                    <w:r w:rsidRPr="00391A34">
                      <w:rPr>
                        <w:bCs/>
                      </w:rPr>
                      <w:t>Schultz</w:t>
                    </w:r>
                    <w:r w:rsidRPr="00391A34">
                      <w:rPr>
                        <w:szCs w:val="24"/>
                      </w:rPr>
                      <w:t>, et al. v. County of San Diego, et al.; San Diego County Superior Court No. 37-2010-00060181-CU-NP-NC</w:t>
                    </w:r>
                  </w:p>
                  <w:p w:rsidR="00391A34" w:rsidRPr="00391A34" w:rsidRDefault="00391A34" w:rsidP="00391A34">
                    <w:pPr>
                      <w:spacing w:line="270" w:lineRule="exact"/>
                      <w:rPr>
                        <w:szCs w:val="24"/>
                      </w:rPr>
                    </w:pPr>
                  </w:p>
                  <w:p w:rsidR="00391A34" w:rsidRPr="00391A34" w:rsidRDefault="00391A34" w:rsidP="00391A34">
                    <w:pPr>
                      <w:pStyle w:val="ListParagraph"/>
                      <w:numPr>
                        <w:ilvl w:val="0"/>
                        <w:numId w:val="23"/>
                      </w:numPr>
                      <w:ind w:left="360"/>
                      <w:rPr>
                        <w:szCs w:val="24"/>
                      </w:rPr>
                    </w:pPr>
                    <w:r w:rsidRPr="00391A34">
                      <w:rPr>
                        <w:bCs/>
                      </w:rPr>
                      <w:t>CONFERENCE WITH LABOR NEGOTIATORS</w:t>
                    </w:r>
                  </w:p>
                  <w:p w:rsidR="00391A34" w:rsidRPr="00391A34" w:rsidRDefault="00391A34" w:rsidP="00391A34">
                    <w:pPr>
                      <w:ind w:left="360"/>
                      <w:rPr>
                        <w:szCs w:val="24"/>
                      </w:rPr>
                    </w:pPr>
                    <w:r w:rsidRPr="00391A34">
                      <w:rPr>
                        <w:szCs w:val="24"/>
                      </w:rPr>
                      <w:t>(</w:t>
                    </w:r>
                    <w:r w:rsidRPr="00391A34">
                      <w:rPr>
                        <w:bCs/>
                      </w:rPr>
                      <w:t>Government</w:t>
                    </w:r>
                    <w:r w:rsidRPr="00391A34">
                      <w:rPr>
                        <w:szCs w:val="24"/>
                      </w:rPr>
                      <w:t xml:space="preserve"> Code section 54957.6)</w:t>
                    </w:r>
                  </w:p>
                  <w:p w:rsidR="00391A34" w:rsidRPr="00391A34" w:rsidRDefault="00391A34" w:rsidP="00391A34">
                    <w:pPr>
                      <w:ind w:left="360"/>
                      <w:rPr>
                        <w:szCs w:val="24"/>
                      </w:rPr>
                    </w:pPr>
                    <w:r w:rsidRPr="00391A34">
                      <w:rPr>
                        <w:bCs/>
                      </w:rPr>
                      <w:t>Designated</w:t>
                    </w:r>
                    <w:r w:rsidRPr="00391A34">
                      <w:rPr>
                        <w:szCs w:val="24"/>
                      </w:rPr>
                      <w:t xml:space="preserve"> Representatives:  Don Turko, Brad Rankin</w:t>
                    </w:r>
                  </w:p>
                  <w:p w:rsidR="00391A34" w:rsidRPr="00391A34" w:rsidRDefault="00391A34" w:rsidP="00391A34">
                    <w:pPr>
                      <w:ind w:left="360"/>
                      <w:rPr>
                        <w:szCs w:val="24"/>
                      </w:rPr>
                    </w:pPr>
                    <w:r w:rsidRPr="00391A34">
                      <w:rPr>
                        <w:bCs/>
                      </w:rPr>
                      <w:t>Employee</w:t>
                    </w:r>
                    <w:r w:rsidRPr="00391A34">
                      <w:rPr>
                        <w:szCs w:val="24"/>
                      </w:rPr>
                      <w:t xml:space="preserve"> Organizations:  All</w:t>
                    </w:r>
                  </w:p>
                  <w:p w:rsidR="00391A34" w:rsidRPr="00391A34" w:rsidRDefault="00391A34" w:rsidP="00391A34">
                    <w:pPr>
                      <w:ind w:left="360"/>
                    </w:pPr>
                  </w:p>
                </w:tc>
              </w:tr>
            </w:customXml>
            <w:customXml w:uri="regular-agenda-item" w:element="DETAILS_ROW">
              <w:tr w:rsidR="00391A34" w:rsidTr="00391A34">
                <w:tc>
                  <w:tcPr>
                    <w:tcW w:w="864" w:type="dxa"/>
                  </w:tcPr>
                  <w:p w:rsidR="00391A34" w:rsidRDefault="00391A34" w:rsidP="00864F1E">
                    <w:pPr>
                      <w:pStyle w:val="BLTemplate"/>
                      <w:keepNext/>
                      <w:jc w:val="center"/>
                      <w:rPr>
                        <w:b/>
                      </w:rPr>
                    </w:pPr>
                  </w:p>
                </w:tc>
                <w:customXml w:uri="regular-agenda-item" w:element="HEADER">
                  <w:tc>
                    <w:tcPr>
                      <w:tcW w:w="8496" w:type="dxa"/>
                      <w:gridSpan w:val="2"/>
                      <w:vAlign w:val="bottom"/>
                    </w:tcPr>
                    <w:p w:rsidR="00391A34" w:rsidRDefault="00391A34" w:rsidP="00864F1E">
                      <w:pPr>
                        <w:pStyle w:val="BLTemplate"/>
                        <w:keepNext/>
                      </w:pPr>
                      <w:r w:rsidRPr="00AD7ED6">
                        <w:rPr>
                          <w:b/>
                        </w:rPr>
                        <w:t>ACTION:</w:t>
                      </w:r>
                    </w:p>
                  </w:tc>
                </w:customXml>
              </w:tr>
            </w:customXml>
            <w:customXml w:uri="regular-agenda-item" w:element="DETAILS_ROW">
              <w:tr w:rsidR="00391A34" w:rsidTr="00391A34">
                <w:tc>
                  <w:tcPr>
                    <w:tcW w:w="864" w:type="dxa"/>
                  </w:tcPr>
                  <w:p w:rsidR="00391A34" w:rsidRDefault="00391A34" w:rsidP="00864F1E">
                    <w:pPr>
                      <w:pStyle w:val="BLTemplate"/>
                      <w:keepNext/>
                      <w:jc w:val="center"/>
                      <w:rPr>
                        <w:b/>
                      </w:rPr>
                    </w:pPr>
                  </w:p>
                </w:tc>
                <w:customXml w:uri="regular-agenda-item" w:element="HEADER">
                  <w:tc>
                    <w:tcPr>
                      <w:tcW w:w="8496" w:type="dxa"/>
                      <w:gridSpan w:val="2"/>
                    </w:tcPr>
                    <w:p w:rsidR="00CD7DE5" w:rsidRDefault="00CD7DE5" w:rsidP="00864F1E">
                      <w:pPr>
                        <w:keepNext/>
                      </w:pPr>
                      <w:r>
                        <w:t xml:space="preserve">In closed session on Tuesday, February 28, the Board of Supervisors took action on the following item: </w:t>
                      </w:r>
                    </w:p>
                    <w:p w:rsidR="00A751F9" w:rsidRDefault="00A751F9" w:rsidP="00864F1E">
                      <w:pPr>
                        <w:keepNext/>
                      </w:pPr>
                    </w:p>
                    <w:p w:rsidR="00CD7DE5" w:rsidRDefault="00CD7DE5" w:rsidP="00864F1E">
                      <w:pPr>
                        <w:keepNext/>
                      </w:pPr>
                      <w:r>
                        <w:t xml:space="preserve">14D:  </w:t>
                      </w:r>
                      <w:r>
                        <w:rPr>
                          <w:i/>
                        </w:rPr>
                        <w:t>San Diego County v. Bank of America, et. al.</w:t>
                      </w:r>
                      <w:proofErr w:type="gramStart"/>
                      <w:r>
                        <w:rPr>
                          <w:i/>
                        </w:rPr>
                        <w:t xml:space="preserve">; </w:t>
                      </w:r>
                      <w:r>
                        <w:t xml:space="preserve"> an</w:t>
                      </w:r>
                      <w:proofErr w:type="gramEnd"/>
                      <w:r>
                        <w:t xml:space="preserve"> action against banking firms and private financial entities over unlawful practices with respect to municipal investment funds.  By vote of all </w:t>
                      </w:r>
                      <w:r w:rsidR="00E04FF1">
                        <w:t>five</w:t>
                      </w:r>
                      <w:r>
                        <w:t xml:space="preserve"> member</w:t>
                      </w:r>
                      <w:r w:rsidR="00E04FF1">
                        <w:t>s</w:t>
                      </w:r>
                      <w:r>
                        <w:t xml:space="preserve"> of the Board being present and voting “Aye,” the Board authorized participation in a global settlement with two of the defendant entities, under which the County and related entities will receive a total of $218,619.79.    </w:t>
                      </w:r>
                    </w:p>
                    <w:p w:rsidR="00391A34" w:rsidRDefault="00391A34" w:rsidP="00864F1E">
                      <w:pPr>
                        <w:pStyle w:val="JustifiedCOB"/>
                        <w:keepNext/>
                      </w:pPr>
                    </w:p>
                  </w:tc>
                </w:customXml>
              </w:tr>
            </w:customXml>
            <w:customXml w:uri="regular-agenda-item" w:element="DETAILS_ROW">
              <w:tr w:rsidR="00391A34" w:rsidTr="00391A34">
                <w:customXml w:uri="regular-agenda-item" w:element="AGENDA_INDEX">
                  <w:tc>
                    <w:tcPr>
                      <w:tcW w:w="864" w:type="dxa"/>
                    </w:tcPr>
                    <w:p w:rsidR="00391A34" w:rsidRDefault="00391A34" w:rsidP="00391A34">
                      <w:pPr>
                        <w:pStyle w:val="BLTemplate"/>
                        <w:jc w:val="center"/>
                        <w:rPr>
                          <w:b/>
                        </w:rPr>
                      </w:pPr>
                      <w:r>
                        <w:rPr>
                          <w:b/>
                        </w:rPr>
                        <w:t>15.</w:t>
                      </w:r>
                    </w:p>
                  </w:tc>
                </w:customXml>
                <w:customXml w:uri="regular-agenda-item" w:element="CATEGORY">
                  <w:tc>
                    <w:tcPr>
                      <w:tcW w:w="1440" w:type="dxa"/>
                    </w:tcPr>
                    <w:p w:rsidR="00391A34" w:rsidRDefault="00391A34" w:rsidP="00391A34">
                      <w:pPr>
                        <w:pStyle w:val="BLTemplate"/>
                        <w:jc w:val="left"/>
                        <w:rPr>
                          <w:b/>
                        </w:rPr>
                      </w:pPr>
                      <w:r>
                        <w:rPr>
                          <w:b/>
                        </w:rPr>
                        <w:t>SUBJECT:</w:t>
                      </w:r>
                    </w:p>
                  </w:tc>
                </w:customXml>
                <w:customXml w:uri="regular-agenda-item" w:element="SUBJECT">
                  <w:tc>
                    <w:tcPr>
                      <w:tcW w:w="7056" w:type="dxa"/>
                    </w:tcPr>
                    <w:p w:rsidR="00391A34" w:rsidRDefault="006D2224" w:rsidP="00391A34">
                      <w:pPr>
                        <w:pStyle w:val="JustifiedCOB"/>
                        <w:jc w:val="left"/>
                      </w:pPr>
                      <w:r>
                        <w:fldChar w:fldCharType="begin"/>
                      </w:r>
                      <w:r w:rsidR="00391A34">
                        <w:instrText xml:space="preserve"> MacroButton NoMacro </w:instrText>
                      </w:r>
                      <w:r>
                        <w:fldChar w:fldCharType="end"/>
                      </w:r>
                      <w:r w:rsidR="00391A34">
                        <w:rPr>
                          <w:b/>
                        </w:rPr>
                        <w:t xml:space="preserve"> PUBLIC COMMUNICATION (DISTRICTS: ALL) </w:t>
                      </w:r>
                    </w:p>
                  </w:tc>
                </w:customXml>
              </w:tr>
            </w:customXml>
            <w:customXml w:uri="regular-agenda-item" w:element="DETAILS_ROW">
              <w:tr w:rsidR="00391A34" w:rsidTr="00391A34">
                <w:tc>
                  <w:tcPr>
                    <w:tcW w:w="864" w:type="dxa"/>
                  </w:tcPr>
                  <w:p w:rsidR="00391A34" w:rsidRDefault="00391A34" w:rsidP="00391A34">
                    <w:pPr>
                      <w:pStyle w:val="BLTemplate"/>
                      <w:jc w:val="center"/>
                      <w:rPr>
                        <w:b/>
                      </w:rPr>
                    </w:pPr>
                  </w:p>
                </w:tc>
                <w:customXml w:uri="regular-agenda-item" w:element="HEADER">
                  <w:tc>
                    <w:tcPr>
                      <w:tcW w:w="8496" w:type="dxa"/>
                      <w:gridSpan w:val="2"/>
                      <w:vAlign w:val="bottom"/>
                    </w:tcPr>
                    <w:p w:rsidR="00391A34" w:rsidRDefault="00391A34" w:rsidP="00391A34">
                      <w:pPr>
                        <w:pStyle w:val="BLTemplate"/>
                      </w:pPr>
                      <w:r>
                        <w:rPr>
                          <w:b/>
                        </w:rPr>
                        <w:t>OVERVIEW:</w:t>
                      </w:r>
                    </w:p>
                  </w:tc>
                </w:customXml>
              </w:tr>
            </w:customXml>
            <w:customXml w:uri="regular-agenda-item" w:element="DETAILS_ROW">
              <w:tr w:rsidR="00391A34" w:rsidTr="00391A34">
                <w:tc>
                  <w:tcPr>
                    <w:tcW w:w="864" w:type="dxa"/>
                  </w:tcPr>
                  <w:p w:rsidR="00391A34" w:rsidRDefault="00391A34" w:rsidP="00391A34">
                    <w:pPr>
                      <w:pStyle w:val="BLTemplate"/>
                      <w:jc w:val="center"/>
                      <w:rPr>
                        <w:b/>
                      </w:rPr>
                    </w:pPr>
                  </w:p>
                </w:tc>
                <w:tc>
                  <w:tcPr>
                    <w:tcW w:w="8496" w:type="dxa"/>
                    <w:gridSpan w:val="2"/>
                  </w:tcPr>
                  <w:p w:rsidR="00391A34" w:rsidRDefault="00AE0594" w:rsidP="00391A34">
                    <w:r>
                      <w:t>Sharon Bai</w:t>
                    </w:r>
                    <w:r w:rsidR="00952DB5">
                      <w:t xml:space="preserve">r spoke to the Board </w:t>
                    </w:r>
                    <w:r w:rsidR="00E04FF1">
                      <w:t>to</w:t>
                    </w:r>
                    <w:r>
                      <w:t xml:space="preserve"> commend the Board </w:t>
                    </w:r>
                    <w:r w:rsidR="00E04FF1">
                      <w:t>for their recent actions</w:t>
                    </w:r>
                    <w:r w:rsidR="00391A34">
                      <w:t>.</w:t>
                    </w:r>
                  </w:p>
                  <w:p w:rsidR="00AE0594" w:rsidRDefault="00AE0594" w:rsidP="00391A34"/>
                  <w:p w:rsidR="00952DB5" w:rsidRDefault="00952DB5" w:rsidP="00391A34">
                    <w:r>
                      <w:t xml:space="preserve">Gordon Shackelford spoke to the Board regarding </w:t>
                    </w:r>
                    <w:r w:rsidR="00E04FF1">
                      <w:t xml:space="preserve">the </w:t>
                    </w:r>
                    <w:r w:rsidR="00AE0594">
                      <w:t>agenda structure</w:t>
                    </w:r>
                    <w:r>
                      <w:t>.</w:t>
                    </w:r>
                  </w:p>
                  <w:p w:rsidR="00391A34" w:rsidRPr="00391A34" w:rsidRDefault="00391A34" w:rsidP="00391A34"/>
                </w:tc>
              </w:tr>
            </w:customXml>
            <w:customXml w:uri="regular-agenda-item" w:element="DETAILS_ROW">
              <w:tr w:rsidR="00391A34" w:rsidTr="00391A34">
                <w:tc>
                  <w:tcPr>
                    <w:tcW w:w="864" w:type="dxa"/>
                  </w:tcPr>
                  <w:p w:rsidR="00391A34" w:rsidRDefault="00391A34" w:rsidP="00391A34">
                    <w:pPr>
                      <w:pStyle w:val="BLTemplate"/>
                      <w:jc w:val="center"/>
                      <w:rPr>
                        <w:b/>
                      </w:rPr>
                    </w:pPr>
                  </w:p>
                </w:tc>
                <w:customXml w:uri="regular-agenda-item" w:element="HEADER">
                  <w:tc>
                    <w:tcPr>
                      <w:tcW w:w="8496" w:type="dxa"/>
                      <w:gridSpan w:val="2"/>
                      <w:vAlign w:val="bottom"/>
                    </w:tcPr>
                    <w:p w:rsidR="00391A34" w:rsidRDefault="00391A34" w:rsidP="00391A34">
                      <w:pPr>
                        <w:pStyle w:val="BLTemplate"/>
                      </w:pPr>
                      <w:r w:rsidRPr="00AD7ED6">
                        <w:rPr>
                          <w:b/>
                        </w:rPr>
                        <w:t>ACTION:</w:t>
                      </w:r>
                    </w:p>
                  </w:tc>
                </w:customXml>
              </w:tr>
            </w:customXml>
            <w:customXml w:uri="regular-agenda-item" w:element="DETAILS_ROW">
              <w:tr w:rsidR="00391A34" w:rsidTr="00391A34">
                <w:tc>
                  <w:tcPr>
                    <w:tcW w:w="864" w:type="dxa"/>
                  </w:tcPr>
                  <w:p w:rsidR="00391A34" w:rsidRDefault="00391A34" w:rsidP="00391A34">
                    <w:pPr>
                      <w:pStyle w:val="BLTemplate"/>
                      <w:jc w:val="center"/>
                      <w:rPr>
                        <w:b/>
                      </w:rPr>
                    </w:pPr>
                  </w:p>
                </w:tc>
                <w:customXml w:uri="regular-agenda-item" w:element="HEADER">
                  <w:tc>
                    <w:tcPr>
                      <w:tcW w:w="8496" w:type="dxa"/>
                      <w:gridSpan w:val="2"/>
                    </w:tcPr>
                    <w:p w:rsidR="00391A34" w:rsidRDefault="00391A34" w:rsidP="00391A34">
                      <w:pPr>
                        <w:pStyle w:val="JustifiedCOB"/>
                      </w:pPr>
                      <w:r>
                        <w:t>Heard, referred to the Chief Administrative Officer.</w:t>
                      </w:r>
                    </w:p>
                  </w:tc>
                </w:customXml>
              </w:tr>
            </w:customXml>
          </w:tbl>
          <w:p w:rsidR="00690459" w:rsidRDefault="006D2224"/>
        </w:customXml>
        <w:p w:rsidR="00690CB2" w:rsidRDefault="00690CB2"/>
        <w:p w:rsidR="00690459" w:rsidRDefault="006D2224"/>
      </w:customXml>
      <w:p w:rsidR="00391A34" w:rsidRPr="00A60C69" w:rsidRDefault="00391A34" w:rsidP="00391A34">
        <w:pPr>
          <w:tabs>
            <w:tab w:val="left" w:pos="-1530"/>
            <w:tab w:val="left" w:pos="-450"/>
            <w:tab w:val="left" w:pos="-360"/>
            <w:tab w:val="left" w:pos="-180"/>
            <w:tab w:val="left" w:pos="9360"/>
          </w:tabs>
        </w:pPr>
        <w:r w:rsidRPr="00A60C69">
          <w:t xml:space="preserve">There being no further business, the Board adjourned at </w:t>
        </w:r>
        <w:r>
          <w:t>11</w:t>
        </w:r>
        <w:r w:rsidRPr="00A60C69">
          <w:t>:</w:t>
        </w:r>
        <w:r w:rsidR="004A20DF">
          <w:t>05</w:t>
        </w:r>
        <w:r w:rsidRPr="00A60C69">
          <w:t xml:space="preserve"> a.m. </w:t>
        </w:r>
        <w:r>
          <w:t>in memory of</w:t>
        </w:r>
        <w:r w:rsidR="00646D1F">
          <w:t xml:space="preserve"> Glenn </w:t>
        </w:r>
        <w:proofErr w:type="spellStart"/>
        <w:r w:rsidR="00646D1F">
          <w:t>Boeck</w:t>
        </w:r>
        <w:proofErr w:type="spellEnd"/>
        <w:r w:rsidR="00646D1F">
          <w:t xml:space="preserve"> and Jeffrey </w:t>
        </w:r>
        <w:proofErr w:type="spellStart"/>
        <w:r w:rsidR="00646D1F">
          <w:t>Marxen</w:t>
        </w:r>
        <w:proofErr w:type="spellEnd"/>
        <w:r w:rsidR="00646D1F">
          <w:t>, M.D.</w:t>
        </w:r>
      </w:p>
      <w:p w:rsidR="00391A34" w:rsidRPr="00781044" w:rsidRDefault="00391A34" w:rsidP="00391A34">
        <w:pPr>
          <w:tabs>
            <w:tab w:val="left" w:pos="-1530"/>
            <w:tab w:val="left" w:pos="-450"/>
            <w:tab w:val="left" w:pos="-360"/>
            <w:tab w:val="left" w:pos="-180"/>
          </w:tabs>
        </w:pPr>
      </w:p>
      <w:p w:rsidR="00391A34" w:rsidRDefault="00391A34" w:rsidP="00391A34">
        <w:pPr>
          <w:tabs>
            <w:tab w:val="left" w:pos="-1530"/>
            <w:tab w:val="left" w:pos="-450"/>
            <w:tab w:val="left" w:pos="-360"/>
            <w:tab w:val="left" w:pos="-180"/>
          </w:tabs>
          <w:ind w:left="-720"/>
          <w:jc w:val="center"/>
          <w:outlineLvl w:val="0"/>
        </w:pPr>
        <w:bookmarkStart w:id="4" w:name="ClerkName"/>
        <w:bookmarkEnd w:id="4"/>
      </w:p>
      <w:p w:rsidR="00391A34" w:rsidRDefault="00391A34" w:rsidP="00391A34">
        <w:pPr>
          <w:tabs>
            <w:tab w:val="left" w:pos="-1530"/>
            <w:tab w:val="left" w:pos="-450"/>
            <w:tab w:val="left" w:pos="-360"/>
            <w:tab w:val="left" w:pos="-180"/>
          </w:tabs>
          <w:ind w:left="-720"/>
          <w:jc w:val="center"/>
          <w:outlineLvl w:val="0"/>
        </w:pPr>
      </w:p>
      <w:p w:rsidR="00391A34" w:rsidRDefault="00391A34" w:rsidP="00391A34">
        <w:pPr>
          <w:tabs>
            <w:tab w:val="left" w:pos="-1530"/>
            <w:tab w:val="left" w:pos="-450"/>
            <w:tab w:val="left" w:pos="-360"/>
            <w:tab w:val="left" w:pos="-180"/>
          </w:tabs>
          <w:ind w:left="-720"/>
          <w:jc w:val="center"/>
          <w:outlineLvl w:val="0"/>
        </w:pPr>
        <w:r>
          <w:t>THOMAS J. PASTUSZKA</w:t>
        </w:r>
      </w:p>
      <w:p w:rsidR="00391A34" w:rsidRDefault="00391A34" w:rsidP="00391A34">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391A34" w:rsidRDefault="00391A34" w:rsidP="00391A34">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391A34" w:rsidRDefault="00391A34" w:rsidP="00391A34">
        <w:pPr>
          <w:tabs>
            <w:tab w:val="left" w:pos="-1530"/>
            <w:tab w:val="left" w:pos="-450"/>
            <w:tab w:val="left" w:pos="-360"/>
            <w:tab w:val="left" w:pos="-180"/>
          </w:tabs>
        </w:pPr>
      </w:p>
      <w:p w:rsidR="00391A34" w:rsidRDefault="00391A34" w:rsidP="00391A34">
        <w:pPr>
          <w:tabs>
            <w:tab w:val="left" w:pos="-1530"/>
            <w:tab w:val="left" w:pos="-450"/>
            <w:tab w:val="left" w:pos="-360"/>
            <w:tab w:val="left" w:pos="-180"/>
          </w:tabs>
        </w:pPr>
      </w:p>
      <w:p w:rsidR="00391A34" w:rsidRDefault="00391A34" w:rsidP="00391A34">
        <w:pPr>
          <w:tabs>
            <w:tab w:val="left" w:pos="-1530"/>
            <w:tab w:val="left" w:pos="-450"/>
            <w:tab w:val="left" w:pos="-360"/>
            <w:tab w:val="left" w:pos="-180"/>
          </w:tabs>
        </w:pPr>
      </w:p>
      <w:p w:rsidR="00391A34" w:rsidRDefault="00391A34" w:rsidP="00391A34">
        <w:pPr>
          <w:tabs>
            <w:tab w:val="left" w:pos="-1530"/>
            <w:tab w:val="left" w:pos="-450"/>
            <w:tab w:val="left" w:pos="-360"/>
            <w:tab w:val="left" w:pos="-180"/>
          </w:tabs>
        </w:pPr>
        <w:r>
          <w:t>Consent:</w:t>
        </w:r>
        <w:bookmarkStart w:id="6" w:name="NotesBy"/>
        <w:bookmarkEnd w:id="6"/>
        <w:r>
          <w:t xml:space="preserve"> </w:t>
        </w:r>
        <w:r w:rsidR="00AD3F03">
          <w:t>Vizcarra</w:t>
        </w:r>
      </w:p>
      <w:p w:rsidR="00391A34" w:rsidRDefault="00AD3F03" w:rsidP="00391A34">
        <w:pPr>
          <w:tabs>
            <w:tab w:val="left" w:pos="-1530"/>
            <w:tab w:val="left" w:pos="-450"/>
            <w:tab w:val="left" w:pos="-360"/>
            <w:tab w:val="left" w:pos="-180"/>
          </w:tabs>
        </w:pPr>
        <w:r>
          <w:t>Discussion: Panfil</w:t>
        </w:r>
      </w:p>
      <w:p w:rsidR="00391A34" w:rsidRDefault="00391A34" w:rsidP="00391A34">
        <w:pPr>
          <w:tabs>
            <w:tab w:val="left" w:pos="-1530"/>
            <w:tab w:val="left" w:pos="-450"/>
            <w:tab w:val="left" w:pos="-360"/>
            <w:tab w:val="left" w:pos="-180"/>
          </w:tabs>
          <w:ind w:left="-720"/>
        </w:pPr>
      </w:p>
      <w:p w:rsidR="00391A34" w:rsidRDefault="00391A34" w:rsidP="00391A34">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p w:rsidR="00690459" w:rsidRDefault="006D2224"/>
    </w:customXml>
    <w:sectPr w:rsidR="00690459" w:rsidSect="00D92EC7">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8F6" w:rsidRDefault="00BA38F6">
      <w:r>
        <w:separator/>
      </w:r>
    </w:p>
  </w:endnote>
  <w:endnote w:type="continuationSeparator" w:id="0">
    <w:p w:rsidR="00BA38F6" w:rsidRDefault="00BA3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6" w:rsidRDefault="006D2224">
    <w:pPr>
      <w:pStyle w:val="Footer"/>
      <w:framePr w:wrap="around" w:vAnchor="text" w:hAnchor="margin" w:xAlign="right" w:y="1"/>
      <w:rPr>
        <w:rStyle w:val="PageNumber"/>
      </w:rPr>
    </w:pPr>
    <w:r>
      <w:rPr>
        <w:rStyle w:val="PageNumber"/>
      </w:rPr>
      <w:fldChar w:fldCharType="begin"/>
    </w:r>
    <w:r w:rsidR="00BA38F6">
      <w:rPr>
        <w:rStyle w:val="PageNumber"/>
      </w:rPr>
      <w:instrText xml:space="preserve">PAGE  </w:instrText>
    </w:r>
    <w:r>
      <w:rPr>
        <w:rStyle w:val="PageNumber"/>
      </w:rPr>
      <w:fldChar w:fldCharType="end"/>
    </w:r>
  </w:p>
  <w:p w:rsidR="00BA38F6" w:rsidRDefault="00BA38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6" w:rsidRDefault="006D2224">
    <w:pPr>
      <w:pStyle w:val="Footer"/>
      <w:framePr w:wrap="around" w:vAnchor="text" w:hAnchor="margin" w:xAlign="right" w:y="1"/>
      <w:rPr>
        <w:rStyle w:val="PageNumber"/>
      </w:rPr>
    </w:pPr>
    <w:r>
      <w:rPr>
        <w:rStyle w:val="PageNumber"/>
      </w:rPr>
      <w:fldChar w:fldCharType="begin"/>
    </w:r>
    <w:r w:rsidR="00BA38F6">
      <w:rPr>
        <w:rStyle w:val="PageNumber"/>
      </w:rPr>
      <w:instrText xml:space="preserve">PAGE  </w:instrText>
    </w:r>
    <w:r>
      <w:rPr>
        <w:rStyle w:val="PageNumber"/>
      </w:rPr>
      <w:fldChar w:fldCharType="separate"/>
    </w:r>
    <w:r w:rsidR="00DE79EB">
      <w:rPr>
        <w:rStyle w:val="PageNumber"/>
        <w:noProof/>
      </w:rPr>
      <w:t>1</w:t>
    </w:r>
    <w:r>
      <w:rPr>
        <w:rStyle w:val="PageNumber"/>
      </w:rPr>
      <w:fldChar w:fldCharType="end"/>
    </w:r>
  </w:p>
  <w:p w:rsidR="00BA38F6" w:rsidRDefault="00BA38F6">
    <w:pPr>
      <w:tabs>
        <w:tab w:val="left" w:pos="5040"/>
      </w:tabs>
      <w:ind w:right="432"/>
      <w:jc w:val="left"/>
      <w:rPr>
        <w:sz w:val="20"/>
      </w:rPr>
    </w:pPr>
    <w:r>
      <w:rPr>
        <w:sz w:val="20"/>
      </w:rPr>
      <w:t>2/29/12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8F6" w:rsidRDefault="00BA38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8F6" w:rsidRDefault="00BA38F6">
      <w:r>
        <w:separator/>
      </w:r>
    </w:p>
  </w:footnote>
  <w:footnote w:type="continuationSeparator" w:id="0">
    <w:p w:rsidR="00BA38F6" w:rsidRDefault="00BA3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4E7D06"/>
    <w:multiLevelType w:val="hybridMultilevel"/>
    <w:tmpl w:val="FE5EE4C2"/>
    <w:lvl w:ilvl="0" w:tplc="861A333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73F64"/>
    <w:multiLevelType w:val="multilevel"/>
    <w:tmpl w:val="A9C448B0"/>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5"/>
  </w:num>
  <w:num w:numId="8">
    <w:abstractNumId w:val="8"/>
  </w:num>
  <w:num w:numId="9">
    <w:abstractNumId w:val="0"/>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3553"/>
  </w:hdrShapeDefaults>
  <w:footnotePr>
    <w:footnote w:id="-1"/>
    <w:footnote w:id="0"/>
  </w:footnotePr>
  <w:endnotePr>
    <w:numFmt w:val="decimal"/>
    <w:endnote w:id="-1"/>
    <w:endnote w:id="0"/>
  </w:endnotePr>
  <w:compat/>
  <w:rsids>
    <w:rsidRoot w:val="00690459"/>
    <w:rsid w:val="00011320"/>
    <w:rsid w:val="00036DD1"/>
    <w:rsid w:val="00040C21"/>
    <w:rsid w:val="000558C4"/>
    <w:rsid w:val="000676FD"/>
    <w:rsid w:val="0008195F"/>
    <w:rsid w:val="000E6703"/>
    <w:rsid w:val="001313E7"/>
    <w:rsid w:val="0019337C"/>
    <w:rsid w:val="00194E52"/>
    <w:rsid w:val="001A641B"/>
    <w:rsid w:val="00225A64"/>
    <w:rsid w:val="002357A4"/>
    <w:rsid w:val="00293F60"/>
    <w:rsid w:val="002A7169"/>
    <w:rsid w:val="00391A34"/>
    <w:rsid w:val="003C2A6B"/>
    <w:rsid w:val="003D6050"/>
    <w:rsid w:val="003E756E"/>
    <w:rsid w:val="003F69FF"/>
    <w:rsid w:val="00462BC1"/>
    <w:rsid w:val="004A20DF"/>
    <w:rsid w:val="00520272"/>
    <w:rsid w:val="00521239"/>
    <w:rsid w:val="0052449F"/>
    <w:rsid w:val="00573698"/>
    <w:rsid w:val="005C278B"/>
    <w:rsid w:val="00646D1F"/>
    <w:rsid w:val="00690459"/>
    <w:rsid w:val="00690CB2"/>
    <w:rsid w:val="006C0250"/>
    <w:rsid w:val="006D2224"/>
    <w:rsid w:val="0070208E"/>
    <w:rsid w:val="00706BCA"/>
    <w:rsid w:val="0074218F"/>
    <w:rsid w:val="007559F1"/>
    <w:rsid w:val="007A3FF3"/>
    <w:rsid w:val="007C373E"/>
    <w:rsid w:val="007D0820"/>
    <w:rsid w:val="0081016B"/>
    <w:rsid w:val="008408DD"/>
    <w:rsid w:val="008546E7"/>
    <w:rsid w:val="00856ABA"/>
    <w:rsid w:val="00864F1E"/>
    <w:rsid w:val="0087528D"/>
    <w:rsid w:val="008754AD"/>
    <w:rsid w:val="00882EB5"/>
    <w:rsid w:val="00891C68"/>
    <w:rsid w:val="008B2A8C"/>
    <w:rsid w:val="008C1FEA"/>
    <w:rsid w:val="008C3C94"/>
    <w:rsid w:val="00947D74"/>
    <w:rsid w:val="00952DB5"/>
    <w:rsid w:val="0095400B"/>
    <w:rsid w:val="00961A98"/>
    <w:rsid w:val="009C3DDE"/>
    <w:rsid w:val="009C659C"/>
    <w:rsid w:val="00A101D4"/>
    <w:rsid w:val="00A57900"/>
    <w:rsid w:val="00A751F9"/>
    <w:rsid w:val="00AB12A6"/>
    <w:rsid w:val="00AD3F03"/>
    <w:rsid w:val="00AE0594"/>
    <w:rsid w:val="00B00FC8"/>
    <w:rsid w:val="00B01849"/>
    <w:rsid w:val="00B04D85"/>
    <w:rsid w:val="00B36A4F"/>
    <w:rsid w:val="00B60F0D"/>
    <w:rsid w:val="00B66011"/>
    <w:rsid w:val="00B80E97"/>
    <w:rsid w:val="00B83F85"/>
    <w:rsid w:val="00B93670"/>
    <w:rsid w:val="00BA38F6"/>
    <w:rsid w:val="00BA43F0"/>
    <w:rsid w:val="00BE12B5"/>
    <w:rsid w:val="00C70AE4"/>
    <w:rsid w:val="00C75169"/>
    <w:rsid w:val="00C97E96"/>
    <w:rsid w:val="00CD7DE5"/>
    <w:rsid w:val="00D85F1E"/>
    <w:rsid w:val="00D92EC7"/>
    <w:rsid w:val="00D9400C"/>
    <w:rsid w:val="00D97655"/>
    <w:rsid w:val="00DE79EB"/>
    <w:rsid w:val="00E04FF1"/>
    <w:rsid w:val="00E237BC"/>
    <w:rsid w:val="00ED1DAF"/>
    <w:rsid w:val="00F1305D"/>
    <w:rsid w:val="00F213A5"/>
    <w:rsid w:val="00F8041A"/>
    <w:rsid w:val="00F818D2"/>
    <w:rsid w:val="00F945EC"/>
    <w:rsid w:val="00FC1582"/>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7"/>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styleId="Hyperlink">
    <w:name w:val="Hyperlink"/>
    <w:basedOn w:val="DefaultParagraphFont"/>
    <w:rsid w:val="00225A64"/>
    <w:rPr>
      <w:color w:val="0000FF"/>
      <w:u w:val="single"/>
    </w:rPr>
  </w:style>
  <w:style w:type="paragraph" w:customStyle="1" w:styleId="1Paragraph">
    <w:name w:val="1Paragraph"/>
    <w:rsid w:val="003D6050"/>
    <w:pPr>
      <w:tabs>
        <w:tab w:val="left" w:pos="720"/>
      </w:tabs>
      <w:snapToGrid w:val="0"/>
      <w:ind w:left="720" w:hanging="720"/>
    </w:pPr>
    <w:rPr>
      <w:sz w:val="24"/>
    </w:rPr>
  </w:style>
  <w:style w:type="character" w:customStyle="1" w:styleId="JustifiedCOBCharChar">
    <w:name w:val="Justified_COB Char Char"/>
    <w:link w:val="JustifiedCOB"/>
    <w:rsid w:val="003D6050"/>
    <w:rPr>
      <w:sz w:val="24"/>
    </w:rPr>
  </w:style>
  <w:style w:type="paragraph" w:customStyle="1" w:styleId="HangingIndent">
    <w:name w:val="HangingIndent"/>
    <w:basedOn w:val="Normal"/>
    <w:locked/>
    <w:rsid w:val="003D6050"/>
    <w:pPr>
      <w:tabs>
        <w:tab w:val="right" w:pos="5760"/>
        <w:tab w:val="right" w:pos="6480"/>
        <w:tab w:val="right" w:pos="7200"/>
        <w:tab w:val="right" w:pos="7920"/>
        <w:tab w:val="right" w:pos="8640"/>
      </w:tabs>
      <w:ind w:left="360" w:hanging="360"/>
    </w:pPr>
  </w:style>
  <w:style w:type="paragraph" w:styleId="BodyText">
    <w:name w:val="Body Text"/>
    <w:basedOn w:val="Normal"/>
    <w:link w:val="BodyTextChar"/>
    <w:rsid w:val="003D6050"/>
    <w:pPr>
      <w:spacing w:after="120"/>
    </w:pPr>
  </w:style>
  <w:style w:type="character" w:customStyle="1" w:styleId="BodyTextChar">
    <w:name w:val="Body Text Char"/>
    <w:basedOn w:val="DefaultParagraphFont"/>
    <w:link w:val="BodyText"/>
    <w:rsid w:val="003D6050"/>
    <w:rPr>
      <w:sz w:val="24"/>
    </w:rPr>
  </w:style>
  <w:style w:type="paragraph" w:styleId="BodyTextIndent2">
    <w:name w:val="Body Text Indent 2"/>
    <w:basedOn w:val="Normal"/>
    <w:link w:val="BodyTextIndent2Char"/>
    <w:rsid w:val="00391A34"/>
    <w:pPr>
      <w:spacing w:after="120" w:line="480" w:lineRule="auto"/>
      <w:ind w:left="360"/>
    </w:pPr>
  </w:style>
  <w:style w:type="character" w:customStyle="1" w:styleId="BodyTextIndent2Char">
    <w:name w:val="Body Text Indent 2 Char"/>
    <w:basedOn w:val="DefaultParagraphFont"/>
    <w:link w:val="BodyTextIndent2"/>
    <w:rsid w:val="00391A34"/>
    <w:rPr>
      <w:sz w:val="24"/>
    </w:rPr>
  </w:style>
  <w:style w:type="paragraph" w:styleId="ListParagraph">
    <w:name w:val="List Paragraph"/>
    <w:basedOn w:val="Normal"/>
    <w:uiPriority w:val="34"/>
    <w:qFormat/>
    <w:rsid w:val="00391A34"/>
    <w:pPr>
      <w:ind w:left="720"/>
      <w:contextualSpacing/>
    </w:pPr>
  </w:style>
  <w:style w:type="paragraph" w:customStyle="1" w:styleId="Default">
    <w:name w:val="Default"/>
    <w:rsid w:val="00ED1DA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91100053">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537549485">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329F-AC60-4004-9B5B-3A0CC110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122</TotalTime>
  <Pages>28</Pages>
  <Words>9076</Words>
  <Characters>51735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60690</CharactersWithSpaces>
  <SharedDoc>false</SharedDoc>
  <HLinks>
    <vt:vector size="6" baseType="variant">
      <vt:variant>
        <vt:i4>5963791</vt:i4>
      </vt:variant>
      <vt:variant>
        <vt:i4>0</vt:i4>
      </vt:variant>
      <vt:variant>
        <vt:i4>0</vt:i4>
      </vt:variant>
      <vt:variant>
        <vt:i4>5</vt:i4>
      </vt:variant>
      <vt:variant>
        <vt:lpwstr>http://www.sdcounty.ca.gov/cob/bosa/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29</cp:revision>
  <cp:lastPrinted>2012-02-29T22:56:00Z</cp:lastPrinted>
  <dcterms:created xsi:type="dcterms:W3CDTF">2012-02-27T16:44:00Z</dcterms:created>
  <dcterms:modified xsi:type="dcterms:W3CDTF">2012-02-29T22:57:00Z</dcterms:modified>
</cp:coreProperties>
</file>