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7B" w:rsidRDefault="00FB727B" w:rsidP="00156178">
      <w:pPr>
        <w:pStyle w:val="NoSpacing"/>
        <w:rPr>
          <w:caps w:val="0"/>
          <w:color w:val="auto"/>
          <w:sz w:val="22"/>
          <w:szCs w:val="22"/>
        </w:rPr>
      </w:pPr>
    </w:p>
    <w:p w:rsidR="00FB727B" w:rsidRDefault="00FB727B">
      <w:pPr>
        <w:jc w:val="left"/>
      </w:pPr>
      <w:r>
        <w:rPr>
          <w:caps/>
          <w:noProof/>
        </w:rPr>
        <w:drawing>
          <wp:inline distT="0" distB="0" distL="0" distR="0">
            <wp:extent cx="5381625" cy="700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625" cy="7001337"/>
                    </a:xfrm>
                    <a:prstGeom prst="rect">
                      <a:avLst/>
                    </a:prstGeom>
                    <a:noFill/>
                    <a:ln>
                      <a:noFill/>
                    </a:ln>
                  </pic:spPr>
                </pic:pic>
              </a:graphicData>
            </a:graphic>
          </wp:inline>
        </w:drawing>
      </w:r>
      <w:r>
        <w:rPr>
          <w:caps/>
        </w:rPr>
        <w:br w:type="page"/>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EC5A9D" w:rsidRDefault="00EC5A9D" w:rsidP="00156178">
                  <w:pPr>
                    <w:pStyle w:val="NoSpacing"/>
                    <w:rPr>
                      <w:sz w:val="22"/>
                    </w:rPr>
                  </w:pPr>
                  <w:r w:rsidRPr="00EC5A9D">
                    <w:rPr>
                      <w:color w:val="auto"/>
                    </w:rPr>
                    <w:t>STATEMENT OF PROCEEDINGS</w:t>
                  </w:r>
                </w:p>
                <w:p w:rsidR="002A6364" w:rsidRPr="00201B85" w:rsidRDefault="001950BE" w:rsidP="00156178">
                  <w:pPr>
                    <w:pStyle w:val="NoSpacing"/>
                    <w:rPr>
                      <w:sz w:val="22"/>
                    </w:rPr>
                  </w:pPr>
                  <w:r>
                    <w:rPr>
                      <w:color w:val="000000"/>
                    </w:rPr>
                    <w:t>County of San Diego Board of Supervisors</w:t>
                  </w:r>
                </w:p>
              </w:sdtContent>
            </w:sdt>
            <w:p w:rsidR="003A1CF7" w:rsidRPr="00B31C2D" w:rsidRDefault="00C9664D" w:rsidP="00156178">
              <w:pPr>
                <w:pStyle w:val="NoSpacing"/>
              </w:pPr>
              <w:sdt>
                <w:sdtPr>
                  <w:rPr>
                    <w:color w:val="auto"/>
                  </w:rPr>
                  <w:alias w:val="MTG_SUB_TITLE"/>
                  <w:tag w:val="MTG_SUB_TITLE"/>
                  <w:id w:val="-673800951"/>
                  <w:lock w:val="sdtContentLocked"/>
                  <w:text/>
                </w:sdtPr>
                <w:sdtEndPr>
                  <w:rPr>
                    <w:color w:val="808080"/>
                  </w:rPr>
                </w:sdtEndPr>
                <w:sdtContent>
                  <w:r w:rsidR="00CD28EC">
                    <w:rPr>
                      <w:color w:val="auto"/>
                    </w:rPr>
                    <w:t>special</w:t>
                  </w:r>
                  <w:r w:rsidR="006C1BFB" w:rsidRPr="00001349">
                    <w:rPr>
                      <w:color w:val="auto"/>
                    </w:rPr>
                    <w:t xml:space="preserve"> MEETING</w:t>
                  </w:r>
                </w:sdtContent>
              </w:sdt>
            </w:p>
            <w:p w:rsidR="001F6F6C" w:rsidRPr="00A67B9B" w:rsidRDefault="00C9664D"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C9664D" w:rsidP="00156178">
              <w:pPr>
                <w:pStyle w:val="NoSpacing"/>
              </w:pPr>
              <w:sdt>
                <w:sdtPr>
                  <w:alias w:val="MTG_DATE_TIME"/>
                  <w:tag w:val="MTG_DATE_TIME"/>
                  <w:id w:val="-541284132"/>
                </w:sdtPr>
                <w:sdtEndPr/>
                <w:sdtContent>
                  <w:r w:rsidR="009509B0" w:rsidRPr="00A67B9B">
                    <w:rPr>
                      <w:b/>
                      <w:color w:val="auto"/>
                    </w:rPr>
                    <w:t>WEDNESDAY, JUNE 12, 2013, 09:00 A.M</w:t>
                  </w:r>
                </w:sdtContent>
              </w:sdt>
            </w:p>
            <w:p w:rsidR="00052011" w:rsidRPr="00201B85" w:rsidRDefault="00C9664D"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Default="000B2724" w:rsidP="002267C4">
                  <w:pPr>
                    <w:jc w:val="left"/>
                  </w:pPr>
                </w:p>
                <w:p w:rsidR="004C1565" w:rsidRPr="00A86219" w:rsidRDefault="004C1565" w:rsidP="002267C4">
                  <w:pPr>
                    <w:jc w:val="left"/>
                  </w:pPr>
                  <w:r w:rsidRPr="004C1565">
                    <w:t xml:space="preserve">SPECIAL SESSION – The </w:t>
                  </w:r>
                  <w:r>
                    <w:t>meeting was called to order at 9:04 a</w:t>
                  </w:r>
                  <w:r w:rsidRPr="004C1565">
                    <w:t>.m.</w:t>
                  </w:r>
                </w:p>
                <w:p w:rsidR="004C1565" w:rsidRDefault="004C1565" w:rsidP="00EC5A9D">
                  <w:pPr>
                    <w:tabs>
                      <w:tab w:val="left" w:pos="-1530"/>
                      <w:tab w:val="left" w:pos="-450"/>
                      <w:tab w:val="left" w:pos="-180"/>
                      <w:tab w:val="left" w:pos="2160"/>
                      <w:tab w:val="left" w:pos="2448"/>
                      <w:tab w:val="left" w:pos="2736"/>
                      <w:tab w:val="left" w:pos="3024"/>
                      <w:tab w:val="left" w:pos="3312"/>
                      <w:tab w:val="left" w:pos="3600"/>
                      <w:tab w:val="left" w:pos="3888"/>
                      <w:tab w:val="left" w:pos="4176"/>
                      <w:tab w:val="left" w:pos="4464"/>
                      <w:tab w:val="left" w:pos="8640"/>
                      <w:tab w:val="left" w:pos="10080"/>
                    </w:tabs>
                    <w:rPr>
                      <w:sz w:val="24"/>
                      <w:szCs w:val="24"/>
                    </w:rPr>
                  </w:pPr>
                </w:p>
                <w:p w:rsidR="00013CA4" w:rsidRPr="0036176F" w:rsidRDefault="00EC5A9D" w:rsidP="00EC5A9D">
                  <w:pPr>
                    <w:tabs>
                      <w:tab w:val="left" w:pos="-1530"/>
                      <w:tab w:val="left" w:pos="-450"/>
                      <w:tab w:val="left" w:pos="-180"/>
                      <w:tab w:val="left" w:pos="2160"/>
                      <w:tab w:val="left" w:pos="2448"/>
                      <w:tab w:val="left" w:pos="2736"/>
                      <w:tab w:val="left" w:pos="3024"/>
                      <w:tab w:val="left" w:pos="3312"/>
                      <w:tab w:val="left" w:pos="3600"/>
                      <w:tab w:val="left" w:pos="3888"/>
                      <w:tab w:val="left" w:pos="4176"/>
                      <w:tab w:val="left" w:pos="4464"/>
                      <w:tab w:val="left" w:pos="8640"/>
                      <w:tab w:val="left" w:pos="10080"/>
                    </w:tabs>
                    <w:rPr>
                      <w:sz w:val="24"/>
                      <w:szCs w:val="24"/>
                    </w:rPr>
                  </w:pPr>
                  <w:r w:rsidRPr="00EC5A9D">
                    <w:rPr>
                      <w:sz w:val="24"/>
                      <w:szCs w:val="24"/>
                    </w:rPr>
                    <w:t>Present:  Supervisors Greg Cox, Chairman; Dianne Jacob, Vice Chairwoman; Dave Roberts;     Ron Roberts; also Thomas J. Pastuszka, Clerk.</w:t>
                  </w: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C9664D"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8459"/>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183485" w:rsidRDefault="00183485">
                                <w:pPr>
                                  <w:cnfStyle w:val="100000000000" w:firstRow="1" w:lastRow="0" w:firstColumn="0" w:lastColumn="0" w:oddVBand="0" w:evenVBand="0" w:oddHBand="0" w:evenHBand="0" w:firstRowFirstColumn="0" w:firstRowLastColumn="0" w:lastRowFirstColumn="0" w:lastRowLastColumn="0"/>
                                  <w:rPr>
                                    <w:b w:val="0"/>
                                    <w:caps/>
                                    <w:sz w:val="24"/>
                                  </w:rPr>
                                </w:pPr>
                                <w:r w:rsidRPr="00183485">
                                  <w:rPr>
                                    <w:b w:val="0"/>
                                    <w:caps/>
                                    <w:sz w:val="24"/>
                                  </w:rPr>
                                  <w:t>MEMORANDUM OF AGREEMENT BETWEEN THE COUNTY OF SAN DIEGO AND THE COUNTY OF SAN DIEGO, SUPERIOR COURT REGARDING USE OF VIDEO TELECONFERENCING FOR CRIMINAL PROCEEDINGS AND IN-JAIL COURTROOMS</w:t>
                                </w:r>
                              </w:p>
                              <w:p w:rsidR="006959A6" w:rsidRPr="00183485" w:rsidRDefault="006959A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183485" w:rsidRDefault="00183485">
                                <w:pPr>
                                  <w:cnfStyle w:val="100000000000" w:firstRow="1" w:lastRow="0" w:firstColumn="0" w:lastColumn="0" w:oddVBand="0" w:evenVBand="0" w:oddHBand="0" w:evenHBand="0" w:firstRowFirstColumn="0" w:firstRowLastColumn="0" w:lastRowFirstColumn="0" w:lastRowLastColumn="0"/>
                                  <w:rPr>
                                    <w:b w:val="0"/>
                                    <w:caps/>
                                    <w:sz w:val="24"/>
                                  </w:rPr>
                                </w:pPr>
                                <w:r w:rsidRPr="00183485">
                                  <w:rPr>
                                    <w:b w:val="0"/>
                                    <w:caps/>
                                    <w:sz w:val="24"/>
                                  </w:rPr>
                                  <w:t>AMENDMENTS TO THE COMPENSATION ORDINANCE AND THE ADMINISTRATIVE CODE RELATING TO TENTATIVE AGREEMENTS FOR THE SAN DIEGO COUNTY DEPUTY DISTRICT ATTORNEYS ASSOCIATION; THE ASSOCIATION OF SAN DIEGO COUNTY EMPLOYEES; THE SAN DIEGO DEPUTY COUNTY COUNSELS ASSOCIATION; AND THE DISTRICT ATTORNEY INVESTIGATORS ASSOCIATION</w:t>
                                </w:r>
                              </w:p>
                              <w:p w:rsidR="004C1565" w:rsidRDefault="00183485">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[funding source(s):</w:t>
                                </w:r>
                                <w:r w:rsidRPr="00183485">
                                  <w:rPr>
                                    <w:b w:val="0"/>
                                    <w:sz w:val="24"/>
                                  </w:rPr>
                                  <w:t xml:space="preserve"> COMBINATION OF GENERAL PURPOSE REVENUES, AVAILABLE GENERAL FUND FUND BALANCE, AND VARIOUS PROGRAM REVENUES]</w:t>
                                </w:r>
                              </w:p>
                              <w:p w:rsidR="006959A6" w:rsidRPr="00183485" w:rsidRDefault="006959A6">
                                <w:pPr>
                                  <w:cnfStyle w:val="100000000000" w:firstRow="1" w:lastRow="0" w:firstColumn="0" w:lastColumn="0" w:oddVBand="0" w:evenVBand="0" w:oddHBand="0" w:evenHBand="0" w:firstRowFirstColumn="0" w:firstRowLastColumn="0" w:lastRowFirstColumn="0" w:lastRowLastColumn="0"/>
                                </w:pPr>
                              </w:p>
                            </w:tc>
                          </w:sdtContent>
                        </w:sdt>
                      </w:tr>
                      <w:tr w:rsidR="00017C62"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Pr>
                          <w:p w:rsidR="00017C62" w:rsidRPr="000F073D" w:rsidRDefault="00017C62" w:rsidP="00784CB0">
                            <w:pPr>
                              <w:pStyle w:val="ListParagraph"/>
                              <w:numPr>
                                <w:ilvl w:val="0"/>
                                <w:numId w:val="15"/>
                              </w:numPr>
                              <w:jc w:val="left"/>
                              <w:rPr>
                                <w:b w:val="0"/>
                                <w:sz w:val="24"/>
                                <w:szCs w:val="24"/>
                              </w:rPr>
                            </w:pPr>
                          </w:p>
                        </w:tc>
                        <w:tc>
                          <w:tcPr>
                            <w:tcW w:w="8800" w:type="dxa"/>
                          </w:tcPr>
                          <w:p w:rsidR="00017C62" w:rsidRPr="00017C62" w:rsidRDefault="00017C62">
                            <w:pPr>
                              <w:cnfStyle w:val="100000000000" w:firstRow="1" w:lastRow="0" w:firstColumn="0" w:lastColumn="0" w:oddVBand="0" w:evenVBand="0" w:oddHBand="0" w:evenHBand="0" w:firstRowFirstColumn="0" w:firstRowLastColumn="0" w:lastRowFirstColumn="0" w:lastRowLastColumn="0"/>
                              <w:rPr>
                                <w:b w:val="0"/>
                                <w:caps/>
                                <w:sz w:val="24"/>
                              </w:rPr>
                            </w:pPr>
                            <w:r w:rsidRPr="00017C62">
                              <w:rPr>
                                <w:b w:val="0"/>
                                <w:caps/>
                                <w:sz w:val="24"/>
                              </w:rPr>
                              <w:t>PUBLIC COMMUNICATION</w:t>
                            </w:r>
                          </w:p>
                        </w:tc>
                      </w:tr>
                    </w:tbl>
                    <w:p w:rsidR="00CD28EC" w:rsidRDefault="00C9664D" w:rsidP="00CD28EC">
                      <w:pPr>
                        <w:jc w:val="left"/>
                        <w:rPr>
                          <w:sz w:val="24"/>
                          <w:szCs w:val="24"/>
                        </w:rPr>
                      </w:pPr>
                    </w:p>
                  </w:sdtContent>
                </w:sdt>
              </w:sdtContent>
            </w:sdt>
            <w:p w:rsidR="006959A6" w:rsidRDefault="0018348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183485" w:rsidTr="00E71A74">
                <w:tc>
                  <w:tcPr>
                    <w:tcW w:w="1188" w:type="dxa"/>
                  </w:tcPr>
                  <w:p w:rsidR="006959A6" w:rsidRPr="00183485" w:rsidRDefault="00183485">
                    <w:r w:rsidRPr="00183485">
                      <w:rPr>
                        <w:b/>
                        <w:caps/>
                        <w:color w:val="000000"/>
                        <w:sz w:val="24"/>
                      </w:rPr>
                      <w:lastRenderedPageBreak/>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183485" w:rsidTr="008E2B48">
                          <w:trPr>
                            <w:trHeight w:val="627"/>
                          </w:trPr>
                          <w:tc>
                            <w:tcPr>
                              <w:tcW w:w="1422" w:type="dxa"/>
                            </w:tcPr>
                            <w:p w:rsidR="00694F02" w:rsidRPr="00183485" w:rsidRDefault="00C9664D"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183485">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183485" w:rsidRDefault="00183485">
                                  <w:pPr>
                                    <w:rPr>
                                      <w:b/>
                                      <w:caps/>
                                      <w:sz w:val="24"/>
                                    </w:rPr>
                                  </w:pPr>
                                  <w:r w:rsidRPr="00183485">
                                    <w:rPr>
                                      <w:b/>
                                      <w:caps/>
                                      <w:sz w:val="24"/>
                                    </w:rPr>
                                    <w:t>MEMORANDUM OF AGREEMENT BETWEEN THE COUNTY OF SAN DIEGO AND THE COUNTY OF SAN DIEGO, SUPERIOR COURT REGARDING USE OF VIDEO TELECONFERENCING FOR CRIMINAL PROCEEDINGS AND IN-JAIL COURTROOMS (DISTRICTS: ALL)</w:t>
                                  </w:r>
                                </w:p>
                                <w:p w:rsidR="006959A6" w:rsidRPr="00183485" w:rsidRDefault="00C9664D"/>
                              </w:sdtContent>
                            </w:sdt>
                          </w:tc>
                        </w:tr>
                        <w:tr w:rsidR="005A0AAD" w:rsidRPr="00183485" w:rsidTr="00DE4558">
                          <w:trPr>
                            <w:trHeight w:val="627"/>
                          </w:trPr>
                          <w:tc>
                            <w:tcPr>
                              <w:tcW w:w="8231" w:type="dxa"/>
                              <w:gridSpan w:val="2"/>
                            </w:tcPr>
                            <w:p w:rsidR="005A0AAD" w:rsidRPr="00183485" w:rsidRDefault="00C9664D"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183485">
                                    <w:rPr>
                                      <w:b/>
                                      <w:color w:val="auto"/>
                                    </w:rPr>
                                    <w:t>OVERVIEW:</w:t>
                                  </w:r>
                                </w:sdtContent>
                              </w:sdt>
                            </w:p>
                            <w:sdt>
                              <w:sdtPr>
                                <w:alias w:val="BODY_OVERVIEW_TEXT"/>
                                <w:tag w:val="BODY_OVERVIEW_TEXT"/>
                                <w:id w:val="-1595086020"/>
                                <w:lock w:val="sdtLocked"/>
                              </w:sdtPr>
                              <w:sdtEndPr/>
                              <w:sdtContent>
                                <w:p w:rsidR="00A2063E" w:rsidRPr="00183485" w:rsidRDefault="00183485" w:rsidP="00B95A23">
                                  <w:pPr>
                                    <w:pStyle w:val="BLTemplate"/>
                                  </w:pPr>
                                  <w:r w:rsidRPr="00183485">
                                    <w:t>Inmates at County jails are regularly transported to the San Diego Central Jail (SDCJ) for various court proceedings, including arraignment, status hearings, pretrial conferences and other hearings. Once downtown, the Sheriff moves the inmates between the jail and the courthouse via an above ground bridge. The State Administrative Office of the Courts (AOC) is preparing to construct a new courthouse and to subsequently demolish the old courthouse. The new courthouse included a tunnel from the SDCJ to the new courthouse which the Sheriff would have used to transport inmates to and from the SDCJ and courthouse. The AOC, for budget reasons, has eliminated the tunnel from its project. As a result, the Sheriff will have to transport inmates approximately one block via shuttle to and from the SDCJ and new courthouse. This will be costly to the County, may create public safety issues and will add to traffic congestion around the new courthouse.</w:t>
                                  </w:r>
                                </w:p>
                                <w:p w:rsidR="00A2063E" w:rsidRPr="00183485" w:rsidRDefault="00C9664D" w:rsidP="00B95A23">
                                  <w:pPr>
                                    <w:pStyle w:val="BLTemplate"/>
                                  </w:pPr>
                                </w:p>
                                <w:p w:rsidR="00A2063E" w:rsidRPr="00183485" w:rsidRDefault="00183485" w:rsidP="00B95A23">
                                  <w:pPr>
                                    <w:pStyle w:val="BLTemplate"/>
                                  </w:pPr>
                                  <w:r w:rsidRPr="00183485">
                                    <w:t>In response to this problem, the County and the County of San Diego, Superior Court (Superior Court) entered into negotiations to develop ways to reduce the number of inmates that the Sheriff would need to move between the jail and courthouse, and in some instances, between outlying correctional facilities and the SDCJ. As a result of those negotiations, your Board is being asked to authorize the Chief Administrative Officer to enter into a memorandum of agreement with the Superior Court which would authorize the use, where legal and appropriate, of video teleconferencing for criminal proceedings, and would authorize the construction of up to two in-jail courtrooms at the SDCJ and one in-jail courtroom at the San Diego County Women’s Detention Facility.</w:t>
                                  </w:r>
                                </w:p>
                              </w:sdtContent>
                            </w:sdt>
                            <w:p w:rsidR="005A0AAD" w:rsidRPr="00183485" w:rsidRDefault="005A0AAD" w:rsidP="00C26139">
                              <w:pPr>
                                <w:pStyle w:val="COBCAPSBOLD"/>
                                <w:jc w:val="left"/>
                                <w:rPr>
                                  <w:b w:val="0"/>
                                  <w:caps w:val="0"/>
                                  <w:sz w:val="24"/>
                                  <w:szCs w:val="20"/>
                                </w:rPr>
                              </w:pPr>
                            </w:p>
                          </w:tc>
                        </w:tr>
                        <w:tr w:rsidR="005A0AAD" w:rsidRPr="00183485" w:rsidTr="0085075C">
                          <w:trPr>
                            <w:trHeight w:val="627"/>
                          </w:trPr>
                          <w:tc>
                            <w:tcPr>
                              <w:tcW w:w="8231" w:type="dxa"/>
                              <w:gridSpan w:val="2"/>
                            </w:tcPr>
                            <w:p w:rsidR="005A0AAD" w:rsidRPr="00183485" w:rsidRDefault="00C9664D"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183485">
                                    <w:rPr>
                                      <w:b/>
                                      <w:color w:val="auto"/>
                                    </w:rPr>
                                    <w:t>Fiscal impact:</w:t>
                                  </w:r>
                                </w:sdtContent>
                              </w:sdt>
                            </w:p>
                            <w:sdt>
                              <w:sdtPr>
                                <w:alias w:val="BODY_FISCAL_IMPACT_TEXT"/>
                                <w:tag w:val="BODY_FISCAL_IMPACT_TEXT"/>
                                <w:id w:val="1080942343"/>
                                <w:lock w:val="sdtLocked"/>
                              </w:sdtPr>
                              <w:sdtEndPr/>
                              <w:sdtContent>
                                <w:p w:rsidR="00A2063E" w:rsidRPr="00183485" w:rsidRDefault="00183485" w:rsidP="00B95A23">
                                  <w:pPr>
                                    <w:pStyle w:val="BLTemplate"/>
                                  </w:pPr>
                                  <w:r w:rsidRPr="00183485">
                                    <w:t>There will be no immediate fiscal impact from the memorandum of agreement. Staff will determine the appropriate time to begin construction of the in-jail courtrooms and video teleconferencing systems, and as needed, will return to your Board for authority to contract and for appropriations.</w:t>
                                  </w:r>
                                </w:p>
                              </w:sdtContent>
                            </w:sdt>
                            <w:p w:rsidR="005A0AAD" w:rsidRPr="00183485" w:rsidRDefault="005A0AAD" w:rsidP="00C26139">
                              <w:pPr>
                                <w:pStyle w:val="COBCAPSBOLD"/>
                                <w:jc w:val="left"/>
                                <w:rPr>
                                  <w:b w:val="0"/>
                                  <w:caps w:val="0"/>
                                  <w:sz w:val="24"/>
                                  <w:szCs w:val="20"/>
                                </w:rPr>
                              </w:pPr>
                            </w:p>
                          </w:tc>
                        </w:tr>
                        <w:tr w:rsidR="005A0AAD" w:rsidRPr="00183485" w:rsidTr="00B175CC">
                          <w:trPr>
                            <w:trHeight w:val="627"/>
                          </w:trPr>
                          <w:tc>
                            <w:tcPr>
                              <w:tcW w:w="8231" w:type="dxa"/>
                              <w:gridSpan w:val="2"/>
                            </w:tcPr>
                            <w:p w:rsidR="005A0AAD" w:rsidRPr="00183485" w:rsidRDefault="00C9664D"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183485">
                                    <w:rPr>
                                      <w:b/>
                                      <w:color w:val="auto"/>
                                    </w:rPr>
                                    <w:t>Business impact statement:</w:t>
                                  </w:r>
                                </w:sdtContent>
                              </w:sdt>
                            </w:p>
                            <w:sdt>
                              <w:sdtPr>
                                <w:alias w:val="BODY_BUSINESS_IMPACT_TEXT"/>
                                <w:tag w:val="BODY_BUSINESS_IMPACT_TEXT"/>
                                <w:id w:val="1644611478"/>
                                <w:lock w:val="sdtLocked"/>
                              </w:sdtPr>
                              <w:sdtEndPr/>
                              <w:sdtContent>
                                <w:p w:rsidR="00A2063E" w:rsidRPr="00183485" w:rsidRDefault="00183485" w:rsidP="00B95A23">
                                  <w:pPr>
                                    <w:pStyle w:val="BLTemplate"/>
                                  </w:pPr>
                                  <w:r w:rsidRPr="00183485">
                                    <w:t>N/A</w:t>
                                  </w:r>
                                </w:p>
                              </w:sdtContent>
                            </w:sdt>
                            <w:p w:rsidR="005A0AAD" w:rsidRPr="00183485" w:rsidRDefault="005A0AAD" w:rsidP="00C26139">
                              <w:pPr>
                                <w:pStyle w:val="COBCAPSBOLD"/>
                                <w:jc w:val="left"/>
                                <w:rPr>
                                  <w:b w:val="0"/>
                                  <w:caps w:val="0"/>
                                  <w:sz w:val="24"/>
                                  <w:szCs w:val="20"/>
                                </w:rPr>
                              </w:pPr>
                            </w:p>
                          </w:tc>
                        </w:tr>
                        <w:tr w:rsidR="005A0AAD" w:rsidRPr="00183485"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0"/>
                                </w:rPr>
                              </w:sdtEndPr>
                              <w:sdtContent>
                                <w:p w:rsidR="005A0AAD" w:rsidRPr="00183485" w:rsidRDefault="00C9664D"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183485">
                                        <w:rPr>
                                          <w:b/>
                                          <w:color w:val="auto"/>
                                        </w:rPr>
                                        <w:t>recommendation:</w:t>
                                      </w:r>
                                    </w:sdtContent>
                                  </w:sdt>
                                </w:p>
                                <w:sdt>
                                  <w:sdtPr>
                                    <w:rPr>
                                      <w:szCs w:val="20"/>
                                    </w:rPr>
                                    <w:alias w:val="BODY_RECOMMENDATION_TEXT"/>
                                    <w:tag w:val="BODY_RECOMMENDATION_TEXT"/>
                                    <w:id w:val="-569191327"/>
                                    <w:lock w:val="sdtLocked"/>
                                  </w:sdtPr>
                                  <w:sdtEndPr/>
                                  <w:sdtContent>
                                    <w:p w:rsidR="00A2063E" w:rsidRPr="00183485" w:rsidRDefault="00183485" w:rsidP="00B95A23">
                                      <w:pPr>
                                        <w:pStyle w:val="BLTemplate"/>
                                      </w:pPr>
                                      <w:r w:rsidRPr="00183485">
                                        <w:rPr>
                                          <w:b/>
                                          <w:bCs/>
                                        </w:rPr>
                                        <w:t>CHIEF ADMINISTRATIVE OFFICER</w:t>
                                      </w:r>
                                    </w:p>
                                    <w:sdt>
                                      <w:sdtPr>
                                        <w:rPr>
                                          <w:szCs w:val="20"/>
                                        </w:rPr>
                                        <w:alias w:val="TEXT_RECOMMENDATIONS"/>
                                        <w:tag w:val="TEXT_RECOMMENDATIONS"/>
                                        <w:id w:val="11776336"/>
                                      </w:sdtPr>
                                      <w:sdtEndPr/>
                                      <w:sdtContent>
                                        <w:p w:rsidR="00017C62" w:rsidRDefault="00183485" w:rsidP="00183485">
                                          <w:pPr>
                                            <w:pStyle w:val="BLTemplate"/>
                                          </w:pPr>
                                          <w:r w:rsidRPr="00183485">
                                            <w:t>Authorize the Chief Administrative Officer to execute a memorandum of agreement between the County of San Diego and the County of San Diego, Superior Court for the use of teleconferencing for certain proceedings and for construction of courtrooms in County jails. Further authorize the Chief Administrative Officer, in consultation with the Sheriff, to amend the memorandum of agreement to expand the use of video teleconferencing and in-jail courtrooms, where it would not materially increase liability to the County.</w:t>
                                          </w:r>
                                        </w:p>
                                        <w:p w:rsidR="00017C62" w:rsidRDefault="00017C62" w:rsidP="00183485">
                                          <w:pPr>
                                            <w:pStyle w:val="BLTemplate"/>
                                          </w:pPr>
                                        </w:p>
                                        <w:p w:rsidR="00017C62" w:rsidRDefault="00017C62" w:rsidP="00183485">
                                          <w:pPr>
                                            <w:pStyle w:val="BLTemplate"/>
                                            <w:rPr>
                                              <w:b/>
                                            </w:rPr>
                                          </w:pPr>
                                          <w:r>
                                            <w:rPr>
                                              <w:b/>
                                            </w:rPr>
                                            <w:lastRenderedPageBreak/>
                                            <w:t>ACTION:</w:t>
                                          </w:r>
                                        </w:p>
                                        <w:p w:rsidR="00017C62" w:rsidRDefault="00017C62" w:rsidP="00017C62">
                                          <w:pPr>
                                            <w:pStyle w:val="HangingIndent"/>
                                            <w:keepNext/>
                                            <w:tabs>
                                              <w:tab w:val="clear" w:pos="5760"/>
                                              <w:tab w:val="clear" w:pos="6480"/>
                                              <w:tab w:val="clear" w:pos="7200"/>
                                              <w:tab w:val="clear" w:pos="7920"/>
                                              <w:tab w:val="clear" w:pos="8640"/>
                                            </w:tabs>
                                            <w:spacing w:after="240"/>
                                            <w:ind w:left="0" w:right="-18" w:firstLine="0"/>
                                          </w:pPr>
                                          <w:r>
                                            <w:t>ON MOTION of Supervisor R. Roberts, seconded by Supervisor D. Roberts, the Board took action as recommended.</w:t>
                                          </w:r>
                                        </w:p>
                                        <w:p w:rsidR="00017C62" w:rsidRDefault="00017C62" w:rsidP="00017C62">
                                          <w:pPr>
                                            <w:pStyle w:val="HangingIndent"/>
                                          </w:pPr>
                                          <w:r>
                                            <w:t>AYES:  Cox, Jacob, D. Roberts, R. Roberts, Horn</w:t>
                                          </w:r>
                                        </w:p>
                                        <w:p w:rsidR="005A0AAD" w:rsidRPr="00183485" w:rsidRDefault="00C9664D" w:rsidP="00017C62">
                                          <w:pPr>
                                            <w:pStyle w:val="HangingIndent"/>
                                          </w:pPr>
                                        </w:p>
                                      </w:sdtContent>
                                    </w:sdt>
                                  </w:sdtContent>
                                </w:sdt>
                              </w:sdtContent>
                            </w:sdt>
                          </w:tc>
                        </w:tr>
                      </w:tbl>
                      <w:p w:rsidR="004A3FA9" w:rsidRPr="00183485" w:rsidRDefault="00C9664D" w:rsidP="00EE5FEE">
                        <w:pPr>
                          <w:pStyle w:val="NoSpacing"/>
                          <w:jc w:val="left"/>
                          <w:rPr>
                            <w:b/>
                            <w:caps w:val="0"/>
                          </w:rPr>
                        </w:pPr>
                      </w:p>
                    </w:sdtContent>
                  </w:sdt>
                </w:tc>
              </w:tr>
              <w:tr w:rsidR="00694F02" w:rsidRPr="00183485" w:rsidTr="00E71A74">
                <w:tc>
                  <w:tcPr>
                    <w:tcW w:w="1188" w:type="dxa"/>
                  </w:tcPr>
                  <w:p w:rsidR="006959A6" w:rsidRPr="00183485" w:rsidRDefault="00183485">
                    <w:r w:rsidRPr="00183485">
                      <w:rPr>
                        <w:b/>
                        <w:caps/>
                        <w:color w:val="000000"/>
                        <w:sz w:val="24"/>
                      </w:rPr>
                      <w:lastRenderedPageBreak/>
                      <w:t>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183485" w:rsidTr="008E2B48">
                      <w:trPr>
                        <w:trHeight w:val="627"/>
                      </w:trPr>
                      <w:tc>
                        <w:tcPr>
                          <w:tcW w:w="1422" w:type="dxa"/>
                        </w:tcPr>
                        <w:p w:rsidR="00694F02" w:rsidRPr="00183485" w:rsidRDefault="00C9664D" w:rsidP="00800BC1">
                          <w:pPr>
                            <w:pStyle w:val="NoSpacing"/>
                            <w:jc w:val="left"/>
                            <w:rPr>
                              <w:rStyle w:val="COBCAPSBOLDChar"/>
                            </w:rPr>
                          </w:pPr>
                          <w:sdt>
                            <w:sdtPr>
                              <w:rPr>
                                <w:rStyle w:val="COBCAPSBOLDChar"/>
                              </w:rPr>
                              <w:alias w:val="DTLS_SUBJECT_HD"/>
                              <w:tag w:val="DTLS_SUBJECT_HD"/>
                              <w:id w:val="1486047231"/>
                              <w:lock w:val="contentLocked"/>
                            </w:sdtPr>
                            <w:sdtEndPr>
                              <w:rPr>
                                <w:rStyle w:val="DefaultParagraphFont"/>
                                <w:b w:val="0"/>
                                <w:caps/>
                              </w:rPr>
                            </w:sdtEndPr>
                            <w:sdtContent>
                              <w:r w:rsidR="00694F02" w:rsidRPr="00183485">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183485" w:rsidRDefault="00183485">
                              <w:pPr>
                                <w:rPr>
                                  <w:b/>
                                  <w:caps/>
                                  <w:color w:val="000000"/>
                                  <w:sz w:val="24"/>
                                </w:rPr>
                              </w:pPr>
                              <w:r w:rsidRPr="00183485">
                                <w:rPr>
                                  <w:b/>
                                  <w:caps/>
                                  <w:color w:val="000000"/>
                                  <w:sz w:val="24"/>
                                </w:rPr>
                                <w:t>AMENDMENTS TO THE COMPENSATION ORDINANCE AND THE ADMINISTRATIVE CODE RELATING TO  TENTATIVE AGREEMENTS FOR THE SAN DIEGO COUNTY DEPUTY DISTRICT ATTORNEYS ASSOCIATION; THE ASSOCIATION OF SAN DIEGO COUNTY EMPLOYEES; THE SAN DIEGO DEPUTY COUNTY COUNSELS ASSOCIATION; AND THE DISTRICT ATTORNEY INVESTIGATORS ASSOCIATION  (DISTRICTS: ALL)</w:t>
                              </w:r>
                            </w:p>
                            <w:p w:rsidR="006959A6" w:rsidRPr="00183485" w:rsidRDefault="00C9664D"/>
                          </w:sdtContent>
                        </w:sdt>
                      </w:tc>
                    </w:tr>
                    <w:tr w:rsidR="005A0AAD" w:rsidRPr="00183485" w:rsidTr="00DE4558">
                      <w:trPr>
                        <w:trHeight w:val="627"/>
                      </w:trPr>
                      <w:tc>
                        <w:tcPr>
                          <w:tcW w:w="8231" w:type="dxa"/>
                          <w:gridSpan w:val="2"/>
                        </w:tcPr>
                        <w:p w:rsidR="005A0AAD" w:rsidRPr="00183485" w:rsidRDefault="00C9664D" w:rsidP="005A0AAD">
                          <w:pPr>
                            <w:pStyle w:val="NoSpacing"/>
                            <w:jc w:val="left"/>
                          </w:pPr>
                          <w:sdt>
                            <w:sdtPr>
                              <w:rPr>
                                <w:rStyle w:val="COBCAPSBOLDChar"/>
                              </w:rPr>
                              <w:alias w:val="BODY_OVERVIEW_HEADER"/>
                              <w:tag w:val="BODY_OVERVIEW_HEADER"/>
                              <w:id w:val="1262410718"/>
                              <w:lock w:val="contentLocked"/>
                            </w:sdtPr>
                            <w:sdtEndPr>
                              <w:rPr>
                                <w:rStyle w:val="DefaultParagraphFont"/>
                                <w:b w:val="0"/>
                                <w:caps/>
                              </w:rPr>
                            </w:sdtEndPr>
                            <w:sdtContent>
                              <w:r w:rsidR="005A0AAD" w:rsidRPr="00183485">
                                <w:rPr>
                                  <w:b/>
                                  <w:color w:val="auto"/>
                                </w:rPr>
                                <w:t>OVERVIEW:</w:t>
                              </w:r>
                            </w:sdtContent>
                          </w:sdt>
                        </w:p>
                        <w:sdt>
                          <w:sdtPr>
                            <w:alias w:val="BODY_OVERVIEW_TEXT_3"/>
                            <w:tag w:val="BODY_OVERVIEW_TEXT_3"/>
                            <w:id w:val="-1595086017"/>
                            <w:lock w:val="sdtLocked"/>
                          </w:sdtPr>
                          <w:sdtEndPr/>
                          <w:sdtContent>
                            <w:sdt>
                              <w:sdtPr>
                                <w:rPr>
                                  <w:szCs w:val="20"/>
                                </w:rPr>
                                <w:alias w:val="OVERVIEW"/>
                                <w:tag w:val="OVERVIEW"/>
                                <w:id w:val="153355219"/>
                              </w:sdtPr>
                              <w:sdtEndPr>
                                <w:rPr>
                                  <w:b/>
                                  <w:bCs/>
                                </w:rPr>
                              </w:sdtEndPr>
                              <w:sdtContent>
                                <w:p w:rsidR="007B7B1D" w:rsidRPr="00183485" w:rsidRDefault="00183485" w:rsidP="007B7B1D">
                                  <w:pPr>
                                    <w:pStyle w:val="BLTemplate"/>
                                  </w:pPr>
                                  <w:r w:rsidRPr="00183485">
                                    <w:t>These recommendations present amendments to the Compensation Ordinance  for the first reading of negotiated provisions for  successor Memoranda of Agreements (MOAs) between the County of San Diego and the San Diego County Deputy District Attorneys Association (DDAA),  the Association of San Diego County Employees (ASDCE), the San Diego Deputy County Counsels Association (SDDCCA), and  the District Attorney Investigators Association (DAIA). These successor agreements will replace existing agreements that are due to expire on June 27, 2013.</w:t>
                                  </w:r>
                                  <w:r w:rsidRPr="00183485" w:rsidDel="00721CA8">
                                    <w:t xml:space="preserve"> </w:t>
                                  </w:r>
                                </w:p>
                                <w:p w:rsidR="007B7B1D" w:rsidRPr="00183485" w:rsidRDefault="00C9664D" w:rsidP="007B7B1D">
                                  <w:pPr>
                                    <w:pStyle w:val="BLTemplate"/>
                                  </w:pPr>
                                </w:p>
                                <w:p w:rsidR="007B7B1D" w:rsidRDefault="00183485" w:rsidP="007B7B1D">
                                  <w:pPr>
                                    <w:pStyle w:val="BLTemplate"/>
                                  </w:pPr>
                                  <w:r w:rsidRPr="00183485">
                                    <w:t>A summary of the proposed Compensation Ordinance amendments is as follows:</w:t>
                                  </w:r>
                                </w:p>
                                <w:p w:rsidR="008C5395" w:rsidRPr="008C5395" w:rsidRDefault="008C5395" w:rsidP="007B7B1D">
                                  <w:pPr>
                                    <w:pStyle w:val="BLTemplate"/>
                                    <w:rPr>
                                      <w:sz w:val="12"/>
                                      <w:szCs w:val="12"/>
                                    </w:rPr>
                                  </w:pPr>
                                </w:p>
                                <w:p w:rsidR="007B7B1D" w:rsidRPr="00183485" w:rsidRDefault="00183485" w:rsidP="008C5395">
                                  <w:pPr>
                                    <w:pStyle w:val="BLTemplate"/>
                                    <w:numPr>
                                      <w:ilvl w:val="0"/>
                                      <w:numId w:val="17"/>
                                    </w:numPr>
                                    <w:spacing w:after="120"/>
                                    <w:rPr>
                                      <w:rFonts w:eastAsia="Calibri"/>
                                    </w:rPr>
                                  </w:pPr>
                                  <w:r w:rsidRPr="00183485">
                                    <w:rPr>
                                      <w:rFonts w:eastAsia="Calibri"/>
                                    </w:rPr>
                                    <w:t xml:space="preserve">Reduces the County’s portion of employees’ paid retirement offset </w:t>
                                  </w:r>
                                  <w:r w:rsidRPr="00183485">
                                    <w:rPr>
                                      <w:rFonts w:eastAsia="Calibri"/>
                                      <w:i/>
                                    </w:rPr>
                                    <w:t>(eliminates the County’s portion entirely for the DAIA)</w:t>
                                  </w:r>
                                  <w:r w:rsidRPr="00183485">
                                    <w:rPr>
                                      <w:rFonts w:eastAsia="Calibri"/>
                                    </w:rPr>
                                    <w:t xml:space="preserve"> and increases salary to mitigate the effect of the offset reductions by labor group beginning December 27, 2013;</w:t>
                                  </w:r>
                                </w:p>
                                <w:p w:rsidR="007B7B1D" w:rsidRPr="00183485" w:rsidRDefault="00183485" w:rsidP="00553689">
                                  <w:pPr>
                                    <w:pStyle w:val="BLTemplate"/>
                                    <w:numPr>
                                      <w:ilvl w:val="0"/>
                                      <w:numId w:val="17"/>
                                    </w:numPr>
                                    <w:spacing w:after="120"/>
                                    <w:rPr>
                                      <w:rFonts w:eastAsia="Calibri"/>
                                    </w:rPr>
                                  </w:pPr>
                                  <w:r w:rsidRPr="00183485">
                                    <w:rPr>
                                      <w:rFonts w:eastAsia="Calibri"/>
                                    </w:rPr>
                                    <w:t>Eliminates the annual payment for employees who have attained 30 years of retirement service credit for ASDCE, DDAA, SDDCCA, and DAIA;</w:t>
                                  </w:r>
                                </w:p>
                                <w:p w:rsidR="007B7B1D" w:rsidRPr="00183485" w:rsidRDefault="00183485" w:rsidP="00553689">
                                  <w:pPr>
                                    <w:pStyle w:val="BLTemplate"/>
                                    <w:numPr>
                                      <w:ilvl w:val="0"/>
                                      <w:numId w:val="17"/>
                                    </w:numPr>
                                    <w:spacing w:after="120"/>
                                    <w:rPr>
                                      <w:rFonts w:eastAsia="Calibri"/>
                                    </w:rPr>
                                  </w:pPr>
                                  <w:r w:rsidRPr="00183485">
                                    <w:rPr>
                                      <w:rFonts w:eastAsia="Calibri"/>
                                    </w:rPr>
                                    <w:t xml:space="preserve">Increases salary to address inequities within classifications performing similar duties (includes DAIA, DDAA and  SDDCCA); </w:t>
                                  </w:r>
                                </w:p>
                                <w:p w:rsidR="007B7B1D" w:rsidRPr="00183485" w:rsidRDefault="00183485" w:rsidP="00553689">
                                  <w:pPr>
                                    <w:pStyle w:val="BLTemplate"/>
                                    <w:numPr>
                                      <w:ilvl w:val="0"/>
                                      <w:numId w:val="17"/>
                                    </w:numPr>
                                    <w:spacing w:after="120"/>
                                    <w:rPr>
                                      <w:rFonts w:eastAsia="Calibri"/>
                                    </w:rPr>
                                  </w:pPr>
                                  <w:r w:rsidRPr="00183485">
                                    <w:rPr>
                                      <w:rFonts w:eastAsia="Calibri"/>
                                    </w:rPr>
                                    <w:t>Provides two one-time monetary payments equivalent to 2% of base pay in July 2013 and July 2014 (excluding DAIA);</w:t>
                                  </w:r>
                                </w:p>
                                <w:p w:rsidR="007B7B1D" w:rsidRPr="00183485" w:rsidRDefault="00183485" w:rsidP="00553689">
                                  <w:pPr>
                                    <w:pStyle w:val="BLTemplate"/>
                                    <w:numPr>
                                      <w:ilvl w:val="0"/>
                                      <w:numId w:val="17"/>
                                    </w:numPr>
                                    <w:spacing w:after="120"/>
                                    <w:rPr>
                                      <w:rFonts w:eastAsia="Calibri"/>
                                    </w:rPr>
                                  </w:pPr>
                                  <w:r w:rsidRPr="00183485">
                                    <w:rPr>
                                      <w:rFonts w:eastAsia="Calibri"/>
                                    </w:rPr>
                                    <w:t xml:space="preserve">Provides a one-time monetary payment of $250 in July 2013 for ASDCE; </w:t>
                                  </w:r>
                                </w:p>
                                <w:p w:rsidR="007B7B1D" w:rsidRPr="00183485" w:rsidRDefault="00183485" w:rsidP="00553689">
                                  <w:pPr>
                                    <w:pStyle w:val="BLTemplate"/>
                                    <w:numPr>
                                      <w:ilvl w:val="0"/>
                                      <w:numId w:val="17"/>
                                    </w:numPr>
                                    <w:spacing w:after="120"/>
                                    <w:rPr>
                                      <w:szCs w:val="20"/>
                                    </w:rPr>
                                  </w:pPr>
                                  <w:r w:rsidRPr="00183485">
                                    <w:rPr>
                                      <w:rFonts w:eastAsia="Calibri"/>
                                    </w:rPr>
                                    <w:t>Increases eligible employees’ flex credits in January 2014 and January 2015</w:t>
                                  </w:r>
                                  <w:r w:rsidRPr="00183485">
                                    <w:t xml:space="preserve"> for ASDCE, DAIA, DDAA, and SDDCCA</w:t>
                                  </w:r>
                                  <w:r w:rsidRPr="00183485">
                                    <w:rPr>
                                      <w:rFonts w:eastAsia="Calibri"/>
                                    </w:rPr>
                                    <w:t>;</w:t>
                                  </w:r>
                                </w:p>
                                <w:p w:rsidR="007B7B1D" w:rsidRPr="00183485" w:rsidRDefault="00183485" w:rsidP="00553689">
                                  <w:pPr>
                                    <w:pStyle w:val="BLTemplate"/>
                                    <w:numPr>
                                      <w:ilvl w:val="0"/>
                                      <w:numId w:val="17"/>
                                    </w:numPr>
                                    <w:spacing w:after="120"/>
                                    <w:rPr>
                                      <w:szCs w:val="20"/>
                                    </w:rPr>
                                  </w:pPr>
                                  <w:r w:rsidRPr="00183485">
                                    <w:t>Updates language for critical standby for the DAIA to reflect current operating procedures;</w:t>
                                  </w:r>
                                </w:p>
                                <w:p w:rsidR="007B7B1D" w:rsidRPr="00553689" w:rsidRDefault="00183485" w:rsidP="00553689">
                                  <w:pPr>
                                    <w:pStyle w:val="BLTemplate"/>
                                    <w:numPr>
                                      <w:ilvl w:val="0"/>
                                      <w:numId w:val="17"/>
                                    </w:numPr>
                                    <w:spacing w:after="120"/>
                                    <w:rPr>
                                      <w:szCs w:val="20"/>
                                    </w:rPr>
                                  </w:pPr>
                                  <w:r w:rsidRPr="00183485">
                                    <w:t>Amends the Anti-Terrorist Campaign Leave provision to extend its expiration to June 2015 for ASDCE, DAIA, DDAA, and SDDCCA;</w:t>
                                  </w:r>
                                </w:p>
                                <w:p w:rsidR="00553689" w:rsidRPr="00183485" w:rsidRDefault="00553689" w:rsidP="00553689">
                                  <w:pPr>
                                    <w:pStyle w:val="BLTemplate"/>
                                    <w:spacing w:after="120"/>
                                    <w:ind w:left="720"/>
                                    <w:rPr>
                                      <w:szCs w:val="20"/>
                                    </w:rPr>
                                  </w:pPr>
                                </w:p>
                                <w:p w:rsidR="007B7B1D" w:rsidRPr="00183485" w:rsidRDefault="00183485" w:rsidP="00553689">
                                  <w:pPr>
                                    <w:pStyle w:val="BLTemplate"/>
                                    <w:numPr>
                                      <w:ilvl w:val="0"/>
                                      <w:numId w:val="17"/>
                                    </w:numPr>
                                    <w:spacing w:after="120"/>
                                    <w:rPr>
                                      <w:szCs w:val="20"/>
                                    </w:rPr>
                                  </w:pPr>
                                  <w:r w:rsidRPr="00183485">
                                    <w:lastRenderedPageBreak/>
                                    <w:t>Amends Administrative Leave by removing the 20-day investigative limit for ASDCE, DAIA, DDAA, and SDDCCA;</w:t>
                                  </w:r>
                                </w:p>
                                <w:p w:rsidR="007B7B1D" w:rsidRPr="00183485" w:rsidRDefault="00183485" w:rsidP="00553689">
                                  <w:pPr>
                                    <w:pStyle w:val="BLTemplate"/>
                                    <w:numPr>
                                      <w:ilvl w:val="0"/>
                                      <w:numId w:val="17"/>
                                    </w:numPr>
                                    <w:spacing w:after="120"/>
                                    <w:rPr>
                                      <w:szCs w:val="20"/>
                                    </w:rPr>
                                  </w:pPr>
                                  <w:r w:rsidRPr="00183485">
                                    <w:t>Amends step advancement from 26 weeks to 52 weeks at the first step for ASDCE, DAIA, and DDAA;</w:t>
                                  </w:r>
                                </w:p>
                                <w:p w:rsidR="007B7B1D" w:rsidRPr="00183485" w:rsidRDefault="00183485" w:rsidP="00553689">
                                  <w:pPr>
                                    <w:pStyle w:val="BLTemplate"/>
                                    <w:numPr>
                                      <w:ilvl w:val="0"/>
                                      <w:numId w:val="17"/>
                                    </w:numPr>
                                    <w:spacing w:after="120"/>
                                    <w:rPr>
                                      <w:szCs w:val="20"/>
                                    </w:rPr>
                                  </w:pPr>
                                  <w:r w:rsidRPr="00183485">
                                    <w:t xml:space="preserve">Establishes a 12-month probationary period for all step classes for ASDCE, DAIA, and DDAA; </w:t>
                                  </w:r>
                                </w:p>
                                <w:p w:rsidR="007B7B1D" w:rsidRPr="00183485" w:rsidRDefault="00183485" w:rsidP="00553689">
                                  <w:pPr>
                                    <w:pStyle w:val="BLTemplate"/>
                                    <w:numPr>
                                      <w:ilvl w:val="0"/>
                                      <w:numId w:val="17"/>
                                    </w:numPr>
                                    <w:spacing w:after="120"/>
                                  </w:pPr>
                                  <w:r w:rsidRPr="00183485">
                                    <w:t>Amends the education stipend to include security and increases the amount for DDAA;</w:t>
                                  </w:r>
                                </w:p>
                                <w:p w:rsidR="007B7B1D" w:rsidRPr="00183485" w:rsidRDefault="00183485" w:rsidP="00553689">
                                  <w:pPr>
                                    <w:pStyle w:val="BLTemplate"/>
                                    <w:numPr>
                                      <w:ilvl w:val="0"/>
                                      <w:numId w:val="17"/>
                                    </w:numPr>
                                    <w:spacing w:after="120"/>
                                  </w:pPr>
                                  <w:r w:rsidRPr="00183485">
                                    <w:t xml:space="preserve">Increases professional stipend for SDDCCA; </w:t>
                                  </w:r>
                                </w:p>
                                <w:p w:rsidR="007B7B1D" w:rsidRDefault="00183485" w:rsidP="007B7B1D">
                                  <w:pPr>
                                    <w:pStyle w:val="BLTemplate"/>
                                    <w:numPr>
                                      <w:ilvl w:val="0"/>
                                      <w:numId w:val="17"/>
                                    </w:numPr>
                                  </w:pPr>
                                  <w:r w:rsidRPr="00183485">
                                    <w:t>Establishes a premium for ASE certification and reimbursement for testing for one eligible ASDCE classification;</w:t>
                                  </w:r>
                                </w:p>
                                <w:p w:rsidR="00CD28EC" w:rsidRPr="00553689" w:rsidRDefault="00CD28EC" w:rsidP="00CD28EC">
                                  <w:pPr>
                                    <w:pStyle w:val="BLTemplate"/>
                                    <w:ind w:left="720"/>
                                    <w:rPr>
                                      <w:sz w:val="12"/>
                                      <w:szCs w:val="12"/>
                                    </w:rPr>
                                  </w:pPr>
                                </w:p>
                                <w:p w:rsidR="007B7B1D" w:rsidRPr="00183485" w:rsidRDefault="00183485" w:rsidP="00553689">
                                  <w:pPr>
                                    <w:pStyle w:val="BLTemplate"/>
                                    <w:numPr>
                                      <w:ilvl w:val="0"/>
                                      <w:numId w:val="17"/>
                                    </w:numPr>
                                    <w:spacing w:after="120"/>
                                  </w:pPr>
                                  <w:r w:rsidRPr="00183485">
                                    <w:t>Increases safety glasses and safety shoe allowance for eligible ASDCE classifications;</w:t>
                                  </w:r>
                                </w:p>
                                <w:p w:rsidR="007B7B1D" w:rsidRPr="00183485" w:rsidRDefault="00183485" w:rsidP="00553689">
                                  <w:pPr>
                                    <w:pStyle w:val="BLTemplate"/>
                                    <w:numPr>
                                      <w:ilvl w:val="0"/>
                                      <w:numId w:val="17"/>
                                    </w:numPr>
                                    <w:spacing w:after="120"/>
                                  </w:pPr>
                                  <w:r w:rsidRPr="00183485">
                                    <w:t>Establishes floating holiday cap for DAIA;</w:t>
                                  </w:r>
                                </w:p>
                                <w:p w:rsidR="007B7B1D" w:rsidRPr="00183485" w:rsidRDefault="00183485" w:rsidP="00553689">
                                  <w:pPr>
                                    <w:pStyle w:val="BLTemplate"/>
                                    <w:numPr>
                                      <w:ilvl w:val="0"/>
                                      <w:numId w:val="17"/>
                                    </w:numPr>
                                    <w:spacing w:after="120"/>
                                  </w:pPr>
                                  <w:r w:rsidRPr="00183485">
                                    <w:t>Eliminates paid and unpaid leave from counting as time worked for the purposes of calculating overtime for DAIA; and</w:t>
                                  </w:r>
                                </w:p>
                                <w:p w:rsidR="007B7B1D" w:rsidRPr="00183485" w:rsidRDefault="00183485" w:rsidP="007B7B1D">
                                  <w:pPr>
                                    <w:pStyle w:val="BLTemplate"/>
                                    <w:numPr>
                                      <w:ilvl w:val="0"/>
                                      <w:numId w:val="17"/>
                                    </w:numPr>
                                  </w:pPr>
                                  <w:r w:rsidRPr="00183485">
                                    <w:t>Updates language for work scheduling for DAIA to reflect current operating procedures.</w:t>
                                  </w:r>
                                </w:p>
                                <w:p w:rsidR="007B7B1D" w:rsidRPr="00183485" w:rsidRDefault="00C9664D" w:rsidP="007B7B1D">
                                  <w:pPr>
                                    <w:pStyle w:val="BLTemplate"/>
                                    <w:rPr>
                                      <w:rFonts w:eastAsia="Calibri"/>
                                    </w:rPr>
                                  </w:pPr>
                                </w:p>
                                <w:p w:rsidR="007B7B1D" w:rsidRPr="00183485" w:rsidRDefault="00183485" w:rsidP="007B7B1D">
                                  <w:pPr>
                                    <w:pStyle w:val="BLTemplate"/>
                                    <w:autoSpaceDE w:val="0"/>
                                    <w:autoSpaceDN w:val="0"/>
                                    <w:adjustRightInd w:val="0"/>
                                    <w:rPr>
                                      <w:rFonts w:eastAsia="Calibri"/>
                                    </w:rPr>
                                  </w:pPr>
                                  <w:r w:rsidRPr="00183485">
                                    <w:rPr>
                                      <w:rFonts w:eastAsia="Calibri"/>
                                    </w:rPr>
                                    <w:t xml:space="preserve">Today’s recommendations also amend section 495 of the Administrative Code relating to transportation and parking reimbursement. </w:t>
                                  </w:r>
                                </w:p>
                                <w:p w:rsidR="007B7B1D" w:rsidRPr="00183485" w:rsidRDefault="00C9664D" w:rsidP="007B7B1D">
                                  <w:pPr>
                                    <w:pStyle w:val="BLTemplate"/>
                                    <w:autoSpaceDE w:val="0"/>
                                    <w:autoSpaceDN w:val="0"/>
                                    <w:adjustRightInd w:val="0"/>
                                    <w:rPr>
                                      <w:rFonts w:eastAsia="Calibri"/>
                                    </w:rPr>
                                  </w:pPr>
                                </w:p>
                                <w:p w:rsidR="00851018" w:rsidRPr="00183485" w:rsidRDefault="00183485" w:rsidP="007B7B1D">
                                  <w:pPr>
                                    <w:pStyle w:val="BLTemplate"/>
                                    <w:autoSpaceDE w:val="0"/>
                                    <w:autoSpaceDN w:val="0"/>
                                    <w:adjustRightInd w:val="0"/>
                                    <w:rPr>
                                      <w:b/>
                                      <w:bCs/>
                                    </w:rPr>
                                  </w:pPr>
                                  <w:r w:rsidRPr="00183485">
                                    <w:rPr>
                                      <w:rFonts w:eastAsia="Calibri"/>
                                    </w:rPr>
                                    <w:t xml:space="preserve">Details of the tentative agreements by labor group are reflected in the background of this letter.  </w:t>
                                  </w:r>
                                </w:p>
                              </w:sdtContent>
                            </w:sdt>
                          </w:sdtContent>
                        </w:sdt>
                        <w:p w:rsidR="005A0AAD" w:rsidRPr="00183485" w:rsidRDefault="005A0AAD" w:rsidP="00C26139">
                          <w:pPr>
                            <w:pStyle w:val="COBCAPSBOLD"/>
                            <w:jc w:val="left"/>
                            <w:rPr>
                              <w:b w:val="0"/>
                              <w:caps w:val="0"/>
                              <w:sz w:val="24"/>
                              <w:szCs w:val="20"/>
                            </w:rPr>
                          </w:pPr>
                        </w:p>
                      </w:tc>
                    </w:tr>
                    <w:tr w:rsidR="005A0AAD" w:rsidRPr="00183485" w:rsidTr="0085075C">
                      <w:trPr>
                        <w:trHeight w:val="627"/>
                      </w:trPr>
                      <w:tc>
                        <w:tcPr>
                          <w:tcW w:w="8231" w:type="dxa"/>
                          <w:gridSpan w:val="2"/>
                        </w:tcPr>
                        <w:p w:rsidR="005A0AAD" w:rsidRPr="00183485" w:rsidRDefault="00C9664D" w:rsidP="005A0AAD">
                          <w:pPr>
                            <w:pStyle w:val="NoSpacing"/>
                            <w:jc w:val="left"/>
                          </w:pPr>
                          <w:sdt>
                            <w:sdtPr>
                              <w:rPr>
                                <w:rStyle w:val="COBCAPSBOLDChar"/>
                              </w:rPr>
                              <w:alias w:val="BODY_FISCAL_IMPACT_HEADER"/>
                              <w:tag w:val="BODY_FISCAL_IMPACT_HEADER"/>
                              <w:id w:val="1167822418"/>
                              <w:lock w:val="contentLocked"/>
                            </w:sdtPr>
                            <w:sdtEndPr>
                              <w:rPr>
                                <w:rStyle w:val="DefaultParagraphFont"/>
                                <w:b w:val="0"/>
                                <w:caps/>
                              </w:rPr>
                            </w:sdtEndPr>
                            <w:sdtContent>
                              <w:r w:rsidR="005A0AAD" w:rsidRPr="00183485">
                                <w:rPr>
                                  <w:b/>
                                  <w:color w:val="auto"/>
                                </w:rPr>
                                <w:t>Fiscal impact:</w:t>
                              </w:r>
                            </w:sdtContent>
                          </w:sdt>
                        </w:p>
                        <w:sdt>
                          <w:sdtPr>
                            <w:alias w:val="BODY_FISCAL_IMPACT_TEXT_3"/>
                            <w:tag w:val="BODY_FISCAL_IMPACT_TEXT_3"/>
                            <w:id w:val="1080942346"/>
                            <w:lock w:val="sdtLocked"/>
                          </w:sdtPr>
                          <w:sdtEndPr/>
                          <w:sdtContent>
                            <w:p w:rsidR="001E7AB4" w:rsidRPr="00183485" w:rsidRDefault="00183485" w:rsidP="001E7AB4">
                              <w:r w:rsidRPr="00183485">
                                <w:rPr>
                                  <w:sz w:val="24"/>
                                </w:rPr>
                                <w:t xml:space="preserve">In Fiscal Year 2013-2014, the costs associated with today’s recommendations are estimated to result in costs of $4.8 million which includes one-time costs of </w:t>
                              </w:r>
                              <w:r>
                                <w:rPr>
                                  <w:sz w:val="24"/>
                                </w:rPr>
                                <w:t xml:space="preserve">      </w:t>
                              </w:r>
                              <w:r w:rsidRPr="00183485">
                                <w:rPr>
                                  <w:sz w:val="24"/>
                                </w:rPr>
                                <w:t xml:space="preserve">$2.0 million. The estimate includes ongoing base and supplemental pay net increases of $2.7 million, one-time monetary payments of $2.0 million, and flex credit increase of $0.1 million. </w:t>
                              </w:r>
                            </w:p>
                            <w:p w:rsidR="001E7AB4" w:rsidRPr="00183485" w:rsidRDefault="00183485" w:rsidP="001E7AB4">
                              <w:r w:rsidRPr="00183485">
                                <w:rPr>
                                  <w:sz w:val="24"/>
                                </w:rPr>
                                <w:t> </w:t>
                              </w:r>
                            </w:p>
                            <w:p w:rsidR="001E7AB4" w:rsidRPr="00183485" w:rsidRDefault="00183485" w:rsidP="001E7AB4">
                              <w:r w:rsidRPr="00183485">
                                <w:rPr>
                                  <w:sz w:val="24"/>
                                </w:rPr>
                                <w:t xml:space="preserve">Further, in Fiscal Year 2014-2015, the costs associated with today’s recommendations are estimated to result in additional costs of $2.4 million which includes one-time costs of $1.9 million. The estimate includes further ongoing base pay net increases of $0.2 million, additional one time monetary payments of </w:t>
                              </w:r>
                              <w:r>
                                <w:rPr>
                                  <w:sz w:val="24"/>
                                </w:rPr>
                                <w:t xml:space="preserve">    </w:t>
                              </w:r>
                              <w:r w:rsidRPr="00183485">
                                <w:rPr>
                                  <w:sz w:val="24"/>
                                </w:rPr>
                                <w:t xml:space="preserve">$1.9 million, and additional flex credit increases of $0.3 million. In Fiscal Year 2015-2016, flex credits are estimated to increase by an additional $0.2 million.  </w:t>
                              </w:r>
                            </w:p>
                            <w:p w:rsidR="001E7AB4" w:rsidRPr="00183485" w:rsidRDefault="00183485" w:rsidP="001E7AB4">
                              <w:r w:rsidRPr="00183485">
                                <w:rPr>
                                  <w:sz w:val="24"/>
                                </w:rPr>
                                <w:t> </w:t>
                              </w:r>
                            </w:p>
                            <w:p w:rsidR="007054DA" w:rsidRPr="00183485" w:rsidRDefault="00183485" w:rsidP="00547EE2">
                              <w:r w:rsidRPr="00183485">
                                <w:rPr>
                                  <w:sz w:val="24"/>
                                </w:rPr>
                                <w:t xml:space="preserve">Funding to support today’s recommendations is partially reflected in the CAO’s Fiscal Year 2013-2015 Recommended Operational Plan. If approved, staff will return to your Board with recommendations to adjust the budget as necessary during a regular budget status report. The funding source is a combination of General Purpose revenues, available General Fund </w:t>
                              </w:r>
                              <w:proofErr w:type="spellStart"/>
                              <w:r w:rsidRPr="00183485">
                                <w:rPr>
                                  <w:sz w:val="24"/>
                                </w:rPr>
                                <w:t>fund</w:t>
                              </w:r>
                              <w:proofErr w:type="spellEnd"/>
                              <w:r w:rsidRPr="00183485">
                                <w:rPr>
                                  <w:sz w:val="24"/>
                                </w:rPr>
                                <w:t xml:space="preserve"> balance, and various program revenues</w:t>
                              </w:r>
                              <w:r w:rsidRPr="00183485">
                                <w:rPr>
                                  <w:sz w:val="20"/>
                                </w:rPr>
                                <w:t>.</w:t>
                              </w:r>
                            </w:p>
                          </w:sdtContent>
                        </w:sdt>
                        <w:p w:rsidR="005A0AAD" w:rsidRPr="00183485" w:rsidRDefault="005A0AAD" w:rsidP="00C26139">
                          <w:pPr>
                            <w:pStyle w:val="COBCAPSBOLD"/>
                            <w:jc w:val="left"/>
                            <w:rPr>
                              <w:b w:val="0"/>
                              <w:caps w:val="0"/>
                              <w:sz w:val="24"/>
                              <w:szCs w:val="20"/>
                            </w:rPr>
                          </w:pPr>
                        </w:p>
                      </w:tc>
                    </w:tr>
                    <w:tr w:rsidR="005A0AAD" w:rsidRPr="00183485" w:rsidTr="00B175CC">
                      <w:trPr>
                        <w:trHeight w:val="627"/>
                      </w:trPr>
                      <w:tc>
                        <w:tcPr>
                          <w:tcW w:w="8231" w:type="dxa"/>
                          <w:gridSpan w:val="2"/>
                        </w:tcPr>
                        <w:p w:rsidR="005A0AAD" w:rsidRPr="00183485" w:rsidRDefault="00C9664D" w:rsidP="005A0AAD">
                          <w:pPr>
                            <w:pStyle w:val="NoSpacing"/>
                            <w:jc w:val="left"/>
                          </w:pPr>
                          <w:sdt>
                            <w:sdtPr>
                              <w:rPr>
                                <w:rStyle w:val="COBCAPSBOLDChar"/>
                              </w:rPr>
                              <w:alias w:val="BODY_BUSINESS_IMPACT_HEADER"/>
                              <w:tag w:val="BODY_BUSINESS_IMPACT_HEADER"/>
                              <w:id w:val="1151873602"/>
                              <w:lock w:val="contentLocked"/>
                            </w:sdtPr>
                            <w:sdtEndPr>
                              <w:rPr>
                                <w:rStyle w:val="DefaultParagraphFont"/>
                                <w:b w:val="0"/>
                                <w:caps/>
                              </w:rPr>
                            </w:sdtEndPr>
                            <w:sdtContent>
                              <w:r w:rsidR="005A0AAD" w:rsidRPr="00183485">
                                <w:rPr>
                                  <w:b/>
                                  <w:color w:val="auto"/>
                                </w:rPr>
                                <w:t>Business impact statement:</w:t>
                              </w:r>
                            </w:sdtContent>
                          </w:sdt>
                        </w:p>
                        <w:sdt>
                          <w:sdtPr>
                            <w:alias w:val="BODY_BUSINESS_IMPACT_TEXT_3"/>
                            <w:tag w:val="BODY_BUSINESS_IMPACT_TEXT_3"/>
                            <w:id w:val="1644611481"/>
                            <w:lock w:val="sdtLocked"/>
                          </w:sdtPr>
                          <w:sdtEndPr/>
                          <w:sdtContent>
                            <w:p w:rsidR="00183485" w:rsidRDefault="00183485" w:rsidP="007B7B1D">
                              <w:pPr>
                                <w:rPr>
                                  <w:sz w:val="24"/>
                                </w:rPr>
                              </w:pPr>
                              <w:r w:rsidRPr="00183485">
                                <w:rPr>
                                  <w:sz w:val="24"/>
                                </w:rPr>
                                <w:t>N/A</w:t>
                              </w:r>
                            </w:p>
                            <w:p w:rsidR="005A0AAD" w:rsidRPr="008C5395" w:rsidRDefault="00C9664D" w:rsidP="008C5395"/>
                          </w:sdtContent>
                        </w:sdt>
                      </w:tc>
                    </w:tr>
                    <w:tr w:rsidR="005A0AAD" w:rsidRPr="00183485" w:rsidTr="009337BF">
                      <w:trPr>
                        <w:trHeight w:val="627"/>
                      </w:trPr>
                      <w:tc>
                        <w:tcPr>
                          <w:tcW w:w="8231" w:type="dxa"/>
                          <w:gridSpan w:val="2"/>
                        </w:tcPr>
                        <w:p w:rsidR="005A0AAD" w:rsidRPr="00183485" w:rsidRDefault="00C9664D" w:rsidP="005A0AAD">
                          <w:pPr>
                            <w:pStyle w:val="NoSpacing"/>
                            <w:jc w:val="left"/>
                          </w:pPr>
                          <w:sdt>
                            <w:sdtPr>
                              <w:rPr>
                                <w:rStyle w:val="COBCAPSBOLDChar"/>
                              </w:rPr>
                              <w:alias w:val="BODY_RECOMMENDATION_HEADER"/>
                              <w:tag w:val="BODY_RECOMMENDATION_HEADER"/>
                              <w:id w:val="1553655892"/>
                              <w:lock w:val="contentLocked"/>
                            </w:sdtPr>
                            <w:sdtEndPr>
                              <w:rPr>
                                <w:rStyle w:val="DefaultParagraphFont"/>
                                <w:b w:val="0"/>
                                <w:caps/>
                              </w:rPr>
                            </w:sdtEndPr>
                            <w:sdtContent>
                              <w:r w:rsidR="005A0AAD" w:rsidRPr="00183485">
                                <w:rPr>
                                  <w:b/>
                                  <w:color w:val="auto"/>
                                </w:rPr>
                                <w:t>recommendation:</w:t>
                              </w:r>
                            </w:sdtContent>
                          </w:sdt>
                        </w:p>
                        <w:p w:rsidR="00327090" w:rsidRPr="00183485" w:rsidRDefault="00183485" w:rsidP="00327090">
                          <w:pPr>
                            <w:pStyle w:val="BLTemplate"/>
                            <w:jc w:val="left"/>
                          </w:pPr>
                          <w:r w:rsidRPr="00183485">
                            <w:rPr>
                              <w:rStyle w:val="BoldCOB"/>
                            </w:rPr>
                            <w:t>CHIEF ADMINISTRATIVE OFFICER</w:t>
                          </w:r>
                        </w:p>
                        <w:p w:rsidR="007B7B1D" w:rsidRDefault="00183485" w:rsidP="007B7B1D">
                          <w:pPr>
                            <w:pStyle w:val="BLTemplate"/>
                          </w:pPr>
                          <w:r w:rsidRPr="00183485">
                            <w:t>Approve introduction (first reading) of the following ordinances; read title and waive further reading of these ordinances (MAJORITY VOTE):</w:t>
                          </w:r>
                        </w:p>
                        <w:p w:rsidR="008C5395" w:rsidRPr="008C5395" w:rsidRDefault="008C5395" w:rsidP="007B7B1D">
                          <w:pPr>
                            <w:pStyle w:val="BLTemplate"/>
                            <w:rPr>
                              <w:sz w:val="12"/>
                              <w:szCs w:val="12"/>
                            </w:rPr>
                          </w:pPr>
                        </w:p>
                        <w:p w:rsidR="007B7B1D" w:rsidRPr="00183485" w:rsidRDefault="00183485" w:rsidP="00183485">
                          <w:pPr>
                            <w:pStyle w:val="BLTemplate"/>
                            <w:tabs>
                              <w:tab w:val="left" w:pos="7254"/>
                            </w:tabs>
                            <w:ind w:left="594" w:right="761"/>
                          </w:pPr>
                          <w:r w:rsidRPr="00183485">
                            <w:t>AMENDMENTS TO THE COMPENSATION ORDINANCE RELATING TO  TENTATIVE AGREEMENTS FOR THE SAN DIEGO COUNTY DEPUTY DISTRICT ATTORNEYS ASSOCIATION; THE ASSOCIATION OF SAN DIEGO COUNTY EMPLOYEES; THE SAN DIEGO DEPUTY COUNTY COUNSELS ASSOCIATION; AND THE DISTRICT ATTORNEY INVESTIGATORS ASSOCIATION.</w:t>
                          </w:r>
                        </w:p>
                        <w:p w:rsidR="007B7B1D" w:rsidRPr="00183485" w:rsidRDefault="00C9664D" w:rsidP="00183485">
                          <w:pPr>
                            <w:pStyle w:val="BLTemplate"/>
                            <w:tabs>
                              <w:tab w:val="left" w:pos="7254"/>
                            </w:tabs>
                            <w:ind w:left="594" w:right="761"/>
                          </w:pPr>
                        </w:p>
                        <w:p w:rsidR="007B7B1D" w:rsidRPr="00183485" w:rsidRDefault="00183485" w:rsidP="00183485">
                          <w:pPr>
                            <w:pStyle w:val="BLTemplate"/>
                            <w:tabs>
                              <w:tab w:val="left" w:pos="7254"/>
                            </w:tabs>
                            <w:ind w:left="594" w:right="761"/>
                          </w:pPr>
                          <w:r w:rsidRPr="00183485">
                            <w:t>AN ORDINANCE AMENDING THE ADMINISTRATIVE CODE, SECTION 495, PERTAINING TO TRANSPORTATION REIMBURSEMENT.</w:t>
                          </w:r>
                        </w:p>
                        <w:p w:rsidR="007B7B1D" w:rsidRPr="008C5395" w:rsidRDefault="00C9664D" w:rsidP="007B7B1D">
                          <w:pPr>
                            <w:pStyle w:val="BLTemplate"/>
                            <w:ind w:left="360"/>
                            <w:rPr>
                              <w:sz w:val="12"/>
                              <w:szCs w:val="12"/>
                            </w:rPr>
                          </w:pPr>
                        </w:p>
                        <w:p w:rsidR="007B7B1D" w:rsidRDefault="00183485" w:rsidP="007B7B1D">
                          <w:pPr>
                            <w:pStyle w:val="BLTemplate"/>
                          </w:pPr>
                          <w:r w:rsidRPr="00183485">
                            <w:t>If the Board takes the action recommended in item 1, then on June 18, 2013 (second reading):</w:t>
                          </w:r>
                        </w:p>
                        <w:p w:rsidR="004C1565" w:rsidRPr="008C5395" w:rsidRDefault="004C1565" w:rsidP="007B7B1D">
                          <w:pPr>
                            <w:pStyle w:val="BLTemplate"/>
                            <w:rPr>
                              <w:sz w:val="12"/>
                              <w:szCs w:val="12"/>
                            </w:rPr>
                          </w:pPr>
                        </w:p>
                        <w:p w:rsidR="007B7B1D" w:rsidRPr="00183485" w:rsidRDefault="00183485" w:rsidP="00183485">
                          <w:pPr>
                            <w:pStyle w:val="BLTemplate"/>
                            <w:rPr>
                              <w:vanish/>
                            </w:rPr>
                          </w:pPr>
                          <w:r w:rsidRPr="00183485">
                            <w:t>Submit the Ordinances for further Board consideration and adoption (second reading on Ju</w:t>
                          </w:r>
                          <w:r>
                            <w:t>ne 18, 201</w:t>
                          </w:r>
                        </w:p>
                        <w:p w:rsidR="007B7B1D" w:rsidRPr="00183485" w:rsidRDefault="00C9664D" w:rsidP="00183485">
                          <w:pPr>
                            <w:pStyle w:val="BLTemplate"/>
                            <w:rPr>
                              <w:vanish/>
                            </w:rPr>
                          </w:pPr>
                        </w:p>
                        <w:p w:rsidR="00017C62" w:rsidRDefault="00183485" w:rsidP="00183485">
                          <w:pPr>
                            <w:pStyle w:val="BLTemplate"/>
                          </w:pPr>
                          <w:r>
                            <w:t xml:space="preserve">3). </w:t>
                          </w:r>
                          <w:r w:rsidRPr="00183485">
                            <w:t>Approve the adoptio</w:t>
                          </w:r>
                          <w:r>
                            <w:t xml:space="preserve">n of successor MOAs between the </w:t>
                          </w:r>
                          <w:r w:rsidRPr="00183485">
                            <w:t>County of San Diego and the San Diego County Deputy District Attorneys Association; the District Attorney Investigators Association, the Association of San Diego County Employees; and, the San Diego Deputy County Counsels Association.</w:t>
                          </w:r>
                        </w:p>
                        <w:p w:rsidR="00017C62" w:rsidRDefault="00017C62" w:rsidP="00183485">
                          <w:pPr>
                            <w:pStyle w:val="BLTemplate"/>
                          </w:pPr>
                        </w:p>
                        <w:p w:rsidR="00017C62" w:rsidRDefault="00017C62" w:rsidP="00017C62">
                          <w:pPr>
                            <w:pStyle w:val="BLTemplate"/>
                            <w:rPr>
                              <w:b/>
                            </w:rPr>
                          </w:pPr>
                          <w:r>
                            <w:rPr>
                              <w:b/>
                            </w:rPr>
                            <w:t>ACTION:</w:t>
                          </w:r>
                        </w:p>
                        <w:p w:rsidR="00017C62" w:rsidRDefault="00017C62" w:rsidP="00017C62">
                          <w:pPr>
                            <w:pStyle w:val="HangingIndent"/>
                            <w:keepNext/>
                            <w:tabs>
                              <w:tab w:val="clear" w:pos="5760"/>
                              <w:tab w:val="clear" w:pos="6480"/>
                              <w:tab w:val="clear" w:pos="7200"/>
                              <w:tab w:val="clear" w:pos="7920"/>
                              <w:tab w:val="clear" w:pos="8640"/>
                            </w:tabs>
                            <w:spacing w:after="240"/>
                            <w:ind w:left="0" w:right="-18" w:firstLine="0"/>
                          </w:pPr>
                          <w:r>
                            <w:t xml:space="preserve">ON MOTION of Supervisor </w:t>
                          </w:r>
                          <w:r w:rsidR="00EB16C5">
                            <w:t>Jacob</w:t>
                          </w:r>
                          <w:r>
                            <w:t xml:space="preserve">, seconded by Supervisor </w:t>
                          </w:r>
                          <w:r w:rsidR="00EB16C5">
                            <w:t>R</w:t>
                          </w:r>
                          <w:r>
                            <w:t>. Roberts, the Board took action as recommended, introducing the Ordinances for further Board consideration and adoption on June 18, 2013.</w:t>
                          </w:r>
                        </w:p>
                        <w:p w:rsidR="008C5395" w:rsidRDefault="00017C62" w:rsidP="008C5395">
                          <w:pPr>
                            <w:pStyle w:val="HangingIndent"/>
                          </w:pPr>
                          <w:r>
                            <w:t>AYES:  Cox, Jacob, D. Roberts, R. Roberts, Horn</w:t>
                          </w:r>
                        </w:p>
                        <w:p w:rsidR="005A0AAD" w:rsidRPr="008C5395" w:rsidRDefault="00183485" w:rsidP="008C5395">
                          <w:pPr>
                            <w:pStyle w:val="HangingIndent"/>
                          </w:pPr>
                          <w:r w:rsidRPr="00183485">
                            <w:rPr>
                              <w:vanish/>
                            </w:rPr>
                            <w:fldChar w:fldCharType="begin"/>
                          </w:r>
                          <w:r w:rsidRPr="00183485">
                            <w:rPr>
                              <w:vanish/>
                            </w:rPr>
                            <w:fldChar w:fldCharType="end"/>
                          </w:r>
                        </w:p>
                      </w:tc>
                    </w:tr>
                  </w:tbl>
                  <w:p w:rsidR="004A3FA9" w:rsidRPr="004C1565" w:rsidRDefault="004A3FA9" w:rsidP="00EE5FEE">
                    <w:pPr>
                      <w:pStyle w:val="NoSpacing"/>
                      <w:jc w:val="left"/>
                      <w:rPr>
                        <w:b/>
                        <w:caps w:val="0"/>
                      </w:rPr>
                    </w:pPr>
                  </w:p>
                </w:tc>
              </w:tr>
            </w:tbl>
            <w:p w:rsidR="001F6F6C" w:rsidRDefault="00C9664D" w:rsidP="002267C4">
              <w:pPr>
                <w:jc w:val="left"/>
              </w:pPr>
            </w:p>
            <w:bookmarkStart w:id="1" w:name="Catalog" w:displacedByCustomXml="next"/>
            <w:bookmarkEnd w:id="1" w:displacedByCustomXml="next"/>
          </w:sdtContent>
        </w:sdt>
      </w:sdtContent>
    </w:sdt>
    <w:tbl>
      <w:tblPr>
        <w:tblW w:w="9540" w:type="dxa"/>
        <w:tblInd w:w="18" w:type="dxa"/>
        <w:tblLayout w:type="fixed"/>
        <w:tblLook w:val="0000" w:firstRow="0" w:lastRow="0" w:firstColumn="0" w:lastColumn="0" w:noHBand="0" w:noVBand="0"/>
      </w:tblPr>
      <w:tblGrid>
        <w:gridCol w:w="1170"/>
        <w:gridCol w:w="1530"/>
        <w:gridCol w:w="6840"/>
      </w:tblGrid>
      <w:tr w:rsidR="004C1565" w:rsidRPr="00330469" w:rsidTr="00F43D10">
        <w:tc>
          <w:tcPr>
            <w:tcW w:w="1170" w:type="dxa"/>
          </w:tcPr>
          <w:p w:rsidR="004C1565" w:rsidRPr="00330469" w:rsidRDefault="004C1565" w:rsidP="00F43D10">
            <w:pPr>
              <w:pStyle w:val="BLTemplate"/>
              <w:keepNext/>
              <w:jc w:val="center"/>
              <w:rPr>
                <w:b/>
              </w:rPr>
            </w:pPr>
            <w:r>
              <w:rPr>
                <w:b/>
              </w:rPr>
              <w:t>3</w:t>
            </w:r>
            <w:r w:rsidRPr="00330469">
              <w:rPr>
                <w:b/>
              </w:rPr>
              <w:t>.</w:t>
            </w:r>
          </w:p>
        </w:tc>
        <w:tc>
          <w:tcPr>
            <w:tcW w:w="1530" w:type="dxa"/>
          </w:tcPr>
          <w:p w:rsidR="004C1565" w:rsidRPr="00330469" w:rsidRDefault="004C1565" w:rsidP="00F43D10">
            <w:pPr>
              <w:pStyle w:val="BLTemplate"/>
              <w:keepNext/>
              <w:ind w:firstLine="72"/>
              <w:jc w:val="left"/>
              <w:rPr>
                <w:b/>
              </w:rPr>
            </w:pPr>
            <w:r w:rsidRPr="00330469">
              <w:rPr>
                <w:b/>
              </w:rPr>
              <w:t>SUBJECT:</w:t>
            </w:r>
          </w:p>
        </w:tc>
        <w:tc>
          <w:tcPr>
            <w:tcW w:w="6840" w:type="dxa"/>
          </w:tcPr>
          <w:p w:rsidR="004C1565" w:rsidRPr="00330469" w:rsidRDefault="004C1565" w:rsidP="00F43D10">
            <w:pPr>
              <w:pStyle w:val="JustifiedCOB"/>
              <w:keepNext/>
              <w:jc w:val="left"/>
            </w:pPr>
            <w:r w:rsidRPr="00330469">
              <w:fldChar w:fldCharType="begin"/>
            </w:r>
            <w:r w:rsidRPr="00330469">
              <w:instrText xml:space="preserve">  MACROBUTTON NoMacro </w:instrText>
            </w:r>
            <w:r w:rsidRPr="00330469">
              <w:fldChar w:fldCharType="end"/>
            </w:r>
            <w:r w:rsidRPr="00330469">
              <w:rPr>
                <w:b/>
              </w:rPr>
              <w:t>PUBLIC COMMUNICATION (DISTRICTS: ALL)</w:t>
            </w:r>
          </w:p>
        </w:tc>
      </w:tr>
      <w:tr w:rsidR="004C1565" w:rsidRPr="00330469" w:rsidTr="00F43D10">
        <w:tc>
          <w:tcPr>
            <w:tcW w:w="1170" w:type="dxa"/>
          </w:tcPr>
          <w:p w:rsidR="004C1565" w:rsidRPr="00330469" w:rsidRDefault="004C1565" w:rsidP="00F43D10">
            <w:pPr>
              <w:pStyle w:val="BLTemplate"/>
              <w:keepNext/>
              <w:jc w:val="center"/>
              <w:rPr>
                <w:b/>
              </w:rPr>
            </w:pPr>
          </w:p>
        </w:tc>
        <w:tc>
          <w:tcPr>
            <w:tcW w:w="8370" w:type="dxa"/>
            <w:gridSpan w:val="2"/>
            <w:vAlign w:val="bottom"/>
          </w:tcPr>
          <w:p w:rsidR="004C1565" w:rsidRPr="00330469" w:rsidRDefault="004C1565" w:rsidP="00F43D10">
            <w:pPr>
              <w:pStyle w:val="BLTemplate"/>
              <w:keepNext/>
              <w:ind w:left="72"/>
            </w:pPr>
            <w:r w:rsidRPr="00330469">
              <w:rPr>
                <w:b/>
              </w:rPr>
              <w:t>OVERVIEW:</w:t>
            </w:r>
          </w:p>
        </w:tc>
      </w:tr>
      <w:tr w:rsidR="004C1565" w:rsidRPr="00330469" w:rsidTr="00F43D10">
        <w:tc>
          <w:tcPr>
            <w:tcW w:w="1170" w:type="dxa"/>
          </w:tcPr>
          <w:p w:rsidR="004C1565" w:rsidRPr="00330469" w:rsidRDefault="004C1565" w:rsidP="00F43D10">
            <w:pPr>
              <w:pStyle w:val="BLTemplate"/>
              <w:keepNext/>
              <w:jc w:val="center"/>
              <w:rPr>
                <w:b/>
              </w:rPr>
            </w:pPr>
          </w:p>
        </w:tc>
        <w:tc>
          <w:tcPr>
            <w:tcW w:w="8370" w:type="dxa"/>
            <w:gridSpan w:val="2"/>
          </w:tcPr>
          <w:p w:rsidR="004C1565" w:rsidRDefault="004C1565" w:rsidP="00F43D10">
            <w:pPr>
              <w:pStyle w:val="JustifiedCOB"/>
              <w:keepNext/>
              <w:tabs>
                <w:tab w:val="left" w:pos="0"/>
              </w:tabs>
              <w:spacing w:after="0"/>
              <w:ind w:left="72"/>
            </w:pPr>
            <w:r w:rsidRPr="007A56B1">
              <w:t xml:space="preserve">Jim Cunningham spoke to the Board regarding </w:t>
            </w:r>
            <w:r w:rsidR="007A56B1">
              <w:t xml:space="preserve">the Public Defenders’ Association </w:t>
            </w:r>
            <w:r w:rsidRPr="007A56B1">
              <w:t>labor contracts.</w:t>
            </w:r>
          </w:p>
          <w:p w:rsidR="004C1565" w:rsidRPr="00330469" w:rsidRDefault="004C1565" w:rsidP="004C1565">
            <w:pPr>
              <w:pStyle w:val="JustifiedCOB"/>
              <w:keepNext/>
              <w:tabs>
                <w:tab w:val="left" w:pos="0"/>
              </w:tabs>
              <w:spacing w:after="0"/>
            </w:pPr>
          </w:p>
        </w:tc>
      </w:tr>
      <w:tr w:rsidR="004C1565" w:rsidRPr="00330469" w:rsidTr="00F43D10">
        <w:tc>
          <w:tcPr>
            <w:tcW w:w="1170" w:type="dxa"/>
          </w:tcPr>
          <w:p w:rsidR="004C1565" w:rsidRPr="00330469" w:rsidRDefault="004C1565" w:rsidP="00F43D10">
            <w:pPr>
              <w:rPr>
                <w:b/>
              </w:rPr>
            </w:pPr>
          </w:p>
        </w:tc>
        <w:tc>
          <w:tcPr>
            <w:tcW w:w="8370" w:type="dxa"/>
            <w:gridSpan w:val="2"/>
            <w:vAlign w:val="bottom"/>
          </w:tcPr>
          <w:p w:rsidR="004C1565" w:rsidRPr="00330469" w:rsidRDefault="004C1565" w:rsidP="00DD098C">
            <w:pPr>
              <w:pStyle w:val="BLTemplate"/>
              <w:ind w:firstLine="72"/>
              <w:rPr>
                <w:b/>
              </w:rPr>
            </w:pPr>
            <w:r w:rsidRPr="00330469">
              <w:rPr>
                <w:b/>
              </w:rPr>
              <w:t>ACTION:</w:t>
            </w:r>
          </w:p>
        </w:tc>
      </w:tr>
      <w:tr w:rsidR="004C1565" w:rsidRPr="00330469" w:rsidTr="00F43D10">
        <w:tc>
          <w:tcPr>
            <w:tcW w:w="1170" w:type="dxa"/>
          </w:tcPr>
          <w:p w:rsidR="004C1565" w:rsidRPr="00330469" w:rsidRDefault="004C1565" w:rsidP="00F43D10">
            <w:pPr>
              <w:pStyle w:val="BLTemplate"/>
              <w:jc w:val="center"/>
              <w:rPr>
                <w:b/>
              </w:rPr>
            </w:pPr>
          </w:p>
        </w:tc>
        <w:tc>
          <w:tcPr>
            <w:tcW w:w="8370" w:type="dxa"/>
            <w:gridSpan w:val="2"/>
            <w:vAlign w:val="bottom"/>
          </w:tcPr>
          <w:p w:rsidR="004C1565" w:rsidRDefault="004C1565" w:rsidP="00DD098C">
            <w:pPr>
              <w:pStyle w:val="BLTemplate"/>
              <w:ind w:firstLine="72"/>
            </w:pPr>
            <w:r w:rsidRPr="00330469">
              <w:t>Heard, referred to the Chief Administrative Officer.</w:t>
            </w:r>
          </w:p>
          <w:p w:rsidR="004C1565" w:rsidRPr="00330469" w:rsidRDefault="004C1565" w:rsidP="00DD098C">
            <w:pPr>
              <w:pStyle w:val="BLTemplate"/>
              <w:ind w:firstLine="72"/>
              <w:rPr>
                <w:b/>
              </w:rPr>
            </w:pPr>
          </w:p>
        </w:tc>
      </w:tr>
    </w:tbl>
    <w:p w:rsidR="004C1565" w:rsidRDefault="004C1565" w:rsidP="004C1565">
      <w:pPr>
        <w:tabs>
          <w:tab w:val="left" w:pos="-360"/>
        </w:tabs>
        <w:snapToGrid w:val="0"/>
        <w:outlineLvl w:val="0"/>
        <w:rPr>
          <w:sz w:val="24"/>
        </w:rPr>
      </w:pPr>
    </w:p>
    <w:p w:rsidR="00553689" w:rsidRDefault="00553689" w:rsidP="004C1565">
      <w:pPr>
        <w:tabs>
          <w:tab w:val="left" w:pos="-360"/>
        </w:tabs>
        <w:snapToGrid w:val="0"/>
        <w:outlineLvl w:val="0"/>
        <w:rPr>
          <w:sz w:val="24"/>
        </w:rPr>
      </w:pPr>
    </w:p>
    <w:p w:rsidR="00553689" w:rsidRDefault="00553689" w:rsidP="004C1565">
      <w:pPr>
        <w:tabs>
          <w:tab w:val="left" w:pos="-360"/>
        </w:tabs>
        <w:snapToGrid w:val="0"/>
        <w:outlineLvl w:val="0"/>
        <w:rPr>
          <w:sz w:val="24"/>
        </w:rPr>
      </w:pPr>
    </w:p>
    <w:p w:rsidR="00553689" w:rsidRDefault="00553689" w:rsidP="004C1565">
      <w:pPr>
        <w:tabs>
          <w:tab w:val="left" w:pos="-360"/>
        </w:tabs>
        <w:snapToGrid w:val="0"/>
        <w:outlineLvl w:val="0"/>
        <w:rPr>
          <w:sz w:val="24"/>
        </w:rPr>
      </w:pPr>
    </w:p>
    <w:p w:rsidR="00553689" w:rsidRDefault="00553689" w:rsidP="004C1565">
      <w:pPr>
        <w:tabs>
          <w:tab w:val="left" w:pos="-360"/>
        </w:tabs>
        <w:snapToGrid w:val="0"/>
        <w:outlineLvl w:val="0"/>
        <w:rPr>
          <w:sz w:val="24"/>
        </w:rPr>
      </w:pPr>
    </w:p>
    <w:p w:rsidR="00553689" w:rsidRDefault="00553689" w:rsidP="004C1565">
      <w:pPr>
        <w:tabs>
          <w:tab w:val="left" w:pos="-360"/>
        </w:tabs>
        <w:snapToGrid w:val="0"/>
        <w:outlineLvl w:val="0"/>
        <w:rPr>
          <w:sz w:val="24"/>
        </w:rPr>
      </w:pPr>
    </w:p>
    <w:p w:rsidR="004C1565" w:rsidRPr="004C1565" w:rsidRDefault="004C1565" w:rsidP="004C1565">
      <w:pPr>
        <w:tabs>
          <w:tab w:val="left" w:pos="-360"/>
        </w:tabs>
        <w:snapToGrid w:val="0"/>
        <w:outlineLvl w:val="0"/>
        <w:rPr>
          <w:sz w:val="24"/>
        </w:rPr>
      </w:pPr>
      <w:r w:rsidRPr="004C1565">
        <w:rPr>
          <w:sz w:val="24"/>
        </w:rPr>
        <w:t>There being no further busin</w:t>
      </w:r>
      <w:r w:rsidR="00011394">
        <w:rPr>
          <w:sz w:val="24"/>
        </w:rPr>
        <w:t xml:space="preserve">ess, the Board adjourned at </w:t>
      </w:r>
      <w:r w:rsidR="00C9664D">
        <w:rPr>
          <w:sz w:val="24"/>
        </w:rPr>
        <w:t>9</w:t>
      </w:r>
      <w:r w:rsidR="00011394">
        <w:rPr>
          <w:sz w:val="24"/>
        </w:rPr>
        <w:t>:</w:t>
      </w:r>
      <w:r w:rsidR="00C9664D">
        <w:rPr>
          <w:sz w:val="24"/>
        </w:rPr>
        <w:t>17</w:t>
      </w:r>
      <w:bookmarkStart w:id="2" w:name="_GoBack"/>
      <w:bookmarkEnd w:id="2"/>
      <w:r w:rsidR="00011394">
        <w:rPr>
          <w:sz w:val="24"/>
        </w:rPr>
        <w:t xml:space="preserve"> a</w:t>
      </w:r>
      <w:r w:rsidRPr="004C1565">
        <w:rPr>
          <w:sz w:val="24"/>
        </w:rPr>
        <w:t>.m.</w:t>
      </w:r>
    </w:p>
    <w:p w:rsidR="004C1565" w:rsidRDefault="004C1565" w:rsidP="004C1565">
      <w:pPr>
        <w:tabs>
          <w:tab w:val="left" w:pos="-360"/>
          <w:tab w:val="left" w:pos="6540"/>
        </w:tabs>
        <w:snapToGrid w:val="0"/>
        <w:outlineLvl w:val="0"/>
        <w:rPr>
          <w:sz w:val="24"/>
        </w:rPr>
      </w:pPr>
    </w:p>
    <w:p w:rsidR="004C1565" w:rsidRPr="004C1565" w:rsidRDefault="004C1565" w:rsidP="004C1565">
      <w:pPr>
        <w:tabs>
          <w:tab w:val="left" w:pos="-360"/>
          <w:tab w:val="left" w:pos="6540"/>
        </w:tabs>
        <w:snapToGrid w:val="0"/>
        <w:outlineLvl w:val="0"/>
        <w:rPr>
          <w:sz w:val="24"/>
        </w:rPr>
      </w:pPr>
    </w:p>
    <w:p w:rsidR="004C1565" w:rsidRPr="004C1565" w:rsidRDefault="004C1565" w:rsidP="004C1565">
      <w:pPr>
        <w:tabs>
          <w:tab w:val="left" w:pos="-1530"/>
          <w:tab w:val="left" w:pos="-450"/>
          <w:tab w:val="left" w:pos="-360"/>
          <w:tab w:val="left" w:pos="-180"/>
        </w:tabs>
        <w:ind w:left="-720"/>
        <w:jc w:val="center"/>
        <w:outlineLvl w:val="0"/>
        <w:rPr>
          <w:sz w:val="24"/>
          <w:szCs w:val="24"/>
        </w:rPr>
      </w:pPr>
      <w:r w:rsidRPr="004C1565">
        <w:rPr>
          <w:sz w:val="24"/>
          <w:szCs w:val="24"/>
        </w:rPr>
        <w:t>THOMAS J. PASTUSZKA</w:t>
      </w:r>
    </w:p>
    <w:p w:rsidR="004C1565" w:rsidRPr="004C1565" w:rsidRDefault="004C1565" w:rsidP="004C156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bookmarkStart w:id="3" w:name="Clerk"/>
      <w:bookmarkEnd w:id="3"/>
      <w:r w:rsidRPr="004C1565">
        <w:rPr>
          <w:sz w:val="24"/>
          <w:szCs w:val="24"/>
        </w:rPr>
        <w:t>Clerk of the Board of Supervisors</w:t>
      </w:r>
    </w:p>
    <w:p w:rsidR="004C1565" w:rsidRPr="004C1565" w:rsidRDefault="004C1565" w:rsidP="004C156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r w:rsidRPr="004C1565">
        <w:rPr>
          <w:sz w:val="24"/>
          <w:szCs w:val="24"/>
        </w:rPr>
        <w:t>County of San Diego, State of California</w:t>
      </w:r>
    </w:p>
    <w:p w:rsidR="004C1565" w:rsidRPr="004C1565" w:rsidRDefault="004C1565" w:rsidP="004C1565">
      <w:pPr>
        <w:tabs>
          <w:tab w:val="left" w:pos="-1530"/>
          <w:tab w:val="left" w:pos="-450"/>
          <w:tab w:val="left" w:pos="-360"/>
          <w:tab w:val="left" w:pos="-180"/>
        </w:tabs>
        <w:rPr>
          <w:sz w:val="24"/>
          <w:szCs w:val="24"/>
        </w:rPr>
      </w:pPr>
    </w:p>
    <w:p w:rsidR="004C1565" w:rsidRPr="004C1565" w:rsidRDefault="004C1565" w:rsidP="004C1565">
      <w:pPr>
        <w:tabs>
          <w:tab w:val="left" w:pos="-1530"/>
          <w:tab w:val="left" w:pos="-450"/>
          <w:tab w:val="left" w:pos="-360"/>
          <w:tab w:val="left" w:pos="-180"/>
        </w:tabs>
        <w:rPr>
          <w:sz w:val="24"/>
        </w:rPr>
      </w:pPr>
      <w:r w:rsidRPr="004C1565">
        <w:rPr>
          <w:sz w:val="24"/>
          <w:szCs w:val="24"/>
        </w:rPr>
        <w:t>Discussion: Panfil</w:t>
      </w:r>
    </w:p>
    <w:p w:rsidR="004C1565" w:rsidRPr="004C1565" w:rsidRDefault="004C1565" w:rsidP="004C1565">
      <w:pPr>
        <w:rPr>
          <w:sz w:val="24"/>
        </w:rPr>
      </w:pPr>
      <w:r w:rsidRPr="004C1565">
        <w:rPr>
          <w:sz w:val="24"/>
        </w:rPr>
        <w:t xml:space="preserve">Notes by: </w:t>
      </w:r>
      <w:bookmarkStart w:id="4" w:name="NotesBy"/>
      <w:bookmarkEnd w:id="4"/>
      <w:r w:rsidR="00011394">
        <w:rPr>
          <w:sz w:val="24"/>
        </w:rPr>
        <w:t xml:space="preserve"> </w:t>
      </w:r>
      <w:r w:rsidR="00533580">
        <w:rPr>
          <w:sz w:val="24"/>
        </w:rPr>
        <w:t>Miller</w:t>
      </w:r>
    </w:p>
    <w:p w:rsidR="004C1565" w:rsidRPr="004C1565" w:rsidRDefault="004C1565" w:rsidP="004C1565">
      <w:pPr>
        <w:rPr>
          <w:sz w:val="24"/>
        </w:rPr>
      </w:pPr>
    </w:p>
    <w:p w:rsidR="004C1565" w:rsidRPr="004C1565" w:rsidRDefault="004C1565" w:rsidP="004C1565">
      <w:pPr>
        <w:rPr>
          <w:sz w:val="24"/>
        </w:rPr>
      </w:pPr>
      <w:r w:rsidRPr="004C1565">
        <w:rPr>
          <w:sz w:val="24"/>
        </w:rPr>
        <w:t>NOTE: This Statement of Proceedings sets forth all actions taken by the Board on the matters stated, but not necessarily the chronological sequence in which the matters were taken up.</w:t>
      </w:r>
    </w:p>
    <w:p w:rsidR="004C1565" w:rsidRPr="00804C78" w:rsidRDefault="004C1565" w:rsidP="002267C4">
      <w:pPr>
        <w:jc w:val="left"/>
        <w:rPr>
          <w:sz w:val="24"/>
          <w:szCs w:val="24"/>
        </w:rPr>
      </w:pPr>
    </w:p>
    <w:sectPr w:rsidR="004C1565" w:rsidRPr="00804C78" w:rsidSect="00921AA4">
      <w:footerReference w:type="even" r:id="rId11"/>
      <w:footerReference w:type="default" r:id="rId12"/>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1F6F6C" w:rsidRPr="007276A8" w:rsidRDefault="00C9664D" w:rsidP="00CD28EC">
    <w:pPr>
      <w:pStyle w:val="Footer"/>
      <w:tabs>
        <w:tab w:val="clear" w:pos="8640"/>
        <w:tab w:val="right" w:pos="9360"/>
      </w:tabs>
    </w:pPr>
    <w:sdt>
      <w:sdtPr>
        <w:rPr>
          <w:sz w:val="20"/>
          <w:szCs w:val="20"/>
        </w:rPr>
        <w:alias w:val="MTG_DATE_TIME"/>
        <w:tag w:val="MTG_DATE_TIME"/>
        <w:id w:val="-477379549"/>
        <w:lock w:val="sdtContentLocked"/>
      </w:sdtPr>
      <w:sdtEndPr/>
      <w:sdtContent>
        <w:r w:rsidR="00E20D0E">
          <w:t>WEDNESDAY, JUNE 12, 2013</w:t>
        </w:r>
        <w:r w:rsidR="00CD28EC">
          <w:t xml:space="preserve"> – SPECIAL MEETING</w:t>
        </w:r>
      </w:sdtContent>
    </w:sdt>
    <w:r w:rsidR="00B078C6">
      <w:rPr>
        <w:sz w:val="20"/>
        <w:szCs w:val="20"/>
      </w:rPr>
      <w:tab/>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6</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F868C9"/>
    <w:multiLevelType w:val="multilevel"/>
    <w:tmpl w:val="7EE21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394"/>
    <w:rsid w:val="0001178D"/>
    <w:rsid w:val="00013CA4"/>
    <w:rsid w:val="00017C62"/>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3485"/>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C1565"/>
    <w:rsid w:val="004D4973"/>
    <w:rsid w:val="004D4D5C"/>
    <w:rsid w:val="004E53D7"/>
    <w:rsid w:val="004E546A"/>
    <w:rsid w:val="004F0DE6"/>
    <w:rsid w:val="004F7491"/>
    <w:rsid w:val="005004A2"/>
    <w:rsid w:val="005045A9"/>
    <w:rsid w:val="00507292"/>
    <w:rsid w:val="00517AF8"/>
    <w:rsid w:val="0052417E"/>
    <w:rsid w:val="00524613"/>
    <w:rsid w:val="005276A2"/>
    <w:rsid w:val="00533580"/>
    <w:rsid w:val="00547418"/>
    <w:rsid w:val="00547B7E"/>
    <w:rsid w:val="00550A76"/>
    <w:rsid w:val="00553689"/>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959A6"/>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56B1"/>
    <w:rsid w:val="007A7065"/>
    <w:rsid w:val="007C04DD"/>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5395"/>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62652"/>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9664D"/>
    <w:rsid w:val="00CA5039"/>
    <w:rsid w:val="00CB2895"/>
    <w:rsid w:val="00CB3281"/>
    <w:rsid w:val="00CB418A"/>
    <w:rsid w:val="00CB79ED"/>
    <w:rsid w:val="00CD28EC"/>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098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16C5"/>
    <w:rsid w:val="00EB5FD9"/>
    <w:rsid w:val="00EC5A9D"/>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B727B"/>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017C62"/>
    <w:pPr>
      <w:tabs>
        <w:tab w:val="right" w:pos="5760"/>
        <w:tab w:val="right" w:pos="6480"/>
        <w:tab w:val="right" w:pos="7200"/>
        <w:tab w:val="right" w:pos="7920"/>
        <w:tab w:val="right" w:pos="8640"/>
      </w:tabs>
      <w:ind w:left="360" w:hanging="360"/>
    </w:pPr>
    <w:rPr>
      <w:sz w:val="24"/>
      <w:szCs w:val="20"/>
    </w:rPr>
  </w:style>
  <w:style w:type="character" w:customStyle="1" w:styleId="JustifiedCOBCharChar">
    <w:name w:val="Justified_COB Char Char"/>
    <w:basedOn w:val="DefaultParagraphFont"/>
    <w:link w:val="JustifiedCOB"/>
    <w:rsid w:val="004C156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6F4A1BA0-77E3-4521-A6AC-0E0F6430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12</cp:revision>
  <cp:lastPrinted>2013-06-10T18:32:00Z</cp:lastPrinted>
  <dcterms:created xsi:type="dcterms:W3CDTF">2013-06-12T16:09:00Z</dcterms:created>
  <dcterms:modified xsi:type="dcterms:W3CDTF">2013-06-12T23:07:00Z</dcterms:modified>
</cp:coreProperties>
</file>