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400394" w:rsidRDefault="00400394">
            <w:pPr>
              <w:tabs>
                <w:tab w:val="left" w:pos="245"/>
                <w:tab w:val="left" w:pos="2549"/>
                <w:tab w:val="left" w:pos="2693"/>
                <w:tab w:val="left" w:pos="4565"/>
                <w:tab w:val="left" w:pos="4853"/>
                <w:tab w:val="left" w:pos="8309"/>
              </w:tabs>
              <w:jc w:val="center"/>
            </w:pPr>
            <w:r>
              <w:t>STATEMENT OF PROCEEDINGS</w:t>
            </w:r>
          </w:p>
          <w:p w:rsidR="00690459" w:rsidRDefault="00C75169">
            <w:pPr>
              <w:tabs>
                <w:tab w:val="left" w:pos="245"/>
                <w:tab w:val="left" w:pos="2549"/>
                <w:tab w:val="left" w:pos="2693"/>
                <w:tab w:val="left" w:pos="4565"/>
                <w:tab w:val="left" w:pos="4853"/>
                <w:tab w:val="left" w:pos="8309"/>
              </w:tabs>
              <w:jc w:val="center"/>
            </w:pPr>
            <w:r>
              <w:t>COUNTY OF SAN DIEGO BOARD OF SUPERVISORS</w:t>
            </w:r>
          </w:p>
          <w:p w:rsidR="00690459" w:rsidRDefault="00C75169">
            <w:pPr>
              <w:tabs>
                <w:tab w:val="left" w:pos="245"/>
                <w:tab w:val="left" w:pos="2549"/>
                <w:tab w:val="left" w:pos="2693"/>
                <w:tab w:val="left" w:pos="4565"/>
                <w:tab w:val="left" w:pos="4853"/>
                <w:tab w:val="left" w:pos="8309"/>
              </w:tabs>
              <w:jc w:val="center"/>
            </w:pPr>
            <w:r>
              <w:t>REGULAR MEETING - PLANNING AND LAND USE MATTERS</w:t>
            </w:r>
          </w:p>
          <w:bookmarkStart w:id="0" w:name="MeetingDate" w:displacedByCustomXml="next"/>
          <w:bookmarkEnd w:id="0" w:displacedByCustomXml="next"/>
          <w:customXml w:uri="regular-agenda-item" w:element="DATE_TIME">
            <w:p w:rsidR="00690459" w:rsidRDefault="009C659C">
              <w:pPr>
                <w:tabs>
                  <w:tab w:val="left" w:pos="245"/>
                  <w:tab w:val="left" w:pos="2549"/>
                  <w:tab w:val="left" w:pos="2693"/>
                  <w:tab w:val="left" w:pos="4565"/>
                  <w:tab w:val="left" w:pos="4853"/>
                  <w:tab w:val="left" w:pos="8309"/>
                </w:tabs>
                <w:jc w:val="center"/>
              </w:pPr>
              <w:r>
                <w:rPr>
                  <w:b/>
                </w:rPr>
                <w:t>WEDNESDAY, OCTOBER 26, 2011</w:t>
              </w:r>
            </w:p>
          </w:customXml>
          <w:customXml w:uri="regular-agenda-item" w:element="LOCATION">
            <w:p w:rsidR="00690459" w:rsidRDefault="009C659C">
              <w:pPr>
                <w:tabs>
                  <w:tab w:val="left" w:pos="245"/>
                  <w:tab w:val="left" w:pos="2549"/>
                  <w:tab w:val="left" w:pos="2693"/>
                  <w:tab w:val="left" w:pos="4565"/>
                  <w:tab w:val="left" w:pos="4853"/>
                  <w:tab w:val="left" w:pos="8309"/>
                </w:tabs>
                <w:jc w:val="center"/>
              </w:pPr>
              <w:r>
                <w:t>Board of Supervisors North Chamber</w:t>
              </w:r>
            </w:p>
          </w:customXml>
          <w:p w:rsidR="00690459" w:rsidRDefault="00C75169">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690459" w:rsidRDefault="00690459">
            <w:pPr>
              <w:tabs>
                <w:tab w:val="left" w:pos="245"/>
                <w:tab w:val="left" w:pos="2549"/>
                <w:tab w:val="left" w:pos="2693"/>
                <w:tab w:val="left" w:pos="4565"/>
                <w:tab w:val="left" w:pos="4853"/>
                <w:tab w:val="left" w:pos="8309"/>
              </w:tabs>
            </w:pPr>
          </w:p>
          <w:p w:rsidR="00690459" w:rsidRDefault="00690459"/>
          <w:p w:rsidR="00400394" w:rsidRDefault="00400394" w:rsidP="00400394">
            <w:pPr>
              <w:tabs>
                <w:tab w:val="left" w:pos="0"/>
                <w:tab w:val="left" w:pos="90"/>
              </w:tabs>
              <w:spacing w:after="240"/>
            </w:pPr>
            <w:r w:rsidRPr="00686B95">
              <w:t>REGULAR SESSION – Regular Mee</w:t>
            </w:r>
            <w:r w:rsidR="00C20ED7">
              <w:t>ting was called to order at 9:04</w:t>
            </w:r>
            <w:r w:rsidRPr="00686B95">
              <w:t xml:space="preserve"> a.m.</w:t>
            </w:r>
          </w:p>
          <w:p w:rsidR="00400394" w:rsidRDefault="00400394" w:rsidP="00400394">
            <w:pPr>
              <w:tabs>
                <w:tab w:val="left" w:pos="0"/>
              </w:tabs>
              <w:spacing w:after="240"/>
            </w:pPr>
            <w:r w:rsidRPr="00686B95">
              <w:t>Present: Supervisors</w:t>
            </w:r>
            <w:r>
              <w:t xml:space="preserve"> </w:t>
            </w:r>
            <w:r w:rsidRPr="00686B95">
              <w:t>Bill Horn</w:t>
            </w:r>
            <w:r>
              <w:t>, Chair</w:t>
            </w:r>
            <w:r w:rsidRPr="00686B95">
              <w:t>man;</w:t>
            </w:r>
            <w:r>
              <w:t xml:space="preserve"> </w:t>
            </w:r>
            <w:r w:rsidRPr="00686B95">
              <w:t>Ron R</w:t>
            </w:r>
            <w:r>
              <w:t>oberts</w:t>
            </w:r>
            <w:r w:rsidRPr="00686B95">
              <w:t xml:space="preserve">, Vice Chairman; Greg Cox; </w:t>
            </w:r>
            <w:r>
              <w:t xml:space="preserve">            </w:t>
            </w:r>
            <w:r w:rsidRPr="00686B95">
              <w:t>Dianne Jacob; Pam Slater-Price</w:t>
            </w:r>
            <w:r>
              <w:t xml:space="preserve">; </w:t>
            </w:r>
            <w:r w:rsidRPr="005E2DD3">
              <w:t xml:space="preserve">also </w:t>
            </w:r>
            <w:r>
              <w:t>David C. Hall, Assistant Clerk of the Board.</w:t>
            </w:r>
          </w:p>
          <w:customXml w:uri="regular-agenda-item" w:element="PREV_MTG_DATE_TEXT">
            <w:p w:rsidR="00400394" w:rsidRDefault="00C75169" w:rsidP="00400394">
              <w:pPr>
                <w:spacing w:after="240"/>
              </w:pPr>
              <w:proofErr w:type="gramStart"/>
              <w:r>
                <w:t>Approval of Statement of Board of Supervisor’s Proceedings/Minutes for the Meeting</w:t>
              </w:r>
              <w:bookmarkStart w:id="1" w:name="PrevMeetingDate"/>
              <w:bookmarkEnd w:id="1"/>
              <w:customXml w:uri="regular-agenda-item" w:element="PREV_MTG_DATE">
                <w:r>
                  <w:t xml:space="preserve"> </w:t>
                </w:r>
                <w:r w:rsidR="00400394">
                  <w:t xml:space="preserve">                </w:t>
                </w:r>
                <w:r w:rsidR="006912B6">
                  <w:t>October 12, 2011.</w:t>
                </w:r>
                <w:proofErr w:type="gramEnd"/>
              </w:customXml>
            </w:p>
            <w:p w:rsidR="00400394" w:rsidRPr="00686B95" w:rsidRDefault="00400394" w:rsidP="00400394">
              <w:pPr>
                <w:rPr>
                  <w:b/>
                  <w:bCs/>
                </w:rPr>
              </w:pPr>
              <w:r w:rsidRPr="00686B95">
                <w:rPr>
                  <w:b/>
                </w:rPr>
                <w:t>ACTION:</w:t>
              </w:r>
            </w:p>
            <w:p w:rsidR="00690459" w:rsidRDefault="00400394" w:rsidP="00400394">
              <w:pPr>
                <w:tabs>
                  <w:tab w:val="left" w:pos="0"/>
                </w:tabs>
                <w:spacing w:after="240"/>
              </w:pPr>
              <w:r>
                <w:t xml:space="preserve">ON MOTION of Supervisor </w:t>
              </w:r>
              <w:r w:rsidR="00C20ED7">
                <w:t>Slater-Price</w:t>
              </w:r>
              <w:r>
                <w:t xml:space="preserve">, seconded by Supervisor </w:t>
              </w:r>
              <w:r w:rsidR="00C20ED7">
                <w:t>Jacob,</w:t>
              </w:r>
              <w:r>
                <w:t xml:space="preserve"> the Board of Supervisors </w:t>
              </w:r>
              <w:r w:rsidRPr="00686B95">
                <w:t xml:space="preserve">approved the Statement of Proceedings/Minutes for </w:t>
              </w:r>
              <w:r>
                <w:t xml:space="preserve">the </w:t>
              </w:r>
              <w:r w:rsidRPr="00686B95">
                <w:t xml:space="preserve">Meeting of </w:t>
              </w:r>
              <w:r w:rsidR="00360B19">
                <w:t xml:space="preserve">                 </w:t>
              </w:r>
              <w:r>
                <w:t>October 12, 2011.</w:t>
              </w:r>
            </w:p>
          </w:customXml>
          <w:p w:rsidR="00400394" w:rsidRDefault="00400394" w:rsidP="00400394">
            <w:pPr>
              <w:tabs>
                <w:tab w:val="left" w:pos="0"/>
                <w:tab w:val="left" w:pos="90"/>
              </w:tabs>
              <w:ind w:left="86" w:hanging="86"/>
            </w:pPr>
            <w:r>
              <w:t>AYES:  Cox, Jacob, Slater-Price, Horn</w:t>
            </w:r>
          </w:p>
          <w:p w:rsidR="00C20ED7" w:rsidRDefault="00C20ED7" w:rsidP="00400394">
            <w:pPr>
              <w:tabs>
                <w:tab w:val="left" w:pos="0"/>
                <w:tab w:val="left" w:pos="90"/>
              </w:tabs>
              <w:ind w:left="86" w:hanging="86"/>
            </w:pPr>
            <w:r>
              <w:t>ABSENT: Roberts</w:t>
            </w:r>
          </w:p>
          <w:p w:rsidR="009D3247" w:rsidRDefault="009D3247" w:rsidP="009D3247"/>
          <w:p w:rsidR="00690459" w:rsidRDefault="009D3247" w:rsidP="00400394">
            <w:r>
              <w:t>Celebrating the J.B. Askew Building (Time Certain: 11</w:t>
            </w:r>
            <w:r w:rsidR="00DC5867">
              <w:t>:00</w:t>
            </w:r>
            <w:r>
              <w:t xml:space="preserve"> a.m</w:t>
            </w:r>
            <w:r w:rsidR="00400394">
              <w:t>., 1700 Pacific Highway,              San Diego, California</w:t>
            </w:r>
            <w:r w:rsidR="005D4B61">
              <w:t>)</w:t>
            </w:r>
          </w:p>
        </w:customXml>
        <w:p w:rsidR="00690459" w:rsidRDefault="00690459"/>
        <w:p w:rsidR="00690459" w:rsidRDefault="00690459"/>
        <w:p w:rsidR="00690459" w:rsidRDefault="00C75169">
          <w:pPr>
            <w:tabs>
              <w:tab w:val="center" w:pos="5450"/>
              <w:tab w:val="left" w:pos="8640"/>
            </w:tabs>
            <w:jc w:val="center"/>
            <w:rPr>
              <w:b/>
            </w:rPr>
          </w:pPr>
          <w:r>
            <w:rPr>
              <w:b/>
            </w:rPr>
            <w:t>Board of Supervisors’ Agenda Items</w:t>
          </w:r>
        </w:p>
        <w:p w:rsidR="00690459" w:rsidRDefault="00690459">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690459">
              <w:customXml w:uri="regular-agenda-item" w:element="AGENDA_INDEX">
                <w:tc>
                  <w:tcPr>
                    <w:tcW w:w="864" w:type="dxa"/>
                  </w:tcPr>
                  <w:p w:rsidR="00690459" w:rsidRDefault="00690459">
                    <w:pPr>
                      <w:pStyle w:val="BLTemplate"/>
                      <w:jc w:val="center"/>
                    </w:pPr>
                    <w:r>
                      <w:t>1.</w:t>
                    </w:r>
                  </w:p>
                </w:tc>
              </w:customXml>
              <w:customXml w:uri="regular-agenda-item" w:element="SUBJECT">
                <w:tc>
                  <w:tcPr>
                    <w:tcW w:w="8496" w:type="dxa"/>
                  </w:tcPr>
                  <w:p w:rsidR="00DC5867" w:rsidRDefault="00903611" w:rsidP="001658CA">
                    <w:pPr>
                      <w:pStyle w:val="JustifiedCOB"/>
                      <w:spacing w:after="0"/>
                    </w:pPr>
                    <w:r>
                      <w:fldChar w:fldCharType="begin"/>
                    </w:r>
                    <w:r w:rsidR="00687084">
                      <w:instrText xml:space="preserve"> MacroButton NoMacro </w:instrText>
                    </w:r>
                    <w:r>
                      <w:fldChar w:fldCharType="end"/>
                    </w:r>
                    <w:r w:rsidR="00687084">
                      <w:t>SUNSET REVIEW OF BOARD OF SUPERVISORS POLICY I-63, GENERAL PLAN AMENDMENTS AN</w:t>
                    </w:r>
                    <w:r w:rsidR="001658CA">
                      <w:t xml:space="preserve">D ZONING GUIDELINES, POD11-009 </w:t>
                    </w:r>
                  </w:p>
                  <w:p w:rsidR="00587C75" w:rsidRDefault="00587C75" w:rsidP="001658CA">
                    <w:pPr>
                      <w:pStyle w:val="JustifiedCOB"/>
                      <w:spacing w:after="0"/>
                    </w:pP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2.</w:t>
                    </w:r>
                  </w:p>
                </w:tc>
              </w:customXml>
              <w:customXml w:uri="regular-agenda-item" w:element="SUBJECT">
                <w:tc>
                  <w:tcPr>
                    <w:tcW w:w="8496" w:type="dxa"/>
                  </w:tcPr>
                  <w:p w:rsidR="001658CA" w:rsidRDefault="00903611" w:rsidP="001658CA">
                    <w:pPr>
                      <w:pStyle w:val="JustifiedCOB"/>
                      <w:spacing w:after="0"/>
                    </w:pPr>
                    <w:r>
                      <w:fldChar w:fldCharType="begin"/>
                    </w:r>
                    <w:r w:rsidR="00687084">
                      <w:instrText xml:space="preserve"> MacroButton NoMacro </w:instrText>
                    </w:r>
                    <w:r>
                      <w:fldChar w:fldCharType="end"/>
                    </w:r>
                    <w:r w:rsidR="00687084">
                      <w:t xml:space="preserve">ESTABLISH APPROPRIATIONS AND ADVERTISE AND AWARD A CONSTRUCTION CONTRACT FOR PARKING LOT IMPROVEMENTS AT SWEETWATER REGIONAL PARK </w:t>
                    </w:r>
                  </w:p>
                  <w:p w:rsidR="001658CA" w:rsidRDefault="001658CA" w:rsidP="001658CA">
                    <w:pPr>
                      <w:pStyle w:val="JustifiedCOB"/>
                      <w:spacing w:after="0"/>
                    </w:pPr>
                    <w:r>
                      <w:t>[FUNDING SOURCE(S</w:t>
                    </w:r>
                    <w:r w:rsidRPr="009D3247">
                      <w:rPr>
                        <w:caps/>
                      </w:rPr>
                      <w:t xml:space="preserve">):  </w:t>
                    </w:r>
                    <w:r w:rsidR="009D3247" w:rsidRPr="009D3247">
                      <w:rPr>
                        <w:caps/>
                      </w:rPr>
                      <w:t>operating transfer from the Dep</w:t>
                    </w:r>
                    <w:r w:rsidR="009D3247">
                      <w:rPr>
                        <w:caps/>
                      </w:rPr>
                      <w:t xml:space="preserve">artment of Parks and Recreation, </w:t>
                    </w:r>
                    <w:r w:rsidR="009D3247" w:rsidRPr="009D3247">
                      <w:rPr>
                        <w:caps/>
                      </w:rPr>
                      <w:t>and a transfer fro</w:t>
                    </w:r>
                    <w:r w:rsidR="009D3247">
                      <w:rPr>
                        <w:caps/>
                      </w:rPr>
                      <w:t>m completed Capital Project</w:t>
                    </w:r>
                    <w:r w:rsidR="009D3247" w:rsidRPr="009D3247">
                      <w:rPr>
                        <w:caps/>
                      </w:rPr>
                      <w:t>, Lindo Lake Boathouse Restoration</w:t>
                    </w:r>
                    <w:r w:rsidR="009D3247">
                      <w:rPr>
                        <w:caps/>
                      </w:rPr>
                      <w:t>]</w:t>
                    </w:r>
                  </w:p>
                  <w:p w:rsidR="00587C75" w:rsidRPr="001658CA" w:rsidRDefault="009D3247" w:rsidP="001658CA">
                    <w:pPr>
                      <w:pStyle w:val="JustifiedCOB"/>
                    </w:pPr>
                    <w:r>
                      <w:t>(</w:t>
                    </w:r>
                    <w:r w:rsidR="001658CA">
                      <w:t>4 VOTES</w:t>
                    </w:r>
                    <w:r>
                      <w:t>)</w:t>
                    </w:r>
                  </w:p>
                </w:tc>
              </w:customXml>
            </w:tr>
          </w:customXml>
          <w:tr w:rsidR="00746705" w:rsidTr="00746705">
            <w:tc>
              <w:tcPr>
                <w:tcW w:w="864" w:type="dxa"/>
              </w:tcPr>
              <w:p w:rsidR="00746705" w:rsidRPr="00902677" w:rsidRDefault="00746705" w:rsidP="00746705">
                <w:pPr>
                  <w:pStyle w:val="BLTemplate"/>
                  <w:jc w:val="center"/>
                  <w:rPr>
                    <w:szCs w:val="20"/>
                  </w:rPr>
                </w:pPr>
                <w:r>
                  <w:rPr>
                    <w:szCs w:val="20"/>
                  </w:rPr>
                  <w:t>3</w:t>
                </w:r>
                <w:r w:rsidRPr="00902677">
                  <w:rPr>
                    <w:szCs w:val="20"/>
                  </w:rPr>
                  <w:t>.</w:t>
                </w:r>
              </w:p>
            </w:tc>
            <w:tc>
              <w:tcPr>
                <w:tcW w:w="8496" w:type="dxa"/>
              </w:tcPr>
              <w:p w:rsidR="00746705" w:rsidRPr="007C30F9" w:rsidRDefault="00746705" w:rsidP="00746705">
                <w:pPr>
                  <w:pStyle w:val="JustifiedCOB"/>
                </w:pPr>
                <w:r>
                  <w:t>CLOSED SESSION (CARRYOVER FROM 10/24/11, AGENDA NO. 20)</w:t>
                </w:r>
              </w:p>
            </w:tc>
          </w:tr>
        </w:tbl>
        <w:p w:rsidR="00690459" w:rsidRDefault="00690459">
          <w:pPr>
            <w:tabs>
              <w:tab w:val="center" w:pos="5450"/>
              <w:tab w:val="left" w:pos="8640"/>
            </w:tabs>
            <w:rPr>
              <w:u w:val="single"/>
            </w:rPr>
          </w:pPr>
        </w:p>
        <w:p w:rsidR="006E23E7" w:rsidRDefault="006E23E7">
          <w:pPr>
            <w:tabs>
              <w:tab w:val="center" w:pos="5450"/>
              <w:tab w:val="left" w:pos="8640"/>
            </w:tabs>
            <w:rPr>
              <w:u w:val="single"/>
            </w:rPr>
          </w:pPr>
        </w:p>
        <w:p w:rsidR="006E23E7" w:rsidRDefault="006E23E7">
          <w:pPr>
            <w:tabs>
              <w:tab w:val="center" w:pos="5450"/>
              <w:tab w:val="left" w:pos="8640"/>
            </w:tabs>
            <w:rPr>
              <w:u w:val="single"/>
            </w:rPr>
          </w:pPr>
        </w:p>
        <w:p w:rsidR="00690459" w:rsidRDefault="00690459">
          <w:pPr>
            <w:tabs>
              <w:tab w:val="center" w:pos="5450"/>
              <w:tab w:val="left" w:pos="8640"/>
            </w:tabs>
            <w:rPr>
              <w:u w:val="single"/>
            </w:rPr>
          </w:pPr>
        </w:p>
        <w:p w:rsidR="001658CA" w:rsidRDefault="001658CA">
          <w:pPr>
            <w:tabs>
              <w:tab w:val="center" w:pos="5450"/>
              <w:tab w:val="left" w:pos="8640"/>
            </w:tabs>
            <w:rPr>
              <w:u w:val="single"/>
            </w:rPr>
          </w:pPr>
        </w:p>
        <w:bookmarkStart w:id="3" w:name="Catalog" w:displacedByCustomXml="next"/>
        <w:bookmarkEnd w:id="3" w:displacedByCustomXml="next"/>
        <w:customXml w:uri="regular-agenda-item" w:element="DETAILS">
          <w:p w:rsidR="00690459" w:rsidRDefault="00690459">
            <w:pPr>
              <w:tabs>
                <w:tab w:val="center" w:pos="5450"/>
                <w:tab w:val="left" w:pos="8640"/>
              </w:tabs>
              <w:rPr>
                <w:u w:val="single"/>
              </w:rPr>
            </w:pPr>
          </w:p>
          <w:tbl>
            <w:tblPr>
              <w:tblW w:w="9360" w:type="dxa"/>
              <w:tblInd w:w="198" w:type="dxa"/>
              <w:tblLayout w:type="fixed"/>
              <w:tblLook w:val="0000"/>
            </w:tblPr>
            <w:tblGrid>
              <w:gridCol w:w="900"/>
              <w:gridCol w:w="1404"/>
              <w:gridCol w:w="126"/>
              <w:gridCol w:w="6930"/>
            </w:tblGrid>
            <w:customXml w:uri="regular-agenda-item" w:element="DETAILS_ROW">
              <w:tr w:rsidR="00690459" w:rsidTr="002703DF">
                <w:customXml w:uri="regular-agenda-item" w:element="AGENDA_INDEX">
                  <w:tc>
                    <w:tcPr>
                      <w:tcW w:w="900" w:type="dxa"/>
                    </w:tcPr>
                    <w:p w:rsidR="00690459" w:rsidRDefault="00690459">
                      <w:pPr>
                        <w:pStyle w:val="BLTemplate"/>
                        <w:jc w:val="center"/>
                        <w:rPr>
                          <w:b/>
                        </w:rPr>
                      </w:pPr>
                      <w:r>
                        <w:rPr>
                          <w:b/>
                        </w:rPr>
                        <w:t>1.</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6" w:type="dxa"/>
                      <w:gridSpan w:val="2"/>
                    </w:tcPr>
                    <w:p w:rsidR="00587C75" w:rsidRDefault="00903611" w:rsidP="001658CA">
                      <w:pPr>
                        <w:pStyle w:val="JustifiedCOB"/>
                        <w:jc w:val="left"/>
                      </w:pPr>
                      <w:r>
                        <w:fldChar w:fldCharType="begin"/>
                      </w:r>
                      <w:r w:rsidR="00687084">
                        <w:instrText xml:space="preserve"> MacroButton NoMacro </w:instrText>
                      </w:r>
                      <w:r>
                        <w:fldChar w:fldCharType="end"/>
                      </w:r>
                      <w:r w:rsidR="00687084">
                        <w:rPr>
                          <w:b/>
                        </w:rPr>
                        <w:t xml:space="preserve">SUNSET REVIEW OF BOARD OF SUPERVISORS POLICY </w:t>
                      </w:r>
                      <w:r w:rsidR="001658CA">
                        <w:rPr>
                          <w:b/>
                        </w:rPr>
                        <w:t xml:space="preserve">      </w:t>
                      </w:r>
                      <w:r w:rsidR="00687084">
                        <w:rPr>
                          <w:b/>
                        </w:rPr>
                        <w:t>I-63, GENERAL PLAN AMENDMENTS AND ZONING GUIDELINES, POD11-009 (DISTRICT</w:t>
                      </w:r>
                      <w:r w:rsidR="001658CA">
                        <w:rPr>
                          <w:b/>
                        </w:rPr>
                        <w:t>S</w:t>
                      </w:r>
                      <w:r w:rsidR="00B35EB8">
                        <w:rPr>
                          <w:b/>
                        </w:rPr>
                        <w:t xml:space="preserve">: </w:t>
                      </w:r>
                      <w:r w:rsidR="00687084">
                        <w:rPr>
                          <w:b/>
                        </w:rPr>
                        <w:t xml:space="preserve">ALL) </w:t>
                      </w:r>
                    </w:p>
                  </w:tc>
                </w:customXml>
              </w:tr>
            </w:customXml>
            <w:customXml w:uri="regular-agenda-item" w:element="DETAILS_ROW">
              <w:tr w:rsidR="00690459" w:rsidTr="002703D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OVERVIEW:</w:t>
                      </w:r>
                    </w:p>
                  </w:tc>
                </w:customXml>
              </w:tr>
            </w:customXml>
            <w:customXml w:uri="regular-agenda-item" w:element="DETAILS_ROW">
              <w:tr w:rsidR="00690459" w:rsidTr="002703DF">
                <w:tc>
                  <w:tcPr>
                    <w:tcW w:w="900" w:type="dxa"/>
                  </w:tcPr>
                  <w:p w:rsidR="00690459" w:rsidRDefault="00690459">
                    <w:pPr>
                      <w:pStyle w:val="BLTemplate"/>
                      <w:jc w:val="center"/>
                      <w:rPr>
                        <w:b/>
                      </w:rPr>
                    </w:pPr>
                  </w:p>
                </w:tc>
                <w:customXml w:uri="regular-agenda-item" w:element="HEADER">
                  <w:tc>
                    <w:tcPr>
                      <w:tcW w:w="8460" w:type="dxa"/>
                      <w:gridSpan w:val="3"/>
                    </w:tcPr>
                    <w:p w:rsidR="00587C75" w:rsidRDefault="00903611">
                      <w:pPr>
                        <w:pStyle w:val="JustifiedCOB"/>
                      </w:pPr>
                      <w:r>
                        <w:fldChar w:fldCharType="begin"/>
                      </w:r>
                      <w:r w:rsidR="00687084">
                        <w:instrText xml:space="preserve"> MacroButton NoMacro </w:instrText>
                      </w:r>
                      <w:r>
                        <w:fldChar w:fldCharType="end"/>
                      </w:r>
                      <w:r w:rsidR="00687084">
                        <w:t>On August 3, 2011(1), the Board of Supervisors considered possible amendments to Board Policy I-63 (Policy) as part of the General Plan Update Board hearing.  At the hearing, the Board took no action on the proposed amendment language to the Policy and directed staff to return to the Board for further consideration. Similar to sunset review of other Board polices, the current I-63 Policy is scheduled to be reviewed for con</w:t>
                      </w:r>
                      <w:r w:rsidR="001658CA">
                        <w:t xml:space="preserve">tinuance by December 31, 2011. </w:t>
                      </w:r>
                      <w:r w:rsidR="00687084">
                        <w:t xml:space="preserve">This action constitutes the review of Board Policy I-63 to determine if the Policy should be retained, amended or eliminated. </w:t>
                      </w:r>
                    </w:p>
                    <w:p w:rsidR="00587C75" w:rsidRDefault="00687084">
                      <w:pPr>
                        <w:pStyle w:val="JustifiedCOB"/>
                      </w:pPr>
                      <w:r>
                        <w:t xml:space="preserve">Policy I-63 establishes guidelines for processing proposed amendments to the County General Plan by requiring that such amendments only be undertaken when authorized by the Board of Supervisors, the Planning Commission, or the Planning Director.  The process provides a mechanism to review amendments to allow decision makers to consider whether the County General Plan should be amended.   </w:t>
                      </w:r>
                      <w:r>
                        <w:rPr>
                          <w:vanish/>
                        </w:rPr>
                        <w:t xml:space="preserve"> </w:t>
                      </w:r>
                      <w:r w:rsidR="00903611">
                        <w:rPr>
                          <w:vanish/>
                        </w:rPr>
                        <w:fldChar w:fldCharType="begin"/>
                      </w:r>
                      <w:r>
                        <w:rPr>
                          <w:vanish/>
                        </w:rPr>
                        <w:instrText xml:space="preserve"> LISTNUM  \l 1 \s 0 </w:instrText>
                      </w:r>
                      <w:r w:rsidR="00903611">
                        <w:rPr>
                          <w:vanish/>
                        </w:rPr>
                        <w:fldChar w:fldCharType="end"/>
                      </w:r>
                    </w:p>
                  </w:tc>
                </w:customXml>
              </w:tr>
            </w:customXml>
            <w:customXml w:uri="regular-agenda-item" w:element="DETAILS_ROW">
              <w:tr w:rsidR="00690459" w:rsidTr="002703D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FISCAL IMPACT:</w:t>
                      </w:r>
                    </w:p>
                  </w:tc>
                </w:customXml>
              </w:tr>
            </w:customXml>
            <w:customXml w:uri="regular-agenda-item" w:element="DETAILS_ROW">
              <w:tr w:rsidR="00690459" w:rsidTr="002703DF">
                <w:tc>
                  <w:tcPr>
                    <w:tcW w:w="900" w:type="dxa"/>
                  </w:tcPr>
                  <w:p w:rsidR="00690459" w:rsidRDefault="00690459">
                    <w:pPr>
                      <w:pStyle w:val="BLTemplate"/>
                      <w:jc w:val="center"/>
                      <w:rPr>
                        <w:b/>
                      </w:rPr>
                    </w:pPr>
                  </w:p>
                </w:tc>
                <w:customXml w:uri="regular-agenda-item" w:element="HEADER">
                  <w:tc>
                    <w:tcPr>
                      <w:tcW w:w="8460" w:type="dxa"/>
                      <w:gridSpan w:val="3"/>
                    </w:tcPr>
                    <w:p w:rsidR="00587C75" w:rsidRDefault="00903611">
                      <w:pPr>
                        <w:pStyle w:val="JustifiedCOB"/>
                      </w:pPr>
                      <w:r>
                        <w:fldChar w:fldCharType="begin"/>
                      </w:r>
                      <w:r w:rsidR="00687084">
                        <w:instrText xml:space="preserve"> MacroButton NoMacro </w:instrText>
                      </w:r>
                      <w:r>
                        <w:fldChar w:fldCharType="end"/>
                      </w:r>
                      <w:r w:rsidR="00687084">
                        <w:t>N/A</w:t>
                      </w:r>
                      <w:r>
                        <w:rPr>
                          <w:vanish/>
                        </w:rPr>
                        <w:fldChar w:fldCharType="begin"/>
                      </w:r>
                      <w:r w:rsidR="00687084">
                        <w:rPr>
                          <w:vanish/>
                        </w:rPr>
                        <w:instrText xml:space="preserve"> LISTNUM  \l 1 \s 0 </w:instrText>
                      </w:r>
                      <w:r>
                        <w:rPr>
                          <w:vanish/>
                        </w:rPr>
                        <w:fldChar w:fldCharType="end"/>
                      </w:r>
                    </w:p>
                  </w:tc>
                </w:customXml>
              </w:tr>
            </w:customXml>
            <w:customXml w:uri="regular-agenda-item" w:element="DETAILS_ROW">
              <w:tr w:rsidR="00690459" w:rsidTr="002703D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2703DF">
                <w:tc>
                  <w:tcPr>
                    <w:tcW w:w="900" w:type="dxa"/>
                  </w:tcPr>
                  <w:p w:rsidR="00690459" w:rsidRDefault="00690459">
                    <w:pPr>
                      <w:pStyle w:val="BLTemplate"/>
                      <w:jc w:val="center"/>
                      <w:rPr>
                        <w:b/>
                      </w:rPr>
                    </w:pPr>
                  </w:p>
                </w:tc>
                <w:customXml w:uri="regular-agenda-item" w:element="HEADER">
                  <w:tc>
                    <w:tcPr>
                      <w:tcW w:w="8460" w:type="dxa"/>
                      <w:gridSpan w:val="3"/>
                    </w:tcPr>
                    <w:p w:rsidR="00587C75" w:rsidRDefault="00903611">
                      <w:pPr>
                        <w:pStyle w:val="JustifiedCOB"/>
                      </w:pPr>
                      <w:r>
                        <w:fldChar w:fldCharType="begin"/>
                      </w:r>
                      <w:r w:rsidR="00687084">
                        <w:instrText xml:space="preserve"> MacroButton NoMacro </w:instrText>
                      </w:r>
                      <w:r>
                        <w:fldChar w:fldCharType="end"/>
                      </w:r>
                      <w:r w:rsidR="00687084">
                        <w:t>N/A</w:t>
                      </w:r>
                      <w:r>
                        <w:rPr>
                          <w:vanish/>
                        </w:rPr>
                        <w:fldChar w:fldCharType="begin"/>
                      </w:r>
                      <w:r w:rsidR="00687084">
                        <w:rPr>
                          <w:vanish/>
                        </w:rPr>
                        <w:instrText xml:space="preserve"> LISTNUM  \l 1 \s 0 </w:instrText>
                      </w:r>
                      <w:r>
                        <w:rPr>
                          <w:vanish/>
                        </w:rPr>
                        <w:fldChar w:fldCharType="end"/>
                      </w:r>
                    </w:p>
                  </w:tc>
                </w:customXml>
              </w:tr>
            </w:customXml>
            <w:customXml w:uri="regular-agenda-item" w:element="DETAILS_ROW">
              <w:tr w:rsidR="00690459" w:rsidTr="002703D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RECOMMENDATION:</w:t>
                      </w:r>
                    </w:p>
                  </w:tc>
                </w:customXml>
              </w:tr>
            </w:customXml>
            <w:customXml w:uri="regular-agenda-item" w:element="DETAILS_ROW">
              <w:tr w:rsidR="00690459" w:rsidTr="002703DF">
                <w:tc>
                  <w:tcPr>
                    <w:tcW w:w="900" w:type="dxa"/>
                  </w:tcPr>
                  <w:p w:rsidR="00690459" w:rsidRDefault="00690459">
                    <w:pPr>
                      <w:pStyle w:val="BLTemplate"/>
                      <w:jc w:val="center"/>
                      <w:rPr>
                        <w:b/>
                      </w:rPr>
                    </w:pPr>
                  </w:p>
                </w:tc>
                <w:customXml w:uri="regular-agenda-item" w:element="HEADER">
                  <w:tc>
                    <w:tcPr>
                      <w:tcW w:w="8460" w:type="dxa"/>
                      <w:gridSpan w:val="3"/>
                    </w:tcPr>
                    <w:p w:rsidR="00587C75" w:rsidRDefault="00687084">
                      <w:pPr>
                        <w:pStyle w:val="BLTemplate"/>
                      </w:pPr>
                      <w:r>
                        <w:rPr>
                          <w:rStyle w:val="BoldCOB"/>
                        </w:rPr>
                        <w:t>CHIEF ADMINISTRATIVE OFFICER</w:t>
                      </w:r>
                    </w:p>
                    <w:p w:rsidR="00587C75" w:rsidRDefault="00687084">
                      <w:pPr>
                        <w:pStyle w:val="NumberListCOB"/>
                      </w:pPr>
                      <w:r>
                        <w:t>Find that the proposed project is exempt from the California Environmental Quality Act as specified under Section 15061(b)(3) of the state Guidelines for the reasons detailed in the Notice of Exemption dated  September 23, 2011, on file with the Department of Planning and Land Use, Project Number POD11-009. (Attachment J)</w:t>
                      </w:r>
                    </w:p>
                    <w:p w:rsidR="001658CA" w:rsidRPr="001658CA" w:rsidRDefault="00687084">
                      <w:pPr>
                        <w:pStyle w:val="NumberListCOB"/>
                        <w:rPr>
                          <w:vanish/>
                        </w:rPr>
                      </w:pPr>
                      <w:r>
                        <w:t>Receive staff’s report and review the alternatives submitted; approve one of the alternatives, or provide staff direction on the final form of Policy I-63 and if necessary, direct staff to return to the Board at a future hearing for further consideration.</w:t>
                      </w:r>
                      <w:r w:rsidR="00903611">
                        <w:rPr>
                          <w:vanish/>
                        </w:rPr>
                        <w:fldChar w:fldCharType="begin"/>
                      </w:r>
                      <w:r>
                        <w:rPr>
                          <w:vanish/>
                        </w:rPr>
                        <w:instrText xml:space="preserve"> LISTNUM  \l 1 \s 0 </w:instrText>
                      </w:r>
                      <w:r w:rsidR="00903611">
                        <w:rPr>
                          <w:vanish/>
                        </w:rPr>
                        <w:fldChar w:fldCharType="end"/>
                      </w:r>
                    </w:p>
                    <w:p w:rsidR="00587C75" w:rsidRDefault="00587C75" w:rsidP="002703DF">
                      <w:pPr>
                        <w:pStyle w:val="NumberListCOB"/>
                        <w:numPr>
                          <w:ilvl w:val="0"/>
                          <w:numId w:val="0"/>
                        </w:numPr>
                        <w:ind w:left="360" w:hanging="360"/>
                        <w:rPr>
                          <w:vanish/>
                        </w:rPr>
                      </w:pPr>
                    </w:p>
                  </w:tc>
                </w:customXml>
              </w:tr>
            </w:customXml>
            <w:tr w:rsidR="00336A09" w:rsidTr="00FD22B4">
              <w:tc>
                <w:tcPr>
                  <w:tcW w:w="900" w:type="dxa"/>
                </w:tcPr>
                <w:p w:rsidR="00336A09" w:rsidRDefault="00336A09" w:rsidP="00F56B93">
                  <w:pPr>
                    <w:pStyle w:val="BLTemplate"/>
                    <w:keepNext/>
                    <w:jc w:val="center"/>
                    <w:rPr>
                      <w:b/>
                    </w:rPr>
                  </w:pPr>
                </w:p>
              </w:tc>
              <w:tc>
                <w:tcPr>
                  <w:tcW w:w="8460" w:type="dxa"/>
                  <w:gridSpan w:val="3"/>
                  <w:vAlign w:val="bottom"/>
                </w:tcPr>
                <w:p w:rsidR="00336A09" w:rsidRDefault="00336A09" w:rsidP="00F56B93">
                  <w:pPr>
                    <w:pStyle w:val="BLTemplate"/>
                    <w:keepNext/>
                  </w:pPr>
                  <w:r w:rsidRPr="00AD7ED6">
                    <w:rPr>
                      <w:b/>
                    </w:rPr>
                    <w:t>ACTION:</w:t>
                  </w:r>
                </w:p>
              </w:tc>
            </w:tr>
            <w:tr w:rsidR="00336A09" w:rsidRPr="00AD7ED6" w:rsidTr="00FD22B4">
              <w:tc>
                <w:tcPr>
                  <w:tcW w:w="900" w:type="dxa"/>
                </w:tcPr>
                <w:p w:rsidR="00336A09" w:rsidRPr="00AD7ED6" w:rsidRDefault="00336A09" w:rsidP="00F56B93">
                  <w:pPr>
                    <w:pStyle w:val="BodyText"/>
                    <w:keepNext/>
                    <w:ind w:left="72"/>
                    <w:rPr>
                      <w:b/>
                    </w:rPr>
                  </w:pPr>
                </w:p>
              </w:tc>
              <w:tc>
                <w:tcPr>
                  <w:tcW w:w="8460" w:type="dxa"/>
                  <w:gridSpan w:val="3"/>
                </w:tcPr>
                <w:p w:rsidR="00DA0118" w:rsidRDefault="00DA0118" w:rsidP="00DA0118">
                  <w:r>
                    <w:t>ON MOTION of Supervisor Cox, seconded by Supervisor Roberts, the Board of Supervisors took action as recommended and directed the Chief Administrative Officer to eliminate Board Policy I-63 as it stands today and return to the Board with the following structure:</w:t>
                  </w:r>
                </w:p>
                <w:p w:rsidR="00DA0118" w:rsidRDefault="00DA0118" w:rsidP="00DA0118"/>
                <w:p w:rsidR="00DA0118" w:rsidRDefault="00DA0118" w:rsidP="00DA0118">
                  <w:r>
                    <w:t>Step One – Conduct a General Plan Amendment Review.</w:t>
                  </w:r>
                </w:p>
                <w:p w:rsidR="00DA0118" w:rsidRDefault="00DA0118" w:rsidP="00BA16C4">
                  <w:pPr>
                    <w:pStyle w:val="ListParagraph"/>
                    <w:numPr>
                      <w:ilvl w:val="0"/>
                      <w:numId w:val="16"/>
                    </w:numPr>
                    <w:spacing w:line="276" w:lineRule="auto"/>
                    <w:contextualSpacing w:val="0"/>
                  </w:pPr>
                  <w:r>
                    <w:t>This is a high-level preliminary review to analyze whether the project conforms or conflicts with the General Plan Policies and all elements of the General Plan and applicable community plans.</w:t>
                  </w:r>
                </w:p>
                <w:p w:rsidR="00DA0118" w:rsidRDefault="00DA0118" w:rsidP="00DA0118">
                  <w:pPr>
                    <w:pStyle w:val="ListParagraph"/>
                    <w:numPr>
                      <w:ilvl w:val="0"/>
                      <w:numId w:val="16"/>
                    </w:numPr>
                    <w:spacing w:line="276" w:lineRule="auto"/>
                    <w:contextualSpacing w:val="0"/>
                    <w:jc w:val="left"/>
                  </w:pPr>
                  <w:r>
                    <w:t>This is an optional step.</w:t>
                  </w:r>
                </w:p>
                <w:p w:rsidR="00DA0118" w:rsidRDefault="00DA0118" w:rsidP="00DA0118">
                  <w:pPr>
                    <w:pStyle w:val="ListParagraph"/>
                    <w:numPr>
                      <w:ilvl w:val="0"/>
                      <w:numId w:val="16"/>
                    </w:numPr>
                    <w:spacing w:line="276" w:lineRule="auto"/>
                    <w:contextualSpacing w:val="0"/>
                    <w:jc w:val="left"/>
                  </w:pPr>
                  <w:r>
                    <w:t>The cost is $3,000 to $5,000 or less.</w:t>
                  </w:r>
                </w:p>
                <w:p w:rsidR="00DA0118" w:rsidRDefault="00DA0118" w:rsidP="00DA0118">
                  <w:pPr>
                    <w:pStyle w:val="ListParagraph"/>
                    <w:numPr>
                      <w:ilvl w:val="0"/>
                      <w:numId w:val="16"/>
                    </w:numPr>
                    <w:spacing w:line="276" w:lineRule="auto"/>
                    <w:contextualSpacing w:val="0"/>
                    <w:jc w:val="left"/>
                  </w:pPr>
                  <w:r>
                    <w:t>The timeframe is 30 days or less.</w:t>
                  </w:r>
                </w:p>
                <w:p w:rsidR="00DA0118" w:rsidRDefault="00DA0118" w:rsidP="00BA16C4">
                  <w:pPr>
                    <w:pStyle w:val="ListParagraph"/>
                    <w:numPr>
                      <w:ilvl w:val="0"/>
                      <w:numId w:val="16"/>
                    </w:numPr>
                    <w:spacing w:line="276" w:lineRule="auto"/>
                    <w:contextualSpacing w:val="0"/>
                  </w:pPr>
                  <w:r>
                    <w:t>This step provides the applicant with information that allows them to decide whether or not to move forward with the project without having to submit a large upfront deposit.</w:t>
                  </w:r>
                </w:p>
                <w:p w:rsidR="00DA0118" w:rsidRDefault="00DA0118" w:rsidP="00DA0118"/>
                <w:p w:rsidR="00DA0118" w:rsidRDefault="00DA0118" w:rsidP="00DA0118">
                  <w:r>
                    <w:t>Step Two – Conduct a Major Pre-Application Meeting.</w:t>
                  </w:r>
                </w:p>
                <w:p w:rsidR="00DA0118" w:rsidRDefault="00DA0118" w:rsidP="00BA16C4">
                  <w:pPr>
                    <w:pStyle w:val="ListParagraph"/>
                    <w:numPr>
                      <w:ilvl w:val="0"/>
                      <w:numId w:val="17"/>
                    </w:numPr>
                    <w:spacing w:line="276" w:lineRule="auto"/>
                    <w:contextualSpacing w:val="0"/>
                  </w:pPr>
                  <w:r>
                    <w:t>If applicants decide to move forward they would be required to attend a major pre-application meeting with staff.</w:t>
                  </w:r>
                </w:p>
                <w:p w:rsidR="00DA0118" w:rsidRDefault="00DA0118" w:rsidP="00DA0118">
                  <w:pPr>
                    <w:pStyle w:val="ListParagraph"/>
                    <w:numPr>
                      <w:ilvl w:val="0"/>
                      <w:numId w:val="17"/>
                    </w:numPr>
                    <w:spacing w:line="276" w:lineRule="auto"/>
                    <w:contextualSpacing w:val="0"/>
                    <w:jc w:val="left"/>
                  </w:pPr>
                  <w:r>
                    <w:t>The price range is $8,000 to $11,808.</w:t>
                  </w:r>
                </w:p>
                <w:p w:rsidR="00DA0118" w:rsidRDefault="00DA0118" w:rsidP="00BA16C4">
                  <w:pPr>
                    <w:pStyle w:val="ListParagraph"/>
                    <w:numPr>
                      <w:ilvl w:val="0"/>
                      <w:numId w:val="17"/>
                    </w:numPr>
                    <w:spacing w:line="276" w:lineRule="auto"/>
                    <w:contextualSpacing w:val="0"/>
                  </w:pPr>
                  <w:r>
                    <w:t>This is what the County requires applicants for major projects to do prior to formal submittals of their project applications.</w:t>
                  </w:r>
                </w:p>
                <w:p w:rsidR="00DA0118" w:rsidRDefault="00DA0118" w:rsidP="00BA16C4">
                  <w:pPr>
                    <w:pStyle w:val="ListParagraph"/>
                    <w:numPr>
                      <w:ilvl w:val="0"/>
                      <w:numId w:val="17"/>
                    </w:numPr>
                    <w:spacing w:line="276" w:lineRule="auto"/>
                    <w:contextualSpacing w:val="0"/>
                  </w:pPr>
                  <w:r>
                    <w:t>Public notification would be given to Community Planning Groups – notification only.</w:t>
                  </w:r>
                </w:p>
                <w:p w:rsidR="00DA0118" w:rsidRDefault="00DA0118" w:rsidP="00BA16C4">
                  <w:pPr>
                    <w:pStyle w:val="ListParagraph"/>
                    <w:numPr>
                      <w:ilvl w:val="0"/>
                      <w:numId w:val="17"/>
                    </w:numPr>
                    <w:spacing w:line="276" w:lineRule="auto"/>
                    <w:contextualSpacing w:val="0"/>
                  </w:pPr>
                  <w:r>
                    <w:t>A final letter would be issued summarizing and highlighting all identifiable issues from the major pre-application process and the initial cursory review.</w:t>
                  </w:r>
                </w:p>
                <w:p w:rsidR="00DA0118" w:rsidRDefault="00DA0118" w:rsidP="00BA16C4">
                  <w:pPr>
                    <w:pStyle w:val="ListParagraph"/>
                    <w:numPr>
                      <w:ilvl w:val="0"/>
                      <w:numId w:val="17"/>
                    </w:numPr>
                    <w:spacing w:line="276" w:lineRule="auto"/>
                    <w:contextualSpacing w:val="0"/>
                  </w:pPr>
                  <w:r>
                    <w:t>Final letter would be signed off by project principals and submitted with the official project application so that the applicant is fully informed in regard to what all the issues are.</w:t>
                  </w:r>
                </w:p>
                <w:p w:rsidR="001A7382" w:rsidRDefault="001A7382" w:rsidP="00F56B93">
                  <w:pPr>
                    <w:pStyle w:val="HangingIndent"/>
                    <w:keepNext/>
                    <w:tabs>
                      <w:tab w:val="clear" w:pos="5760"/>
                      <w:tab w:val="clear" w:pos="6480"/>
                      <w:tab w:val="clear" w:pos="7200"/>
                      <w:tab w:val="clear" w:pos="7920"/>
                      <w:tab w:val="clear" w:pos="8640"/>
                    </w:tabs>
                    <w:ind w:left="0" w:firstLine="0"/>
                    <w:rPr>
                      <w:b/>
                    </w:rPr>
                  </w:pPr>
                </w:p>
                <w:p w:rsidR="00DA0118" w:rsidRPr="002703DF" w:rsidRDefault="00DA0118" w:rsidP="00DA0118">
                  <w:pPr>
                    <w:pStyle w:val="BLTemplate"/>
                    <w:rPr>
                      <w:szCs w:val="20"/>
                    </w:rPr>
                  </w:pPr>
                  <w:r w:rsidRPr="002703DF">
                    <w:rPr>
                      <w:szCs w:val="20"/>
                    </w:rPr>
                    <w:t>AYES:  Cox, Ja</w:t>
                  </w:r>
                  <w:r>
                    <w:rPr>
                      <w:szCs w:val="20"/>
                    </w:rPr>
                    <w:t>cob, Slater-Price, Roberts</w:t>
                  </w:r>
                </w:p>
                <w:p w:rsidR="00DA0118" w:rsidRPr="00DA0118" w:rsidRDefault="00DA0118" w:rsidP="00F56B93">
                  <w:pPr>
                    <w:pStyle w:val="HangingIndent"/>
                    <w:keepNext/>
                    <w:tabs>
                      <w:tab w:val="clear" w:pos="5760"/>
                      <w:tab w:val="clear" w:pos="6480"/>
                      <w:tab w:val="clear" w:pos="7200"/>
                      <w:tab w:val="clear" w:pos="7920"/>
                      <w:tab w:val="clear" w:pos="8640"/>
                    </w:tabs>
                    <w:ind w:left="0" w:firstLine="0"/>
                  </w:pPr>
                  <w:r>
                    <w:t>NO:  Horn</w:t>
                  </w:r>
                </w:p>
                <w:p w:rsidR="00DA0118" w:rsidRDefault="00DA0118" w:rsidP="00F56B93">
                  <w:pPr>
                    <w:pStyle w:val="HangingIndent"/>
                    <w:keepNext/>
                    <w:tabs>
                      <w:tab w:val="clear" w:pos="5760"/>
                      <w:tab w:val="clear" w:pos="6480"/>
                      <w:tab w:val="clear" w:pos="7200"/>
                      <w:tab w:val="clear" w:pos="7920"/>
                      <w:tab w:val="clear" w:pos="8640"/>
                    </w:tabs>
                    <w:ind w:left="0" w:firstLine="0"/>
                    <w:rPr>
                      <w:b/>
                    </w:rPr>
                  </w:pPr>
                </w:p>
                <w:p w:rsidR="00DA0118" w:rsidRPr="00AD7ED6" w:rsidRDefault="00DA0118" w:rsidP="00F56B93">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690459" w:rsidTr="002703DF">
                <w:customXml w:uri="regular-agenda-item" w:element="AGENDA_INDEX">
                  <w:tc>
                    <w:tcPr>
                      <w:tcW w:w="900" w:type="dxa"/>
                    </w:tcPr>
                    <w:p w:rsidR="00690459" w:rsidRDefault="00690459" w:rsidP="001A7382">
                      <w:pPr>
                        <w:pStyle w:val="BLTemplate"/>
                        <w:keepNext/>
                        <w:widowControl w:val="0"/>
                        <w:jc w:val="center"/>
                        <w:rPr>
                          <w:b/>
                        </w:rPr>
                      </w:pPr>
                      <w:r>
                        <w:rPr>
                          <w:b/>
                        </w:rPr>
                        <w:t>2.</w:t>
                      </w:r>
                    </w:p>
                  </w:tc>
                </w:customXml>
                <w:customXml w:uri="regular-agenda-item" w:element="CATEGORY">
                  <w:tc>
                    <w:tcPr>
                      <w:tcW w:w="1404" w:type="dxa"/>
                    </w:tcPr>
                    <w:p w:rsidR="00690459" w:rsidRDefault="00690459" w:rsidP="001A7382">
                      <w:pPr>
                        <w:pStyle w:val="BLTemplate"/>
                        <w:keepNext/>
                        <w:widowControl w:val="0"/>
                        <w:jc w:val="left"/>
                        <w:rPr>
                          <w:b/>
                        </w:rPr>
                      </w:pPr>
                      <w:r>
                        <w:rPr>
                          <w:b/>
                        </w:rPr>
                        <w:t>SUBJECT:</w:t>
                      </w:r>
                    </w:p>
                  </w:tc>
                </w:customXml>
                <w:customXml w:uri="regular-agenda-item" w:element="SUBJECT">
                  <w:tc>
                    <w:tcPr>
                      <w:tcW w:w="7056" w:type="dxa"/>
                      <w:gridSpan w:val="2"/>
                    </w:tcPr>
                    <w:p w:rsidR="00587C75" w:rsidRDefault="00903611" w:rsidP="001A7382">
                      <w:pPr>
                        <w:pStyle w:val="JustifiedCOB"/>
                        <w:keepNext/>
                        <w:widowControl w:val="0"/>
                        <w:jc w:val="left"/>
                      </w:pPr>
                      <w:r>
                        <w:fldChar w:fldCharType="begin"/>
                      </w:r>
                      <w:r w:rsidR="00687084">
                        <w:instrText xml:space="preserve"> MacroButton NoMacro </w:instrText>
                      </w:r>
                      <w:r>
                        <w:fldChar w:fldCharType="end"/>
                      </w:r>
                      <w:r w:rsidR="00687084">
                        <w:rPr>
                          <w:b/>
                        </w:rPr>
                        <w:t>ESTABLISH APPROPRIATIONS AND ADVERTISE AND AWARD A CONSTRUCTION CONTRA</w:t>
                      </w:r>
                      <w:r w:rsidR="00B35EB8">
                        <w:rPr>
                          <w:b/>
                        </w:rPr>
                        <w:t xml:space="preserve">CT FOR PARKING LOT IMPROVEMENTS </w:t>
                      </w:r>
                      <w:r w:rsidR="00687084">
                        <w:rPr>
                          <w:b/>
                        </w:rPr>
                        <w:t xml:space="preserve">AT SWEETWATER REGIONAL PARK  (DISTRICT: 1) </w:t>
                      </w:r>
                    </w:p>
                  </w:tc>
                </w:customXml>
              </w:tr>
            </w:customXml>
            <w:customXml w:uri="regular-agenda-item" w:element="DETAILS_ROW">
              <w:tr w:rsidR="00690459" w:rsidTr="002703DF">
                <w:tc>
                  <w:tcPr>
                    <w:tcW w:w="900" w:type="dxa"/>
                  </w:tcPr>
                  <w:p w:rsidR="00690459" w:rsidRDefault="00690459" w:rsidP="001658CA">
                    <w:pPr>
                      <w:pStyle w:val="BLTemplate"/>
                      <w:keepNext/>
                      <w:jc w:val="center"/>
                      <w:rPr>
                        <w:b/>
                      </w:rPr>
                    </w:pPr>
                  </w:p>
                </w:tc>
                <w:customXml w:uri="regular-agenda-item" w:element="HEADER">
                  <w:tc>
                    <w:tcPr>
                      <w:tcW w:w="8460" w:type="dxa"/>
                      <w:gridSpan w:val="3"/>
                      <w:vAlign w:val="bottom"/>
                    </w:tcPr>
                    <w:p w:rsidR="00690459" w:rsidRDefault="00690459" w:rsidP="001658CA">
                      <w:pPr>
                        <w:pStyle w:val="BLTemplate"/>
                        <w:keepNext/>
                      </w:pPr>
                      <w:r>
                        <w:rPr>
                          <w:b/>
                        </w:rPr>
                        <w:t>OVERVIEW:</w:t>
                      </w:r>
                    </w:p>
                  </w:tc>
                </w:customXml>
              </w:tr>
            </w:customXml>
            <w:customXml w:uri="regular-agenda-item" w:element="DETAILS_ROW">
              <w:tr w:rsidR="00690459" w:rsidTr="002703DF">
                <w:tc>
                  <w:tcPr>
                    <w:tcW w:w="900" w:type="dxa"/>
                  </w:tcPr>
                  <w:p w:rsidR="00690459" w:rsidRDefault="00690459" w:rsidP="001658CA">
                    <w:pPr>
                      <w:pStyle w:val="BLTemplate"/>
                      <w:keepNext/>
                      <w:jc w:val="center"/>
                      <w:rPr>
                        <w:b/>
                      </w:rPr>
                    </w:pPr>
                  </w:p>
                </w:tc>
                <w:customXml w:uri="regular-agenda-item" w:element="HEADER">
                  <w:tc>
                    <w:tcPr>
                      <w:tcW w:w="8460" w:type="dxa"/>
                      <w:gridSpan w:val="3"/>
                    </w:tcPr>
                    <w:p w:rsidR="00587C75" w:rsidRDefault="00687084" w:rsidP="001658CA">
                      <w:pPr>
                        <w:pStyle w:val="JustifiedCOB"/>
                        <w:keepNext/>
                      </w:pPr>
                      <w:r>
                        <w:t>Sweetwater Regional Park is a 205-acre facility located in the unincorporated community of Bonita (2009 Thomas Guide page</w:t>
                      </w:r>
                      <w:r>
                        <w:rPr>
                          <w:color w:val="000000"/>
                        </w:rPr>
                        <w:t xml:space="preserve"> 1291, A-6 to A-7</w:t>
                      </w:r>
                      <w:r>
                        <w:t xml:space="preserve">).  The Sweetwater </w:t>
                      </w:r>
                      <w:r>
                        <w:lastRenderedPageBreak/>
                        <w:t>Regional Park is comprised of the Sweetwater Summit Campground and a local park.  The campground offers a variety of recreational activities to the public including</w:t>
                      </w:r>
                      <w:r w:rsidR="00061460">
                        <w:t xml:space="preserve">      </w:t>
                      </w:r>
                      <w:r>
                        <w:t>107 RV campground spaces, an equestrian staging area, children playgrounds, an outdoor amphitheater, picnic pavilions, a community building, and several open picnic areas.  Adjoining the camping park and sharing the same access road is the day use park.  The day use park offers a variety of recreational activities to the public including new sheltered picnic facilities, fitness course, and dry and we</w:t>
                      </w:r>
                      <w:r w:rsidR="00FB5BE3">
                        <w:t xml:space="preserve">t children’s playground areas. </w:t>
                      </w:r>
                      <w:r>
                        <w:t xml:space="preserve">Due to the recent expansion of the Sweetwater Regional Park, current parking cannot support the added public use generated by the new facilities.  The proposed project is to construct an approximately 75 space parking lot within an existing disturbed area of the Sweetwater Summit Campground and local park.  </w:t>
                      </w:r>
                    </w:p>
                    <w:p w:rsidR="00587C75" w:rsidRDefault="00687084" w:rsidP="001658CA">
                      <w:pPr>
                        <w:pStyle w:val="JustifiedCOB"/>
                        <w:keepNext/>
                      </w:pPr>
                      <w:r>
                        <w:t xml:space="preserve">The requested action will establish appropriations of $300,000 in the Capital Outlay Fund for the Sweetwater Parking Lot Improvements project.  The requested action will also authorize the Director, Department of Purchasing and Contracting to advertise and award a construction contract estimated at $225,000, including contingency, for construction of the parking lot.  Remaining project funds, estimated at $75,000, will be used for related project costs, including soils testing, design, construction management costs, and administration costs.  If approved, the project is expected to be completed by Summer of 2012.  </w:t>
                      </w:r>
                      <w:r w:rsidR="00903611">
                        <w:rPr>
                          <w:vanish/>
                        </w:rPr>
                        <w:fldChar w:fldCharType="begin"/>
                      </w:r>
                      <w:r>
                        <w:rPr>
                          <w:vanish/>
                        </w:rPr>
                        <w:instrText xml:space="preserve"> LISTNUM  \l 1 \s 0 </w:instrText>
                      </w:r>
                      <w:r w:rsidR="00903611">
                        <w:rPr>
                          <w:vanish/>
                        </w:rPr>
                        <w:fldChar w:fldCharType="end"/>
                      </w:r>
                    </w:p>
                  </w:tc>
                </w:customXml>
              </w:tr>
            </w:customXml>
            <w:customXml w:uri="regular-agenda-item" w:element="DETAILS_ROW">
              <w:tr w:rsidR="00690459" w:rsidTr="002703D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FISCAL IMPACT:</w:t>
                      </w:r>
                    </w:p>
                  </w:tc>
                </w:customXml>
              </w:tr>
            </w:customXml>
            <w:customXml w:uri="regular-agenda-item" w:element="DETAILS_ROW">
              <w:tr w:rsidR="00690459" w:rsidTr="002703DF">
                <w:tc>
                  <w:tcPr>
                    <w:tcW w:w="900" w:type="dxa"/>
                  </w:tcPr>
                  <w:p w:rsidR="00690459" w:rsidRDefault="00690459">
                    <w:pPr>
                      <w:pStyle w:val="BLTemplate"/>
                      <w:jc w:val="center"/>
                      <w:rPr>
                        <w:b/>
                      </w:rPr>
                    </w:pPr>
                  </w:p>
                </w:tc>
                <w:customXml w:uri="regular-agenda-item" w:element="HEADER">
                  <w:tc>
                    <w:tcPr>
                      <w:tcW w:w="8460" w:type="dxa"/>
                      <w:gridSpan w:val="3"/>
                    </w:tcPr>
                    <w:p w:rsidR="00587C75" w:rsidRDefault="00903611">
                      <w:pPr>
                        <w:pStyle w:val="JustifiedCOB"/>
                      </w:pPr>
                      <w:r>
                        <w:rPr>
                          <w:highlight w:val="yellow"/>
                        </w:rPr>
                        <w:fldChar w:fldCharType="begin"/>
                      </w:r>
                      <w:r w:rsidR="00687084">
                        <w:rPr>
                          <w:highlight w:val="yellow"/>
                        </w:rPr>
                        <w:instrText xml:space="preserve"> MacroButton NoMacro </w:instrText>
                      </w:r>
                      <w:r>
                        <w:rPr>
                          <w:highlight w:val="yellow"/>
                        </w:rPr>
                        <w:fldChar w:fldCharType="end"/>
                      </w:r>
                      <w:r w:rsidR="00687084">
                        <w:t xml:space="preserve">Funds for this request are not budgeted in the Capital Outlay Fund’s Fiscal Year 2011-12 Operational Plan.  If approved, this request will result in current year costs and revenue of $300,000 for the Sweetwater Parking Lot Improvements project. The funding source is an operating transfer from the Department of Parks and Recreation ($150,000), and a transfer from completed Capital Project 1009269, </w:t>
                      </w:r>
                      <w:proofErr w:type="spellStart"/>
                      <w:r w:rsidR="00687084">
                        <w:t>Lindo</w:t>
                      </w:r>
                      <w:proofErr w:type="spellEnd"/>
                      <w:r w:rsidR="00687084">
                        <w:t xml:space="preserve"> Lake Boathouse Restoration ($150,000).</w:t>
                      </w:r>
                    </w:p>
                    <w:p w:rsidR="00587C75" w:rsidRDefault="00687084">
                      <w:pPr>
                        <w:pStyle w:val="JustifiedCOB"/>
                      </w:pPr>
                      <w:r>
                        <w:t xml:space="preserve">Construction of the parking lot is estimated at $225,000 including contingency.  Remaining project funds of $75,000 will be used for related costs including soils testing, design, construction management and administration costs.  Upon project completion, annual operations and maintenance of the proposed improvements will be provided by existing Department of Parks and Recreation staff.  There will be no additional net General Fund cost and no additional staff years.  </w:t>
                      </w:r>
                      <w:r w:rsidR="00903611">
                        <w:rPr>
                          <w:vanish/>
                        </w:rPr>
                        <w:fldChar w:fldCharType="begin"/>
                      </w:r>
                      <w:r>
                        <w:rPr>
                          <w:vanish/>
                        </w:rPr>
                        <w:instrText xml:space="preserve"> LISTNUM  \l 1 \s 0 </w:instrText>
                      </w:r>
                      <w:r w:rsidR="00903611">
                        <w:rPr>
                          <w:vanish/>
                        </w:rPr>
                        <w:fldChar w:fldCharType="end"/>
                      </w:r>
                    </w:p>
                  </w:tc>
                </w:customXml>
              </w:tr>
            </w:customXml>
            <w:customXml w:uri="regular-agenda-item" w:element="DETAILS_ROW">
              <w:tr w:rsidR="00690459" w:rsidTr="002703D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2703DF">
                <w:tc>
                  <w:tcPr>
                    <w:tcW w:w="900" w:type="dxa"/>
                  </w:tcPr>
                  <w:p w:rsidR="00690459" w:rsidRDefault="00690459">
                    <w:pPr>
                      <w:pStyle w:val="BLTemplate"/>
                      <w:jc w:val="center"/>
                      <w:rPr>
                        <w:b/>
                      </w:rPr>
                    </w:pPr>
                  </w:p>
                </w:tc>
                <w:customXml w:uri="regular-agenda-item" w:element="HEADER">
                  <w:tc>
                    <w:tcPr>
                      <w:tcW w:w="8460" w:type="dxa"/>
                      <w:gridSpan w:val="3"/>
                    </w:tcPr>
                    <w:p w:rsidR="00587C75" w:rsidRDefault="00903611">
                      <w:pPr>
                        <w:pStyle w:val="JustifiedCOB"/>
                      </w:pPr>
                      <w:r>
                        <w:fldChar w:fldCharType="begin"/>
                      </w:r>
                      <w:r w:rsidR="00687084">
                        <w:instrText xml:space="preserve"> MacroButton NoMacro </w:instrText>
                      </w:r>
                      <w:r>
                        <w:fldChar w:fldCharType="end"/>
                      </w:r>
                      <w:r w:rsidR="00687084">
                        <w:t>N/A</w:t>
                      </w:r>
                      <w:r>
                        <w:rPr>
                          <w:vanish/>
                        </w:rPr>
                        <w:fldChar w:fldCharType="begin"/>
                      </w:r>
                      <w:r w:rsidR="00687084">
                        <w:rPr>
                          <w:vanish/>
                        </w:rPr>
                        <w:instrText xml:space="preserve"> LISTNUM  \l 1 \s 0 </w:instrText>
                      </w:r>
                      <w:r>
                        <w:rPr>
                          <w:vanish/>
                        </w:rPr>
                        <w:fldChar w:fldCharType="end"/>
                      </w:r>
                    </w:p>
                  </w:tc>
                </w:customXml>
              </w:tr>
            </w:customXml>
            <w:customXml w:uri="regular-agenda-item" w:element="DETAILS_ROW">
              <w:tr w:rsidR="00690459" w:rsidTr="002703DF">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RECOMMENDATION:</w:t>
                      </w:r>
                    </w:p>
                  </w:tc>
                </w:customXml>
              </w:tr>
            </w:customXml>
            <w:customXml w:uri="regular-agenda-item" w:element="DETAILS_ROW">
              <w:tr w:rsidR="00690459" w:rsidTr="002703DF">
                <w:tc>
                  <w:tcPr>
                    <w:tcW w:w="900" w:type="dxa"/>
                  </w:tcPr>
                  <w:p w:rsidR="00690459" w:rsidRDefault="00690459">
                    <w:pPr>
                      <w:pStyle w:val="BLTemplate"/>
                      <w:jc w:val="center"/>
                      <w:rPr>
                        <w:b/>
                      </w:rPr>
                    </w:pPr>
                  </w:p>
                </w:tc>
                <w:customXml w:uri="regular-agenda-item" w:element="HEADER">
                  <w:tc>
                    <w:tcPr>
                      <w:tcW w:w="8460" w:type="dxa"/>
                      <w:gridSpan w:val="3"/>
                    </w:tcPr>
                    <w:p w:rsidR="00587C75" w:rsidRDefault="00687084">
                      <w:pPr>
                        <w:pStyle w:val="BLTemplate"/>
                      </w:pPr>
                      <w:r>
                        <w:rPr>
                          <w:rStyle w:val="BoldCOB"/>
                        </w:rPr>
                        <w:t>CHIEF ADMINISTRATIVE OFFICER</w:t>
                      </w:r>
                    </w:p>
                    <w:p w:rsidR="00587C75" w:rsidRDefault="00687084">
                      <w:pPr>
                        <w:pStyle w:val="NumberListCOB"/>
                        <w:keepNext/>
                        <w:outlineLvl w:val="4"/>
                      </w:pPr>
                      <w:r>
                        <w:t xml:space="preserve">Find that the proposed parking lot improvements project at Sweetwater Regional Park is exempt from the California Environmental Quality Act (CEQA) pursuant to CEQA Guidelines Section 15311 for the reasons stated in the Notice of Exemption.  </w:t>
                      </w:r>
                    </w:p>
                    <w:p w:rsidR="00E60146" w:rsidRDefault="00E60146" w:rsidP="00E60146">
                      <w:pPr>
                        <w:pStyle w:val="NumberListCOB"/>
                        <w:keepNext/>
                        <w:numPr>
                          <w:ilvl w:val="0"/>
                          <w:numId w:val="0"/>
                        </w:numPr>
                        <w:spacing w:after="0"/>
                        <w:ind w:left="360"/>
                        <w:outlineLvl w:val="4"/>
                      </w:pPr>
                    </w:p>
                    <w:p w:rsidR="00587C75" w:rsidRDefault="00687084">
                      <w:pPr>
                        <w:pStyle w:val="NumberListCOB"/>
                        <w:keepNext/>
                        <w:outlineLvl w:val="4"/>
                      </w:pPr>
                      <w:r>
                        <w:lastRenderedPageBreak/>
                        <w:t xml:space="preserve">Transfer appropriations of $150,000 from the Department of Parks and Recreation, services and supplies, to the Contributions to Capital Outlay Fund, Operating Transfer Out, to fund parking lot improvements at Sweetwater Summit Campground and Local Park.  </w:t>
                      </w:r>
                    </w:p>
                    <w:p w:rsidR="00587C75" w:rsidRDefault="00687084">
                      <w:pPr>
                        <w:pStyle w:val="NumberListCOB"/>
                        <w:keepNext/>
                        <w:outlineLvl w:val="4"/>
                      </w:pPr>
                      <w:r>
                        <w:t xml:space="preserve">Cancel appropriations of $150,000 and related Operating Transfer from the General Fund in the Capital Outlay Fund for Capital Project 1009269, </w:t>
                      </w:r>
                      <w:proofErr w:type="spellStart"/>
                      <w:r>
                        <w:t>Lindo</w:t>
                      </w:r>
                      <w:proofErr w:type="spellEnd"/>
                      <w:r>
                        <w:t xml:space="preserve"> Lake Boathouse Restoration to fund parking lot improvements at Sweetwater Summit Campground and Local Park.  </w:t>
                      </w:r>
                    </w:p>
                    <w:p w:rsidR="00587C75" w:rsidRDefault="00687084">
                      <w:pPr>
                        <w:pStyle w:val="NumberListCOB"/>
                        <w:keepNext/>
                        <w:outlineLvl w:val="4"/>
                      </w:pPr>
                      <w:r>
                        <w:t>Establish appropriations of $300,000 in Capital Outlay Fund for the Sweetwater Parking Lot Improvements project, based on an Operating T</w:t>
                      </w:r>
                      <w:r w:rsidR="00B35EB8">
                        <w:t xml:space="preserve">ransfer from the General Fund. </w:t>
                      </w:r>
                      <w:r>
                        <w:rPr>
                          <w:b/>
                        </w:rPr>
                        <w:t>(4 VOTES)</w:t>
                      </w:r>
                      <w:r>
                        <w:t xml:space="preserve">  </w:t>
                      </w:r>
                    </w:p>
                    <w:p w:rsidR="00587C75" w:rsidRDefault="00687084">
                      <w:pPr>
                        <w:pStyle w:val="NumberListCOB"/>
                        <w:keepNext/>
                        <w:outlineLvl w:val="4"/>
                      </w:pPr>
                      <w:r>
                        <w:t xml:space="preserve">Authorize the Director, Department of Purchasing and Contracting, to take any action necessary to advertise and award a construction contract and take other action authorized by Section 401 et seq. of the Administrative Code, with respect to contracting for the construction of the Sweetwater Parking Lot Improvements project.  </w:t>
                      </w:r>
                      <w:r w:rsidR="00903611">
                        <w:rPr>
                          <w:vanish/>
                        </w:rPr>
                        <w:fldChar w:fldCharType="begin"/>
                      </w:r>
                      <w:r>
                        <w:rPr>
                          <w:vanish/>
                        </w:rPr>
                        <w:instrText xml:space="preserve"> LISTNUM  \l 1 \s 0 </w:instrText>
                      </w:r>
                      <w:r w:rsidR="00903611">
                        <w:rPr>
                          <w:vanish/>
                        </w:rPr>
                        <w:fldChar w:fldCharType="end"/>
                      </w:r>
                    </w:p>
                  </w:tc>
                </w:customXml>
              </w:tr>
            </w:customXml>
            <w:tr w:rsidR="002703DF" w:rsidTr="002703DF">
              <w:tc>
                <w:tcPr>
                  <w:tcW w:w="900" w:type="dxa"/>
                </w:tcPr>
                <w:p w:rsidR="002703DF" w:rsidRPr="002703DF" w:rsidRDefault="002703DF" w:rsidP="00FD22B4">
                  <w:pPr>
                    <w:pStyle w:val="BLTemplate"/>
                    <w:jc w:val="center"/>
                    <w:rPr>
                      <w:szCs w:val="20"/>
                    </w:rPr>
                  </w:pPr>
                </w:p>
              </w:tc>
              <w:tc>
                <w:tcPr>
                  <w:tcW w:w="8460" w:type="dxa"/>
                  <w:gridSpan w:val="3"/>
                </w:tcPr>
                <w:p w:rsidR="002703DF" w:rsidRPr="002703DF" w:rsidRDefault="002703DF" w:rsidP="00FD22B4">
                  <w:pPr>
                    <w:pStyle w:val="BLTemplate"/>
                    <w:rPr>
                      <w:b/>
                      <w:szCs w:val="20"/>
                    </w:rPr>
                  </w:pPr>
                  <w:r w:rsidRPr="002703DF">
                    <w:rPr>
                      <w:b/>
                      <w:szCs w:val="20"/>
                    </w:rPr>
                    <w:t>ACTION:</w:t>
                  </w:r>
                </w:p>
              </w:tc>
            </w:tr>
            <w:tr w:rsidR="002703DF" w:rsidRPr="00AD7ED6" w:rsidTr="002703DF">
              <w:tc>
                <w:tcPr>
                  <w:tcW w:w="900" w:type="dxa"/>
                </w:tcPr>
                <w:p w:rsidR="002703DF" w:rsidRPr="002703DF" w:rsidRDefault="002703DF" w:rsidP="002703DF">
                  <w:pPr>
                    <w:pStyle w:val="BLTemplate"/>
                    <w:jc w:val="center"/>
                    <w:rPr>
                      <w:szCs w:val="20"/>
                    </w:rPr>
                  </w:pPr>
                </w:p>
              </w:tc>
              <w:tc>
                <w:tcPr>
                  <w:tcW w:w="8460" w:type="dxa"/>
                  <w:gridSpan w:val="3"/>
                </w:tcPr>
                <w:p w:rsidR="002703DF" w:rsidRPr="002703DF" w:rsidRDefault="002703DF" w:rsidP="002703DF">
                  <w:pPr>
                    <w:pStyle w:val="BLTemplate"/>
                    <w:rPr>
                      <w:szCs w:val="20"/>
                    </w:rPr>
                  </w:pPr>
                  <w:r w:rsidRPr="002703DF">
                    <w:rPr>
                      <w:szCs w:val="20"/>
                    </w:rPr>
                    <w:t>ON MOTION of Supervisor</w:t>
                  </w:r>
                  <w:r w:rsidR="00512CD6">
                    <w:rPr>
                      <w:szCs w:val="20"/>
                    </w:rPr>
                    <w:t xml:space="preserve"> </w:t>
                  </w:r>
                  <w:r w:rsidR="00D445D6">
                    <w:rPr>
                      <w:szCs w:val="20"/>
                    </w:rPr>
                    <w:t>Slater-Price</w:t>
                  </w:r>
                  <w:r w:rsidR="00512CD6">
                    <w:rPr>
                      <w:szCs w:val="20"/>
                    </w:rPr>
                    <w:t xml:space="preserve">, seconded by Supervisor </w:t>
                  </w:r>
                  <w:r w:rsidR="00D445D6">
                    <w:rPr>
                      <w:szCs w:val="20"/>
                    </w:rPr>
                    <w:t>Jacob</w:t>
                  </w:r>
                  <w:r w:rsidRPr="002703DF">
                    <w:rPr>
                      <w:szCs w:val="20"/>
                    </w:rPr>
                    <w:t xml:space="preserve">, the Board took action as recommended, on Consent. </w:t>
                  </w:r>
                </w:p>
                <w:p w:rsidR="002703DF" w:rsidRPr="002703DF" w:rsidRDefault="002703DF" w:rsidP="002703DF">
                  <w:pPr>
                    <w:pStyle w:val="BLTemplate"/>
                    <w:rPr>
                      <w:szCs w:val="20"/>
                    </w:rPr>
                  </w:pPr>
                </w:p>
                <w:p w:rsidR="002703DF" w:rsidRPr="002703DF" w:rsidRDefault="002703DF" w:rsidP="002703DF">
                  <w:pPr>
                    <w:pStyle w:val="BLTemplate"/>
                    <w:rPr>
                      <w:szCs w:val="20"/>
                    </w:rPr>
                  </w:pPr>
                  <w:r w:rsidRPr="002703DF">
                    <w:rPr>
                      <w:szCs w:val="20"/>
                    </w:rPr>
                    <w:t>AYES:  Cox, Jacob, Slater-Price, Roberts, Horn</w:t>
                  </w:r>
                </w:p>
                <w:p w:rsidR="002703DF" w:rsidRDefault="002703DF" w:rsidP="002703DF">
                  <w:pPr>
                    <w:pStyle w:val="BLTemplate"/>
                    <w:rPr>
                      <w:szCs w:val="20"/>
                    </w:rPr>
                  </w:pPr>
                </w:p>
                <w:p w:rsidR="00560771" w:rsidRPr="002703DF" w:rsidRDefault="00560771" w:rsidP="002703DF">
                  <w:pPr>
                    <w:pStyle w:val="BLTemplate"/>
                    <w:rPr>
                      <w:szCs w:val="20"/>
                    </w:rPr>
                  </w:pPr>
                </w:p>
              </w:tc>
            </w:tr>
            <w:tr w:rsidR="00FD22B4" w:rsidRPr="002207F8" w:rsidTr="00FD22B4">
              <w:tc>
                <w:tcPr>
                  <w:tcW w:w="900" w:type="dxa"/>
                </w:tcPr>
                <w:p w:rsidR="00FD22B4" w:rsidRPr="002207F8" w:rsidRDefault="00FD22B4" w:rsidP="006E23E7">
                  <w:pPr>
                    <w:pStyle w:val="BLTemplate"/>
                    <w:keepLines/>
                    <w:jc w:val="center"/>
                    <w:rPr>
                      <w:b/>
                    </w:rPr>
                  </w:pPr>
                  <w:r>
                    <w:rPr>
                      <w:b/>
                    </w:rPr>
                    <w:t>3</w:t>
                  </w:r>
                  <w:r w:rsidRPr="002207F8">
                    <w:rPr>
                      <w:b/>
                    </w:rPr>
                    <w:t>.</w:t>
                  </w:r>
                </w:p>
              </w:tc>
              <w:tc>
                <w:tcPr>
                  <w:tcW w:w="1530" w:type="dxa"/>
                  <w:gridSpan w:val="2"/>
                </w:tcPr>
                <w:p w:rsidR="00FD22B4" w:rsidRPr="002207F8" w:rsidRDefault="00FD22B4" w:rsidP="006E23E7">
                  <w:pPr>
                    <w:pStyle w:val="BLTemplate"/>
                    <w:keepLines/>
                    <w:jc w:val="left"/>
                    <w:rPr>
                      <w:b/>
                    </w:rPr>
                  </w:pPr>
                  <w:r w:rsidRPr="002207F8">
                    <w:rPr>
                      <w:b/>
                    </w:rPr>
                    <w:t>SUBJECT:</w:t>
                  </w:r>
                </w:p>
              </w:tc>
              <w:tc>
                <w:tcPr>
                  <w:tcW w:w="6930" w:type="dxa"/>
                </w:tcPr>
                <w:p w:rsidR="00FD22B4" w:rsidRPr="002207F8" w:rsidRDefault="00FD22B4" w:rsidP="00BB1270">
                  <w:pPr>
                    <w:pStyle w:val="JustifiedCOB"/>
                    <w:keepLines/>
                    <w:jc w:val="left"/>
                    <w:rPr>
                      <w:b/>
                    </w:rPr>
                  </w:pPr>
                  <w:r w:rsidRPr="002207F8">
                    <w:rPr>
                      <w:b/>
                      <w:caps/>
                    </w:rPr>
                    <w:t>closed session (carryove</w:t>
                  </w:r>
                  <w:r>
                    <w:rPr>
                      <w:b/>
                      <w:caps/>
                    </w:rPr>
                    <w:t>r from 10/25/11, agenda     no. 20</w:t>
                  </w:r>
                  <w:r w:rsidR="00FE22FB">
                    <w:rPr>
                      <w:b/>
                      <w:caps/>
                    </w:rPr>
                    <w:t>)</w:t>
                  </w:r>
                  <w:r>
                    <w:rPr>
                      <w:b/>
                      <w:caps/>
                    </w:rPr>
                    <w:t xml:space="preserve"> (D</w:t>
                  </w:r>
                  <w:r w:rsidRPr="002207F8">
                    <w:rPr>
                      <w:b/>
                      <w:caps/>
                    </w:rPr>
                    <w:t>istricts: all)</w:t>
                  </w:r>
                </w:p>
              </w:tc>
            </w:tr>
            <w:tr w:rsidR="00FD22B4" w:rsidRPr="002207F8" w:rsidTr="00FD22B4">
              <w:tc>
                <w:tcPr>
                  <w:tcW w:w="900" w:type="dxa"/>
                </w:tcPr>
                <w:p w:rsidR="00FD22B4" w:rsidRPr="002207F8" w:rsidRDefault="00FD22B4" w:rsidP="006E23E7">
                  <w:pPr>
                    <w:pStyle w:val="BLTemplate"/>
                    <w:keepLines/>
                    <w:jc w:val="center"/>
                    <w:rPr>
                      <w:b/>
                    </w:rPr>
                  </w:pPr>
                </w:p>
              </w:tc>
              <w:tc>
                <w:tcPr>
                  <w:tcW w:w="8460" w:type="dxa"/>
                  <w:gridSpan w:val="3"/>
                  <w:vAlign w:val="bottom"/>
                </w:tcPr>
                <w:p w:rsidR="00FD22B4" w:rsidRPr="002207F8" w:rsidRDefault="00FD22B4" w:rsidP="006E23E7">
                  <w:pPr>
                    <w:pStyle w:val="BLTemplate"/>
                    <w:keepLines/>
                  </w:pPr>
                  <w:r w:rsidRPr="002207F8">
                    <w:rPr>
                      <w:b/>
                    </w:rPr>
                    <w:t>OVERVIEW:</w:t>
                  </w:r>
                </w:p>
              </w:tc>
            </w:tr>
            <w:tr w:rsidR="006E23E7" w:rsidRPr="002207F8" w:rsidTr="00FD22B4">
              <w:tc>
                <w:tcPr>
                  <w:tcW w:w="900" w:type="dxa"/>
                </w:tcPr>
                <w:p w:rsidR="006E23E7" w:rsidRPr="002207F8" w:rsidRDefault="006E23E7" w:rsidP="006E23E7">
                  <w:pPr>
                    <w:pStyle w:val="BLTemplate"/>
                    <w:keepLines/>
                    <w:jc w:val="center"/>
                    <w:rPr>
                      <w:b/>
                    </w:rPr>
                  </w:pPr>
                </w:p>
              </w:tc>
              <w:customXml w:uri="regular-agenda-item" w:element="HEADER">
                <w:tc>
                  <w:tcPr>
                    <w:tcW w:w="8460" w:type="dxa"/>
                    <w:gridSpan w:val="3"/>
                  </w:tcPr>
                  <w:p w:rsidR="006E23E7" w:rsidRPr="0062768D" w:rsidRDefault="006E23E7" w:rsidP="006E23E7">
                    <w:pPr>
                      <w:keepLines/>
                      <w:numPr>
                        <w:ilvl w:val="0"/>
                        <w:numId w:val="10"/>
                      </w:numPr>
                      <w:ind w:left="360"/>
                      <w:rPr>
                        <w:szCs w:val="24"/>
                      </w:rPr>
                    </w:pPr>
                    <w:r w:rsidRPr="0062768D">
                      <w:rPr>
                        <w:szCs w:val="24"/>
                      </w:rPr>
                      <w:t>CONFERENCE WITH LEGAL COUNSEL - EXISTING LITIGATION</w:t>
                    </w:r>
                  </w:p>
                  <w:p w:rsidR="006E23E7" w:rsidRPr="0062768D" w:rsidRDefault="006E23E7" w:rsidP="006E23E7">
                    <w:pPr>
                      <w:pStyle w:val="BodyTextIndent2"/>
                      <w:keepLines/>
                      <w:ind w:right="58" w:hanging="385"/>
                      <w:jc w:val="both"/>
                      <w:rPr>
                        <w:sz w:val="24"/>
                        <w:szCs w:val="24"/>
                      </w:rPr>
                    </w:pPr>
                    <w:r w:rsidRPr="0062768D">
                      <w:rPr>
                        <w:sz w:val="24"/>
                        <w:szCs w:val="24"/>
                      </w:rPr>
                      <w:t>(Subdivision (a) of Government Code section 54956.9</w:t>
                    </w:r>
                  </w:p>
                  <w:p w:rsidR="006E23E7" w:rsidRPr="0062768D" w:rsidRDefault="006E23E7" w:rsidP="006E23E7">
                    <w:pPr>
                      <w:pStyle w:val="BodyTextIndent2"/>
                      <w:keepLines/>
                      <w:ind w:left="331" w:firstLine="0"/>
                      <w:jc w:val="both"/>
                      <w:rPr>
                        <w:sz w:val="24"/>
                        <w:szCs w:val="24"/>
                      </w:rPr>
                    </w:pPr>
                    <w:r w:rsidRPr="0062768D">
                      <w:rPr>
                        <w:sz w:val="24"/>
                        <w:szCs w:val="24"/>
                      </w:rPr>
                      <w:t xml:space="preserve">Stephen </w:t>
                    </w:r>
                    <w:proofErr w:type="spellStart"/>
                    <w:r w:rsidRPr="0062768D">
                      <w:rPr>
                        <w:sz w:val="24"/>
                        <w:szCs w:val="24"/>
                      </w:rPr>
                      <w:t>Tillotson</w:t>
                    </w:r>
                    <w:proofErr w:type="spellEnd"/>
                    <w:r w:rsidRPr="0062768D">
                      <w:rPr>
                        <w:sz w:val="24"/>
                        <w:szCs w:val="24"/>
                      </w:rPr>
                      <w:t xml:space="preserve"> v. Bonnie </w:t>
                    </w:r>
                    <w:proofErr w:type="spellStart"/>
                    <w:r w:rsidRPr="0062768D">
                      <w:rPr>
                        <w:sz w:val="24"/>
                        <w:szCs w:val="24"/>
                      </w:rPr>
                      <w:t>Dumanis</w:t>
                    </w:r>
                    <w:proofErr w:type="spellEnd"/>
                    <w:r w:rsidRPr="0062768D">
                      <w:rPr>
                        <w:sz w:val="24"/>
                        <w:szCs w:val="24"/>
                      </w:rPr>
                      <w:t>, et al.; United States District Court, Southern District, No. 10-CV-1343-WQH (MDD)</w:t>
                    </w:r>
                  </w:p>
                  <w:p w:rsidR="006E23E7" w:rsidRPr="0062768D" w:rsidRDefault="006E23E7" w:rsidP="006E23E7">
                    <w:pPr>
                      <w:pStyle w:val="BodyTextIndent2"/>
                      <w:keepLines/>
                      <w:ind w:right="-216"/>
                      <w:jc w:val="both"/>
                      <w:rPr>
                        <w:sz w:val="24"/>
                        <w:szCs w:val="24"/>
                      </w:rPr>
                    </w:pPr>
                  </w:p>
                  <w:p w:rsidR="006E23E7" w:rsidRPr="0062768D" w:rsidRDefault="006E23E7" w:rsidP="006E23E7">
                    <w:pPr>
                      <w:keepLines/>
                      <w:numPr>
                        <w:ilvl w:val="0"/>
                        <w:numId w:val="10"/>
                      </w:numPr>
                      <w:ind w:left="360"/>
                      <w:rPr>
                        <w:szCs w:val="24"/>
                      </w:rPr>
                    </w:pPr>
                    <w:r w:rsidRPr="0062768D">
                      <w:rPr>
                        <w:szCs w:val="24"/>
                      </w:rPr>
                      <w:t>CONFERENCE WITH LEGAL COUNSEL - ANTICIPATED LITIGATION</w:t>
                    </w:r>
                  </w:p>
                  <w:p w:rsidR="006E23E7" w:rsidRPr="0062768D" w:rsidRDefault="006E23E7" w:rsidP="006E23E7">
                    <w:pPr>
                      <w:pStyle w:val="BodyTextIndent2"/>
                      <w:keepLines/>
                      <w:ind w:left="331" w:firstLine="0"/>
                      <w:jc w:val="both"/>
                      <w:rPr>
                        <w:sz w:val="24"/>
                        <w:szCs w:val="24"/>
                      </w:rPr>
                    </w:pPr>
                    <w:r w:rsidRPr="0062768D">
                      <w:rPr>
                        <w:sz w:val="24"/>
                        <w:szCs w:val="24"/>
                      </w:rPr>
                      <w:t>Significant exposure to litigation pursuant to subdivision (b) of Government Code section 54956.9:  (Number of Potential Cases – 1)</w:t>
                    </w:r>
                  </w:p>
                  <w:p w:rsidR="006E23E7" w:rsidRPr="0062768D" w:rsidRDefault="006E23E7" w:rsidP="006E23E7">
                    <w:pPr>
                      <w:pStyle w:val="BodyTextIndent2"/>
                      <w:keepLines/>
                      <w:ind w:right="-216"/>
                      <w:jc w:val="both"/>
                      <w:rPr>
                        <w:sz w:val="24"/>
                        <w:szCs w:val="24"/>
                      </w:rPr>
                    </w:pPr>
                  </w:p>
                  <w:p w:rsidR="006E23E7" w:rsidRPr="0062768D" w:rsidRDefault="006E23E7" w:rsidP="006E23E7">
                    <w:pPr>
                      <w:keepLines/>
                      <w:numPr>
                        <w:ilvl w:val="0"/>
                        <w:numId w:val="10"/>
                      </w:numPr>
                      <w:ind w:left="360"/>
                      <w:rPr>
                        <w:szCs w:val="24"/>
                      </w:rPr>
                    </w:pPr>
                    <w:r w:rsidRPr="0062768D">
                      <w:rPr>
                        <w:szCs w:val="24"/>
                      </w:rPr>
                      <w:t>CONFERENCE WITH LEGAL COUNSEL - ANTICIPATED LITIGATION</w:t>
                    </w:r>
                  </w:p>
                  <w:p w:rsidR="006E23E7" w:rsidRPr="0062768D" w:rsidRDefault="006E23E7" w:rsidP="006E23E7">
                    <w:pPr>
                      <w:pStyle w:val="BodyTextIndent2"/>
                      <w:keepLines/>
                      <w:ind w:left="331" w:firstLine="0"/>
                      <w:jc w:val="both"/>
                      <w:rPr>
                        <w:sz w:val="24"/>
                        <w:szCs w:val="24"/>
                      </w:rPr>
                    </w:pPr>
                    <w:r w:rsidRPr="0062768D">
                      <w:rPr>
                        <w:sz w:val="24"/>
                        <w:szCs w:val="24"/>
                      </w:rPr>
                      <w:t>Significant exposure to litigation pursuant to subdivision (b) of Government Code section 54956.9:  (Number of Potential Cases – 1)</w:t>
                    </w:r>
                  </w:p>
                  <w:p w:rsidR="006E23E7" w:rsidRDefault="006E23E7" w:rsidP="006E23E7">
                    <w:pPr>
                      <w:pStyle w:val="BodyTextIndent2"/>
                      <w:keepLines/>
                      <w:ind w:right="-216"/>
                      <w:jc w:val="both"/>
                      <w:rPr>
                        <w:sz w:val="24"/>
                        <w:szCs w:val="24"/>
                      </w:rPr>
                    </w:pPr>
                  </w:p>
                  <w:p w:rsidR="00E60146" w:rsidRDefault="00E60146" w:rsidP="006E23E7">
                    <w:pPr>
                      <w:pStyle w:val="BodyTextIndent2"/>
                      <w:keepLines/>
                      <w:ind w:right="-216"/>
                      <w:jc w:val="both"/>
                      <w:rPr>
                        <w:sz w:val="24"/>
                        <w:szCs w:val="24"/>
                      </w:rPr>
                    </w:pPr>
                  </w:p>
                  <w:p w:rsidR="00E60146" w:rsidRDefault="00E60146" w:rsidP="006E23E7">
                    <w:pPr>
                      <w:pStyle w:val="BodyTextIndent2"/>
                      <w:keepLines/>
                      <w:ind w:right="-216"/>
                      <w:jc w:val="both"/>
                      <w:rPr>
                        <w:sz w:val="24"/>
                        <w:szCs w:val="24"/>
                      </w:rPr>
                    </w:pPr>
                  </w:p>
                  <w:p w:rsidR="00E60146" w:rsidRPr="0062768D" w:rsidRDefault="00E60146" w:rsidP="006E23E7">
                    <w:pPr>
                      <w:pStyle w:val="BodyTextIndent2"/>
                      <w:keepLines/>
                      <w:ind w:right="-216"/>
                      <w:jc w:val="both"/>
                      <w:rPr>
                        <w:sz w:val="24"/>
                        <w:szCs w:val="24"/>
                      </w:rPr>
                    </w:pPr>
                  </w:p>
                  <w:p w:rsidR="006E23E7" w:rsidRPr="0062768D" w:rsidRDefault="006E23E7" w:rsidP="006E23E7">
                    <w:pPr>
                      <w:keepLines/>
                      <w:numPr>
                        <w:ilvl w:val="0"/>
                        <w:numId w:val="10"/>
                      </w:numPr>
                      <w:ind w:left="360"/>
                      <w:rPr>
                        <w:szCs w:val="24"/>
                      </w:rPr>
                    </w:pPr>
                    <w:r w:rsidRPr="0062768D">
                      <w:rPr>
                        <w:szCs w:val="24"/>
                      </w:rPr>
                      <w:lastRenderedPageBreak/>
                      <w:t>CONFERENCE WITH LABOR NEGOTIATORS</w:t>
                    </w:r>
                  </w:p>
                  <w:p w:rsidR="006E23E7" w:rsidRPr="0062768D" w:rsidRDefault="006E23E7" w:rsidP="006E23E7">
                    <w:pPr>
                      <w:pStyle w:val="BodyTextIndent2"/>
                      <w:keepLines/>
                      <w:ind w:left="331" w:firstLine="0"/>
                      <w:jc w:val="both"/>
                      <w:rPr>
                        <w:sz w:val="24"/>
                        <w:szCs w:val="24"/>
                      </w:rPr>
                    </w:pPr>
                    <w:r w:rsidRPr="0062768D">
                      <w:rPr>
                        <w:sz w:val="24"/>
                        <w:szCs w:val="24"/>
                      </w:rPr>
                      <w:t>(Government Code section 54957.6)</w:t>
                    </w:r>
                  </w:p>
                  <w:p w:rsidR="006E23E7" w:rsidRPr="0062768D" w:rsidRDefault="006E23E7" w:rsidP="006E23E7">
                    <w:pPr>
                      <w:pStyle w:val="BodyTextIndent2"/>
                      <w:keepLines/>
                      <w:ind w:left="331" w:firstLine="0"/>
                      <w:jc w:val="both"/>
                      <w:rPr>
                        <w:sz w:val="24"/>
                        <w:szCs w:val="24"/>
                      </w:rPr>
                    </w:pPr>
                    <w:r w:rsidRPr="0062768D">
                      <w:rPr>
                        <w:sz w:val="24"/>
                        <w:szCs w:val="24"/>
                      </w:rPr>
                      <w:t xml:space="preserve">Designated Representatives:  Don </w:t>
                    </w:r>
                    <w:proofErr w:type="spellStart"/>
                    <w:r w:rsidRPr="0062768D">
                      <w:rPr>
                        <w:sz w:val="24"/>
                        <w:szCs w:val="24"/>
                      </w:rPr>
                      <w:t>Turko</w:t>
                    </w:r>
                    <w:proofErr w:type="spellEnd"/>
                    <w:r w:rsidRPr="0062768D">
                      <w:rPr>
                        <w:sz w:val="24"/>
                        <w:szCs w:val="24"/>
                      </w:rPr>
                      <w:t xml:space="preserve">, Susan </w:t>
                    </w:r>
                    <w:proofErr w:type="spellStart"/>
                    <w:r w:rsidRPr="0062768D">
                      <w:rPr>
                        <w:sz w:val="24"/>
                        <w:szCs w:val="24"/>
                      </w:rPr>
                      <w:t>Brazeau</w:t>
                    </w:r>
                    <w:proofErr w:type="spellEnd"/>
                  </w:p>
                  <w:p w:rsidR="006E23E7" w:rsidRDefault="006E23E7" w:rsidP="006E23E7">
                    <w:pPr>
                      <w:pStyle w:val="BodyTextIndent2"/>
                      <w:keepLines/>
                      <w:ind w:left="331" w:firstLine="0"/>
                      <w:jc w:val="both"/>
                      <w:rPr>
                        <w:sz w:val="24"/>
                        <w:szCs w:val="24"/>
                      </w:rPr>
                    </w:pPr>
                    <w:r w:rsidRPr="0062768D">
                      <w:rPr>
                        <w:sz w:val="24"/>
                        <w:szCs w:val="24"/>
                      </w:rPr>
                      <w:t>Employee Organizations:  All</w:t>
                    </w:r>
                  </w:p>
                  <w:p w:rsidR="00E85CD6" w:rsidRPr="0062768D" w:rsidRDefault="00E85CD6" w:rsidP="006E23E7">
                    <w:pPr>
                      <w:pStyle w:val="BodyTextIndent2"/>
                      <w:keepLines/>
                      <w:ind w:left="331" w:firstLine="0"/>
                      <w:jc w:val="both"/>
                      <w:rPr>
                        <w:sz w:val="24"/>
                        <w:szCs w:val="24"/>
                      </w:rPr>
                    </w:pPr>
                  </w:p>
                  <w:p w:rsidR="006E23E7" w:rsidRPr="0062768D" w:rsidRDefault="006E23E7" w:rsidP="006E23E7">
                    <w:pPr>
                      <w:keepLines/>
                      <w:numPr>
                        <w:ilvl w:val="0"/>
                        <w:numId w:val="10"/>
                      </w:numPr>
                      <w:ind w:left="360"/>
                      <w:rPr>
                        <w:szCs w:val="24"/>
                      </w:rPr>
                    </w:pPr>
                    <w:r w:rsidRPr="0062768D">
                      <w:rPr>
                        <w:szCs w:val="24"/>
                      </w:rPr>
                      <w:t>PUBLIC EMPLOYEE PERFORMANCE EVALUATION:</w:t>
                    </w:r>
                  </w:p>
                  <w:p w:rsidR="006E23E7" w:rsidRPr="0062768D" w:rsidRDefault="006E23E7" w:rsidP="006E23E7">
                    <w:pPr>
                      <w:pStyle w:val="BodyTextIndent2"/>
                      <w:keepLines/>
                      <w:ind w:left="331" w:firstLine="0"/>
                      <w:jc w:val="both"/>
                      <w:rPr>
                        <w:sz w:val="24"/>
                        <w:szCs w:val="24"/>
                      </w:rPr>
                    </w:pPr>
                    <w:r w:rsidRPr="0062768D">
                      <w:rPr>
                        <w:sz w:val="24"/>
                        <w:szCs w:val="24"/>
                      </w:rPr>
                      <w:t>(Government Code section 54957)</w:t>
                    </w:r>
                  </w:p>
                  <w:p w:rsidR="006E23E7" w:rsidRPr="0062768D" w:rsidRDefault="006E23E7" w:rsidP="006E23E7">
                    <w:pPr>
                      <w:pStyle w:val="BodyTextIndent2"/>
                      <w:keepLines/>
                      <w:ind w:left="331" w:firstLine="0"/>
                      <w:jc w:val="both"/>
                      <w:rPr>
                        <w:sz w:val="24"/>
                        <w:szCs w:val="24"/>
                      </w:rPr>
                    </w:pPr>
                    <w:r w:rsidRPr="0062768D">
                      <w:rPr>
                        <w:sz w:val="24"/>
                        <w:szCs w:val="24"/>
                      </w:rPr>
                      <w:t>Title:  Chief Administrative Officer</w:t>
                    </w:r>
                  </w:p>
                  <w:p w:rsidR="006E23E7" w:rsidRPr="0062768D" w:rsidRDefault="006E23E7" w:rsidP="006E23E7">
                    <w:pPr>
                      <w:keepLines/>
                      <w:rPr>
                        <w:szCs w:val="24"/>
                      </w:rPr>
                    </w:pPr>
                  </w:p>
                </w:tc>
              </w:customXml>
            </w:tr>
            <w:tr w:rsidR="006E23E7" w:rsidTr="00FD22B4">
              <w:tc>
                <w:tcPr>
                  <w:tcW w:w="900" w:type="dxa"/>
                </w:tcPr>
                <w:p w:rsidR="006E23E7" w:rsidRDefault="006E23E7" w:rsidP="00FD22B4">
                  <w:pPr>
                    <w:pStyle w:val="BLTemplate"/>
                    <w:keepNext/>
                    <w:rPr>
                      <w:b/>
                    </w:rPr>
                  </w:pPr>
                </w:p>
              </w:tc>
              <w:tc>
                <w:tcPr>
                  <w:tcW w:w="8460" w:type="dxa"/>
                  <w:gridSpan w:val="3"/>
                  <w:vAlign w:val="bottom"/>
                </w:tcPr>
                <w:p w:rsidR="006E23E7" w:rsidRDefault="006E23E7" w:rsidP="00FD22B4">
                  <w:pPr>
                    <w:pStyle w:val="BLTemplate"/>
                    <w:keepNext/>
                  </w:pPr>
                  <w:r>
                    <w:rPr>
                      <w:b/>
                    </w:rPr>
                    <w:t>ACTION:</w:t>
                  </w:r>
                </w:p>
              </w:tc>
            </w:tr>
            <w:tr w:rsidR="006E23E7" w:rsidTr="00FD22B4">
              <w:tc>
                <w:tcPr>
                  <w:tcW w:w="900" w:type="dxa"/>
                </w:tcPr>
                <w:p w:rsidR="006E23E7" w:rsidRDefault="006E23E7" w:rsidP="00FD22B4">
                  <w:pPr>
                    <w:pStyle w:val="BLTemplate"/>
                    <w:keepNext/>
                    <w:jc w:val="center"/>
                    <w:rPr>
                      <w:b/>
                    </w:rPr>
                  </w:pPr>
                </w:p>
              </w:tc>
              <w:tc>
                <w:tcPr>
                  <w:tcW w:w="8460" w:type="dxa"/>
                  <w:gridSpan w:val="3"/>
                  <w:vAlign w:val="bottom"/>
                </w:tcPr>
                <w:p w:rsidR="006E23E7" w:rsidRDefault="00D15C8D" w:rsidP="00FD22B4">
                  <w:pPr>
                    <w:keepNext/>
                  </w:pPr>
                  <w:r>
                    <w:t>No reportable matters.</w:t>
                  </w:r>
                </w:p>
                <w:p w:rsidR="00E60146" w:rsidRPr="00630C53" w:rsidRDefault="00E60146" w:rsidP="00FD22B4">
                  <w:pPr>
                    <w:keepNext/>
                  </w:pPr>
                </w:p>
              </w:tc>
            </w:tr>
          </w:tbl>
          <w:p w:rsidR="00FD22B4" w:rsidRDefault="00903611" w:rsidP="00CE0530"/>
        </w:customXml>
        <w:p w:rsidR="00336A09" w:rsidRPr="00CC430E" w:rsidRDefault="00336A09" w:rsidP="00336A09">
          <w:pPr>
            <w:tabs>
              <w:tab w:val="left" w:pos="-1530"/>
              <w:tab w:val="left" w:pos="-450"/>
              <w:tab w:val="left" w:pos="-360"/>
              <w:tab w:val="left" w:pos="-180"/>
              <w:tab w:val="left" w:pos="9360"/>
            </w:tabs>
          </w:pPr>
          <w:r w:rsidRPr="00CC430E">
            <w:t>There being no further bus</w:t>
          </w:r>
          <w:r w:rsidR="00360B19">
            <w:t>ine</w:t>
          </w:r>
          <w:r w:rsidR="00F161DF">
            <w:t>ss, the Board adjourned at 11:45</w:t>
          </w:r>
          <w:r w:rsidRPr="00CC430E">
            <w:t xml:space="preserve"> a.m. in memory of </w:t>
          </w:r>
          <w:r w:rsidR="00BB1270">
            <w:t xml:space="preserve">                    </w:t>
          </w:r>
          <w:r w:rsidR="00CC430E" w:rsidRPr="00CC430E">
            <w:t>William J. Schwartz Jr.</w:t>
          </w:r>
        </w:p>
        <w:p w:rsidR="00336A09" w:rsidRPr="00781044" w:rsidRDefault="00336A09" w:rsidP="00336A09">
          <w:pPr>
            <w:tabs>
              <w:tab w:val="left" w:pos="-1530"/>
              <w:tab w:val="left" w:pos="-450"/>
              <w:tab w:val="left" w:pos="-360"/>
              <w:tab w:val="left" w:pos="-180"/>
            </w:tabs>
          </w:pPr>
        </w:p>
        <w:p w:rsidR="00336A09" w:rsidRDefault="00336A09" w:rsidP="00336A09">
          <w:pPr>
            <w:tabs>
              <w:tab w:val="left" w:pos="-1530"/>
              <w:tab w:val="left" w:pos="-450"/>
              <w:tab w:val="left" w:pos="-360"/>
              <w:tab w:val="left" w:pos="-180"/>
            </w:tabs>
            <w:ind w:left="-720"/>
            <w:jc w:val="center"/>
            <w:outlineLvl w:val="0"/>
          </w:pPr>
          <w:bookmarkStart w:id="4" w:name="ClerkName"/>
          <w:bookmarkEnd w:id="4"/>
        </w:p>
        <w:p w:rsidR="00336A09" w:rsidRDefault="00336A09" w:rsidP="00336A09">
          <w:pPr>
            <w:tabs>
              <w:tab w:val="left" w:pos="-1530"/>
              <w:tab w:val="left" w:pos="-450"/>
              <w:tab w:val="left" w:pos="-360"/>
              <w:tab w:val="left" w:pos="-180"/>
            </w:tabs>
            <w:ind w:left="-720"/>
            <w:jc w:val="center"/>
            <w:outlineLvl w:val="0"/>
          </w:pPr>
        </w:p>
        <w:p w:rsidR="00336A09" w:rsidRDefault="00336A09" w:rsidP="00336A09">
          <w:pPr>
            <w:tabs>
              <w:tab w:val="left" w:pos="-1530"/>
              <w:tab w:val="left" w:pos="-450"/>
              <w:tab w:val="left" w:pos="-360"/>
              <w:tab w:val="left" w:pos="-180"/>
            </w:tabs>
            <w:ind w:left="-720"/>
            <w:jc w:val="center"/>
            <w:outlineLvl w:val="0"/>
          </w:pPr>
          <w:r>
            <w:t>THOMAS J. PASTUSZKA</w:t>
          </w:r>
        </w:p>
        <w:p w:rsidR="00336A09" w:rsidRDefault="00336A09" w:rsidP="00336A09">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5" w:name="Clerk"/>
          <w:bookmarkEnd w:id="5"/>
          <w:r>
            <w:t>Clerk of the Board of Supervisors</w:t>
          </w:r>
        </w:p>
        <w:p w:rsidR="00336A09" w:rsidRDefault="00336A09" w:rsidP="00336A09">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t>County of San Diego, State of California</w:t>
          </w:r>
        </w:p>
        <w:p w:rsidR="00336A09" w:rsidRDefault="00336A09" w:rsidP="00336A09">
          <w:pPr>
            <w:tabs>
              <w:tab w:val="left" w:pos="-1530"/>
              <w:tab w:val="left" w:pos="-450"/>
              <w:tab w:val="left" w:pos="-360"/>
              <w:tab w:val="left" w:pos="-180"/>
            </w:tabs>
          </w:pPr>
        </w:p>
        <w:p w:rsidR="00336A09" w:rsidRDefault="00336A09" w:rsidP="00336A09">
          <w:pPr>
            <w:tabs>
              <w:tab w:val="left" w:pos="-1530"/>
              <w:tab w:val="left" w:pos="-450"/>
              <w:tab w:val="left" w:pos="-360"/>
              <w:tab w:val="left" w:pos="-180"/>
            </w:tabs>
          </w:pPr>
        </w:p>
        <w:p w:rsidR="00336A09" w:rsidRDefault="00336A09" w:rsidP="00336A09">
          <w:pPr>
            <w:tabs>
              <w:tab w:val="left" w:pos="-1530"/>
              <w:tab w:val="left" w:pos="-450"/>
              <w:tab w:val="left" w:pos="-360"/>
              <w:tab w:val="left" w:pos="-180"/>
            </w:tabs>
          </w:pPr>
        </w:p>
        <w:p w:rsidR="00336A09" w:rsidRDefault="00336A09" w:rsidP="00336A09">
          <w:pPr>
            <w:tabs>
              <w:tab w:val="left" w:pos="-1530"/>
              <w:tab w:val="left" w:pos="-450"/>
              <w:tab w:val="left" w:pos="-360"/>
              <w:tab w:val="left" w:pos="-180"/>
            </w:tabs>
          </w:pPr>
          <w:r>
            <w:t>Consent:</w:t>
          </w:r>
          <w:bookmarkStart w:id="6" w:name="NotesBy"/>
          <w:bookmarkEnd w:id="6"/>
          <w:r>
            <w:t xml:space="preserve"> Santos</w:t>
          </w:r>
        </w:p>
        <w:p w:rsidR="00336A09" w:rsidRDefault="00CF5BFD" w:rsidP="00336A09">
          <w:pPr>
            <w:tabs>
              <w:tab w:val="left" w:pos="-1530"/>
              <w:tab w:val="left" w:pos="-450"/>
              <w:tab w:val="left" w:pos="-360"/>
              <w:tab w:val="left" w:pos="-180"/>
            </w:tabs>
          </w:pPr>
          <w:r>
            <w:t xml:space="preserve">Discussion: </w:t>
          </w:r>
          <w:proofErr w:type="spellStart"/>
          <w:r>
            <w:t>Panfil</w:t>
          </w:r>
          <w:proofErr w:type="spellEnd"/>
        </w:p>
        <w:p w:rsidR="00336A09" w:rsidRDefault="00336A09" w:rsidP="00336A09">
          <w:pPr>
            <w:tabs>
              <w:tab w:val="left" w:pos="-1530"/>
              <w:tab w:val="left" w:pos="-450"/>
              <w:tab w:val="left" w:pos="-360"/>
              <w:tab w:val="left" w:pos="-180"/>
            </w:tabs>
            <w:ind w:left="-720"/>
          </w:pPr>
        </w:p>
        <w:p w:rsidR="00336A09" w:rsidRDefault="00336A09" w:rsidP="00B465F7">
          <w:pPr>
            <w:tabs>
              <w:tab w:val="left" w:pos="-1530"/>
              <w:tab w:val="left" w:pos="-450"/>
              <w:tab w:val="left" w:pos="-360"/>
              <w:tab w:val="left" w:pos="-180"/>
            </w:tabs>
          </w:pPr>
          <w:r>
            <w:t xml:space="preserve">NOTE: </w:t>
          </w:r>
          <w:bookmarkStart w:id="7" w:name="Note"/>
          <w:bookmarkEnd w:id="7"/>
          <w:r>
            <w:t>This Statement of Proceedings sets forth all actions taken by the County of San Diego Board of Supervisors on the matters stated, but not necessarily the chronological sequence in which the matters were taken up.</w:t>
          </w:r>
        </w:p>
        <w:p w:rsidR="00690459" w:rsidRDefault="00903611"/>
      </w:customXml>
      <w:p w:rsidR="00690459" w:rsidRDefault="00903611"/>
    </w:customXml>
    <w:sectPr w:rsidR="00690459" w:rsidSect="00DC5867">
      <w:footerReference w:type="even" r:id="rId8"/>
      <w:footerReference w:type="default" r:id="rId9"/>
      <w:footerReference w:type="first" r:id="rId10"/>
      <w:endnotePr>
        <w:numFmt w:val="decimal"/>
      </w:endnotePr>
      <w:pgSz w:w="12240" w:h="15840" w:code="1"/>
      <w:pgMar w:top="1440" w:right="1440" w:bottom="1440" w:left="1440" w:header="144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E98" w:rsidRDefault="00485E98">
      <w:r>
        <w:separator/>
      </w:r>
    </w:p>
  </w:endnote>
  <w:endnote w:type="continuationSeparator" w:id="0">
    <w:p w:rsidR="00485E98" w:rsidRDefault="00485E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98" w:rsidRDefault="00903611">
    <w:pPr>
      <w:pStyle w:val="Footer"/>
      <w:framePr w:wrap="around" w:vAnchor="text" w:hAnchor="margin" w:xAlign="right" w:y="1"/>
      <w:rPr>
        <w:rStyle w:val="PageNumber"/>
      </w:rPr>
    </w:pPr>
    <w:r>
      <w:rPr>
        <w:rStyle w:val="PageNumber"/>
      </w:rPr>
      <w:fldChar w:fldCharType="begin"/>
    </w:r>
    <w:r w:rsidR="00485E98">
      <w:rPr>
        <w:rStyle w:val="PageNumber"/>
      </w:rPr>
      <w:instrText xml:space="preserve">PAGE  </w:instrText>
    </w:r>
    <w:r>
      <w:rPr>
        <w:rStyle w:val="PageNumber"/>
      </w:rPr>
      <w:fldChar w:fldCharType="end"/>
    </w:r>
  </w:p>
  <w:p w:rsidR="00485E98" w:rsidRDefault="00485E9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98" w:rsidRDefault="00903611">
    <w:pPr>
      <w:pStyle w:val="Footer"/>
      <w:framePr w:wrap="around" w:vAnchor="text" w:hAnchor="margin" w:xAlign="right" w:y="1"/>
      <w:rPr>
        <w:rStyle w:val="PageNumber"/>
      </w:rPr>
    </w:pPr>
    <w:r>
      <w:rPr>
        <w:rStyle w:val="PageNumber"/>
      </w:rPr>
      <w:fldChar w:fldCharType="begin"/>
    </w:r>
    <w:r w:rsidR="00485E98">
      <w:rPr>
        <w:rStyle w:val="PageNumber"/>
      </w:rPr>
      <w:instrText xml:space="preserve">PAGE  </w:instrText>
    </w:r>
    <w:r>
      <w:rPr>
        <w:rStyle w:val="PageNumber"/>
      </w:rPr>
      <w:fldChar w:fldCharType="separate"/>
    </w:r>
    <w:r w:rsidR="00BA16C4">
      <w:rPr>
        <w:rStyle w:val="PageNumber"/>
        <w:noProof/>
      </w:rPr>
      <w:t>3</w:t>
    </w:r>
    <w:r>
      <w:rPr>
        <w:rStyle w:val="PageNumber"/>
      </w:rPr>
      <w:fldChar w:fldCharType="end"/>
    </w:r>
  </w:p>
  <w:p w:rsidR="00485E98" w:rsidRDefault="00485E98">
    <w:pPr>
      <w:tabs>
        <w:tab w:val="left" w:pos="5040"/>
      </w:tabs>
      <w:ind w:right="432"/>
      <w:jc w:val="left"/>
      <w:rPr>
        <w:sz w:val="20"/>
      </w:rPr>
    </w:pPr>
    <w:r>
      <w:rPr>
        <w:sz w:val="20"/>
      </w:rPr>
      <w:t>10/26/11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98" w:rsidRDefault="00485E9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E98" w:rsidRDefault="00485E98">
      <w:r>
        <w:separator/>
      </w:r>
    </w:p>
  </w:footnote>
  <w:footnote w:type="continuationSeparator" w:id="0">
    <w:p w:rsidR="00485E98" w:rsidRDefault="00485E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715A69"/>
    <w:multiLevelType w:val="hybridMultilevel"/>
    <w:tmpl w:val="1850339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F73F64"/>
    <w:multiLevelType w:val="multilevel"/>
    <w:tmpl w:val="A9C448B0"/>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7">
    <w:nsid w:val="4DDC37E7"/>
    <w:multiLevelType w:val="hybridMultilevel"/>
    <w:tmpl w:val="0248BEF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2E4A5D"/>
    <w:multiLevelType w:val="singleLevel"/>
    <w:tmpl w:val="0409000F"/>
    <w:lvl w:ilvl="0">
      <w:start w:val="1"/>
      <w:numFmt w:val="decimal"/>
      <w:lvlText w:val="%1."/>
      <w:lvlJc w:val="left"/>
      <w:pPr>
        <w:tabs>
          <w:tab w:val="num" w:pos="360"/>
        </w:tabs>
        <w:ind w:left="360" w:hanging="360"/>
      </w:pPr>
    </w:lvl>
  </w:abstractNum>
  <w:abstractNum w:abstractNumId="10">
    <w:nsid w:val="649D1B0D"/>
    <w:multiLevelType w:val="hybridMultilevel"/>
    <w:tmpl w:val="F55444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2BB2F3D"/>
    <w:multiLevelType w:val="hybridMultilevel"/>
    <w:tmpl w:val="CF244FC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CE5320B"/>
    <w:multiLevelType w:val="hybridMultilevel"/>
    <w:tmpl w:val="6F5A5444"/>
    <w:lvl w:ilvl="0" w:tplc="2F56434C">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3"/>
  </w:num>
  <w:num w:numId="5">
    <w:abstractNumId w:val="6"/>
  </w:num>
  <w:num w:numId="6">
    <w:abstractNumId w:val="8"/>
  </w:num>
  <w:num w:numId="7">
    <w:abstractNumId w:val="6"/>
  </w:num>
  <w:num w:numId="8">
    <w:abstractNumId w:val="11"/>
  </w:num>
  <w:num w:numId="9">
    <w:abstractNumId w:val="0"/>
  </w:num>
  <w:num w:numId="10">
    <w:abstractNumId w:val="13"/>
  </w:num>
  <w:num w:numId="11">
    <w:abstractNumId w:val="7"/>
  </w:num>
  <w:num w:numId="12">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690459"/>
    <w:rsid w:val="00003C33"/>
    <w:rsid w:val="00011320"/>
    <w:rsid w:val="0006028D"/>
    <w:rsid w:val="00061460"/>
    <w:rsid w:val="000E62C7"/>
    <w:rsid w:val="000E6703"/>
    <w:rsid w:val="001630C6"/>
    <w:rsid w:val="001658CA"/>
    <w:rsid w:val="001A7382"/>
    <w:rsid w:val="001F2F73"/>
    <w:rsid w:val="0022219A"/>
    <w:rsid w:val="00244742"/>
    <w:rsid w:val="00246178"/>
    <w:rsid w:val="002703DF"/>
    <w:rsid w:val="00336A09"/>
    <w:rsid w:val="00360B19"/>
    <w:rsid w:val="003B14DA"/>
    <w:rsid w:val="003E0AD9"/>
    <w:rsid w:val="00400394"/>
    <w:rsid w:val="004028B9"/>
    <w:rsid w:val="00485E98"/>
    <w:rsid w:val="004918A1"/>
    <w:rsid w:val="004B4F57"/>
    <w:rsid w:val="004C5B56"/>
    <w:rsid w:val="00500455"/>
    <w:rsid w:val="00512CD6"/>
    <w:rsid w:val="00521239"/>
    <w:rsid w:val="00535757"/>
    <w:rsid w:val="00560771"/>
    <w:rsid w:val="00587C75"/>
    <w:rsid w:val="005D4B61"/>
    <w:rsid w:val="005E1698"/>
    <w:rsid w:val="005F5ED7"/>
    <w:rsid w:val="0060761E"/>
    <w:rsid w:val="0063167C"/>
    <w:rsid w:val="00687084"/>
    <w:rsid w:val="00690459"/>
    <w:rsid w:val="006912B6"/>
    <w:rsid w:val="006A1ED2"/>
    <w:rsid w:val="006B7573"/>
    <w:rsid w:val="006E23E7"/>
    <w:rsid w:val="00746705"/>
    <w:rsid w:val="00762AFE"/>
    <w:rsid w:val="007D374E"/>
    <w:rsid w:val="007D7D0A"/>
    <w:rsid w:val="0080117D"/>
    <w:rsid w:val="0080292A"/>
    <w:rsid w:val="008354A6"/>
    <w:rsid w:val="00836D9C"/>
    <w:rsid w:val="008408DD"/>
    <w:rsid w:val="00850B9D"/>
    <w:rsid w:val="008B1F7F"/>
    <w:rsid w:val="00903611"/>
    <w:rsid w:val="00961A98"/>
    <w:rsid w:val="00970648"/>
    <w:rsid w:val="00980054"/>
    <w:rsid w:val="009C659C"/>
    <w:rsid w:val="009D3247"/>
    <w:rsid w:val="00A101D4"/>
    <w:rsid w:val="00AB12A6"/>
    <w:rsid w:val="00B35EB8"/>
    <w:rsid w:val="00B465F7"/>
    <w:rsid w:val="00BA16C4"/>
    <w:rsid w:val="00BB1270"/>
    <w:rsid w:val="00BC636B"/>
    <w:rsid w:val="00BD13D6"/>
    <w:rsid w:val="00C20ED7"/>
    <w:rsid w:val="00C5372E"/>
    <w:rsid w:val="00C56BC9"/>
    <w:rsid w:val="00C75169"/>
    <w:rsid w:val="00CB28F5"/>
    <w:rsid w:val="00CC430E"/>
    <w:rsid w:val="00CE0530"/>
    <w:rsid w:val="00CF5BFD"/>
    <w:rsid w:val="00D15C8D"/>
    <w:rsid w:val="00D25054"/>
    <w:rsid w:val="00D445D6"/>
    <w:rsid w:val="00D46473"/>
    <w:rsid w:val="00D618CB"/>
    <w:rsid w:val="00DA0118"/>
    <w:rsid w:val="00DB1CA6"/>
    <w:rsid w:val="00DB6473"/>
    <w:rsid w:val="00DC5867"/>
    <w:rsid w:val="00DE187E"/>
    <w:rsid w:val="00DF4589"/>
    <w:rsid w:val="00E60146"/>
    <w:rsid w:val="00E85CD6"/>
    <w:rsid w:val="00ED1D37"/>
    <w:rsid w:val="00F161DF"/>
    <w:rsid w:val="00F51A12"/>
    <w:rsid w:val="00F56B93"/>
    <w:rsid w:val="00F955E8"/>
    <w:rsid w:val="00FB5BE3"/>
    <w:rsid w:val="00FD22B4"/>
    <w:rsid w:val="00FE22FB"/>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E3FD5"/>
    <w:pPr>
      <w:jc w:val="both"/>
    </w:pPr>
    <w:rPr>
      <w:sz w:val="24"/>
    </w:rPr>
  </w:style>
  <w:style w:type="paragraph" w:styleId="Heading1">
    <w:name w:val="heading 1"/>
    <w:basedOn w:val="Normal"/>
    <w:next w:val="Normal"/>
    <w:qFormat/>
    <w:rsid w:val="00FE3FD5"/>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FE3FD5"/>
    <w:pPr>
      <w:keepNext/>
      <w:spacing w:before="240" w:after="20"/>
      <w:outlineLvl w:val="1"/>
    </w:pPr>
    <w:rPr>
      <w:b/>
    </w:rPr>
  </w:style>
  <w:style w:type="paragraph" w:styleId="Heading3">
    <w:name w:val="heading 3"/>
    <w:basedOn w:val="Normal"/>
    <w:next w:val="Normal"/>
    <w:qFormat/>
    <w:rsid w:val="00FE3FD5"/>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FE3FD5"/>
    <w:pPr>
      <w:tabs>
        <w:tab w:val="left" w:pos="360"/>
      </w:tabs>
      <w:spacing w:after="240"/>
      <w:jc w:val="both"/>
    </w:pPr>
    <w:rPr>
      <w:sz w:val="24"/>
    </w:rPr>
  </w:style>
  <w:style w:type="character" w:customStyle="1" w:styleId="BoldCOB">
    <w:name w:val="Bold_COB"/>
    <w:basedOn w:val="DefaultParagraphFont"/>
    <w:rsid w:val="00FE3FD5"/>
    <w:rPr>
      <w:b/>
      <w:bCs/>
    </w:rPr>
  </w:style>
  <w:style w:type="paragraph" w:customStyle="1" w:styleId="BulletsLevel2COB">
    <w:name w:val="Bullets_Level_2_COB"/>
    <w:rsid w:val="00FE3FD5"/>
    <w:pPr>
      <w:numPr>
        <w:numId w:val="6"/>
      </w:numPr>
      <w:spacing w:after="240"/>
      <w:jc w:val="both"/>
    </w:pPr>
    <w:rPr>
      <w:sz w:val="24"/>
      <w:szCs w:val="24"/>
    </w:rPr>
  </w:style>
  <w:style w:type="character" w:customStyle="1" w:styleId="ItalicCOB">
    <w:name w:val="Italic_COB"/>
    <w:basedOn w:val="DefaultParagraphFont"/>
    <w:rsid w:val="00FE3FD5"/>
    <w:rPr>
      <w:i/>
    </w:rPr>
  </w:style>
  <w:style w:type="paragraph" w:customStyle="1" w:styleId="BLTemplate">
    <w:name w:val="BL_Template"/>
    <w:rsid w:val="00FE3FD5"/>
    <w:pPr>
      <w:jc w:val="both"/>
    </w:pPr>
    <w:rPr>
      <w:sz w:val="24"/>
      <w:szCs w:val="24"/>
    </w:rPr>
  </w:style>
  <w:style w:type="paragraph" w:customStyle="1" w:styleId="NumberListCOB">
    <w:name w:val="Number_List_COB"/>
    <w:rsid w:val="00D4048E"/>
    <w:pPr>
      <w:numPr>
        <w:numId w:val="7"/>
      </w:numPr>
      <w:tabs>
        <w:tab w:val="left" w:pos="360"/>
      </w:tabs>
      <w:spacing w:after="240"/>
      <w:jc w:val="both"/>
    </w:pPr>
    <w:rPr>
      <w:sz w:val="24"/>
    </w:rPr>
  </w:style>
  <w:style w:type="character" w:customStyle="1" w:styleId="UnderlineCOB">
    <w:name w:val="Underline_COB"/>
    <w:basedOn w:val="DefaultParagraphFont"/>
    <w:rsid w:val="00FE3FD5"/>
    <w:rPr>
      <w:u w:val="single"/>
    </w:rPr>
  </w:style>
  <w:style w:type="paragraph" w:styleId="Header">
    <w:name w:val="header"/>
    <w:basedOn w:val="Normal"/>
    <w:rsid w:val="00FE3FD5"/>
    <w:pPr>
      <w:tabs>
        <w:tab w:val="center" w:pos="4320"/>
        <w:tab w:val="right" w:pos="8640"/>
      </w:tabs>
    </w:pPr>
  </w:style>
  <w:style w:type="paragraph" w:styleId="Footer">
    <w:name w:val="footer"/>
    <w:basedOn w:val="Normal"/>
    <w:rsid w:val="00FE3FD5"/>
    <w:pPr>
      <w:tabs>
        <w:tab w:val="center" w:pos="4320"/>
        <w:tab w:val="right" w:pos="8640"/>
      </w:tabs>
    </w:pPr>
  </w:style>
  <w:style w:type="character" w:styleId="PageNumber">
    <w:name w:val="page number"/>
    <w:basedOn w:val="DefaultParagraphFont"/>
    <w:rsid w:val="00FE3FD5"/>
  </w:style>
  <w:style w:type="character" w:customStyle="1" w:styleId="BoldItalicCOB">
    <w:name w:val="Bold+Italic_COB"/>
    <w:basedOn w:val="DefaultParagraphFont"/>
    <w:rsid w:val="00FE3FD5"/>
    <w:rPr>
      <w:b/>
      <w:i/>
    </w:rPr>
  </w:style>
  <w:style w:type="character" w:customStyle="1" w:styleId="BoldUnderlineCOB">
    <w:name w:val="Bold+Underline_COB"/>
    <w:basedOn w:val="DefaultParagraphFont"/>
    <w:rsid w:val="00FE3FD5"/>
    <w:rPr>
      <w:b/>
      <w:u w:val="single"/>
    </w:rPr>
  </w:style>
  <w:style w:type="paragraph" w:customStyle="1" w:styleId="CenterCOB">
    <w:name w:val="Center_COB"/>
    <w:basedOn w:val="JustifiedCOB"/>
    <w:rsid w:val="00FE3FD5"/>
    <w:pPr>
      <w:jc w:val="center"/>
    </w:pPr>
  </w:style>
  <w:style w:type="character" w:customStyle="1" w:styleId="SubscriptCOB">
    <w:name w:val="Subscript_COB"/>
    <w:basedOn w:val="DefaultParagraphFont"/>
    <w:rsid w:val="00FE3FD5"/>
    <w:rPr>
      <w:vertAlign w:val="subscript"/>
    </w:rPr>
  </w:style>
  <w:style w:type="character" w:customStyle="1" w:styleId="SuperscriptCOB">
    <w:name w:val="Superscript_COB"/>
    <w:basedOn w:val="DefaultParagraphFont"/>
    <w:rsid w:val="00FE3FD5"/>
    <w:rPr>
      <w:vertAlign w:val="superscript"/>
    </w:rPr>
  </w:style>
  <w:style w:type="paragraph" w:customStyle="1" w:styleId="BulletsLevel1COB">
    <w:name w:val="Bullets_Level_1_COB"/>
    <w:rsid w:val="00FE3FD5"/>
    <w:pPr>
      <w:numPr>
        <w:numId w:val="9"/>
      </w:numPr>
    </w:pPr>
    <w:rPr>
      <w:sz w:val="24"/>
      <w:szCs w:val="24"/>
    </w:rPr>
  </w:style>
  <w:style w:type="character" w:styleId="Hyperlink">
    <w:name w:val="Hyperlink"/>
    <w:basedOn w:val="DefaultParagraphFont"/>
    <w:unhideWhenUsed/>
    <w:rsid w:val="001658CA"/>
    <w:rPr>
      <w:color w:val="0000FF"/>
      <w:u w:val="single"/>
    </w:rPr>
  </w:style>
  <w:style w:type="paragraph" w:styleId="ListParagraph">
    <w:name w:val="List Paragraph"/>
    <w:basedOn w:val="Normal"/>
    <w:uiPriority w:val="34"/>
    <w:qFormat/>
    <w:rsid w:val="009D3247"/>
    <w:pPr>
      <w:ind w:left="720"/>
      <w:contextualSpacing/>
    </w:pPr>
  </w:style>
  <w:style w:type="paragraph" w:customStyle="1" w:styleId="HangingIndent">
    <w:name w:val="HangingIndent"/>
    <w:basedOn w:val="Normal"/>
    <w:locked/>
    <w:rsid w:val="00336A09"/>
    <w:pPr>
      <w:tabs>
        <w:tab w:val="right" w:pos="5760"/>
        <w:tab w:val="right" w:pos="6480"/>
        <w:tab w:val="right" w:pos="7200"/>
        <w:tab w:val="right" w:pos="7920"/>
        <w:tab w:val="right" w:pos="8640"/>
      </w:tabs>
      <w:ind w:left="360" w:hanging="360"/>
    </w:pPr>
  </w:style>
  <w:style w:type="paragraph" w:styleId="BodyText">
    <w:name w:val="Body Text"/>
    <w:basedOn w:val="Normal"/>
    <w:link w:val="BodyTextChar"/>
    <w:rsid w:val="00336A09"/>
    <w:pPr>
      <w:spacing w:after="120"/>
    </w:pPr>
  </w:style>
  <w:style w:type="character" w:customStyle="1" w:styleId="BodyTextChar">
    <w:name w:val="Body Text Char"/>
    <w:basedOn w:val="DefaultParagraphFont"/>
    <w:link w:val="BodyText"/>
    <w:rsid w:val="00336A09"/>
    <w:rPr>
      <w:sz w:val="24"/>
    </w:rPr>
  </w:style>
  <w:style w:type="character" w:customStyle="1" w:styleId="JustifiedCOBCharChar">
    <w:name w:val="Justified_COB Char Char"/>
    <w:basedOn w:val="DefaultParagraphFont"/>
    <w:link w:val="JustifiedCOB"/>
    <w:rsid w:val="00FD22B4"/>
    <w:rPr>
      <w:sz w:val="24"/>
    </w:rPr>
  </w:style>
  <w:style w:type="paragraph" w:styleId="BodyTextIndent2">
    <w:name w:val="Body Text Indent 2"/>
    <w:basedOn w:val="Normal"/>
    <w:link w:val="BodyTextIndent2Char"/>
    <w:rsid w:val="006E23E7"/>
    <w:pPr>
      <w:ind w:left="720" w:hanging="720"/>
      <w:jc w:val="left"/>
    </w:pPr>
    <w:rPr>
      <w:sz w:val="26"/>
    </w:rPr>
  </w:style>
  <w:style w:type="character" w:customStyle="1" w:styleId="BodyTextIndent2Char">
    <w:name w:val="Body Text Indent 2 Char"/>
    <w:basedOn w:val="DefaultParagraphFont"/>
    <w:link w:val="BodyTextIndent2"/>
    <w:rsid w:val="006E23E7"/>
    <w:rPr>
      <w:sz w:val="26"/>
    </w:rPr>
  </w:style>
</w:styles>
</file>

<file path=word/webSettings.xml><?xml version="1.0" encoding="utf-8"?>
<w:webSettings xmlns:r="http://schemas.openxmlformats.org/officeDocument/2006/relationships" xmlns:w="http://schemas.openxmlformats.org/wordprocessingml/2006/main">
  <w:divs>
    <w:div w:id="437992923">
      <w:bodyDiv w:val="1"/>
      <w:marLeft w:val="0"/>
      <w:marRight w:val="0"/>
      <w:marTop w:val="0"/>
      <w:marBottom w:val="0"/>
      <w:divBdr>
        <w:top w:val="none" w:sz="0" w:space="0" w:color="auto"/>
        <w:left w:val="none" w:sz="0" w:space="0" w:color="auto"/>
        <w:bottom w:val="none" w:sz="0" w:space="0" w:color="auto"/>
        <w:right w:val="none" w:sz="0" w:space="0" w:color="auto"/>
      </w:divBdr>
    </w:div>
    <w:div w:id="1210415570">
      <w:bodyDiv w:val="1"/>
      <w:marLeft w:val="0"/>
      <w:marRight w:val="0"/>
      <w:marTop w:val="0"/>
      <w:marBottom w:val="0"/>
      <w:divBdr>
        <w:top w:val="none" w:sz="0" w:space="0" w:color="auto"/>
        <w:left w:val="none" w:sz="0" w:space="0" w:color="auto"/>
        <w:bottom w:val="none" w:sz="0" w:space="0" w:color="auto"/>
        <w:right w:val="none" w:sz="0" w:space="0" w:color="auto"/>
      </w:divBdr>
    </w:div>
    <w:div w:id="20725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0EC40-65AA-476B-8443-824C3B4BA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WedAgendaTemplate.dot</Template>
  <TotalTime>103</TotalTime>
  <Pages>6</Pages>
  <Words>1678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11223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38</cp:revision>
  <cp:lastPrinted>2000-05-16T19:06:00Z</cp:lastPrinted>
  <dcterms:created xsi:type="dcterms:W3CDTF">2011-10-21T21:32:00Z</dcterms:created>
  <dcterms:modified xsi:type="dcterms:W3CDTF">2011-10-27T15:32:00Z</dcterms:modified>
</cp:coreProperties>
</file>