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33AE" w:rsidRPr="00A944F0" w:rsidRDefault="006A7BA9">
      <w:pPr>
        <w:pStyle w:val="Heading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1028700</wp:posOffset>
                </wp:positionV>
                <wp:extent cx="6400800" cy="9144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852" w:rsidRDefault="00637852"/>
                          <w:p w:rsidR="00637852" w:rsidRDefault="00637852"/>
                          <w:p w:rsidR="00637852" w:rsidRDefault="00637852" w:rsidP="007E6B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5BDE">
                              <w:rPr>
                                <w:rFonts w:ascii="Times New Roman" w:hAnsi="Times New Roman" w:cs="Times New Roman"/>
                              </w:rPr>
                              <w:t>Tax Deductions,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Credits, </w:t>
                            </w:r>
                            <w:r w:rsidRPr="005C5BDE">
                              <w:rPr>
                                <w:rFonts w:ascii="Times New Roman" w:hAnsi="Times New Roman" w:cs="Times New Roman"/>
                              </w:rPr>
                              <w:t>Incentives and Rebate Programs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on</w:t>
                            </w:r>
                          </w:p>
                          <w:p w:rsidR="00637852" w:rsidRPr="007E6B2F" w:rsidRDefault="00637852" w:rsidP="007E6B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5BDE">
                              <w:rPr>
                                <w:rFonts w:ascii="Times New Roman" w:hAnsi="Times New Roman" w:cs="Times New Roman"/>
                              </w:rPr>
                              <w:t>County Capital Projects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             G-18</w:t>
                            </w:r>
                            <w:r w:rsidRPr="007E6B2F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E6B2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 of 1</w:t>
                            </w:r>
                          </w:p>
                          <w:p w:rsidR="00637852" w:rsidRDefault="00637852" w:rsidP="007E6B2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81pt;width:7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+9swIAALk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" filled="f" stroked="f">
                <v:textbox>
                  <w:txbxContent>
                    <w:p w:rsidR="00637852" w:rsidRDefault="00637852"/>
                    <w:p w:rsidR="00637852" w:rsidRDefault="00637852"/>
                    <w:p w:rsidR="00637852" w:rsidRDefault="00637852" w:rsidP="007E6B2F">
                      <w:pPr>
                        <w:pStyle w:val="NormalWeb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</w:rPr>
                      </w:pPr>
                      <w:r w:rsidRPr="005C5BDE">
                        <w:rPr>
                          <w:rFonts w:ascii="Times New Roman" w:hAnsi="Times New Roman" w:cs="Times New Roman"/>
                        </w:rPr>
                        <w:t>Tax Deductions,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Credits, </w:t>
                      </w:r>
                      <w:r w:rsidRPr="005C5BDE">
                        <w:rPr>
                          <w:rFonts w:ascii="Times New Roman" w:hAnsi="Times New Roman" w:cs="Times New Roman"/>
                        </w:rPr>
                        <w:t>Incentives and Rebate Programs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on</w:t>
                      </w:r>
                    </w:p>
                    <w:p w:rsidR="00637852" w:rsidRPr="007E6B2F" w:rsidRDefault="00637852" w:rsidP="007E6B2F">
                      <w:pPr>
                        <w:pStyle w:val="NormalWeb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</w:rPr>
                      </w:pPr>
                      <w:r w:rsidRPr="005C5BDE">
                        <w:rPr>
                          <w:rFonts w:ascii="Times New Roman" w:hAnsi="Times New Roman" w:cs="Times New Roman"/>
                        </w:rPr>
                        <w:t>County Capital Projects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             G-18</w:t>
                      </w:r>
                      <w:r w:rsidRPr="007E6B2F">
                        <w:rPr>
                          <w:rFonts w:ascii="Times New Roman" w:hAnsi="Times New Roman" w:cs="Times New Roman"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E6B2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1 of 1</w:t>
                      </w:r>
                    </w:p>
                    <w:p w:rsidR="00637852" w:rsidRDefault="00637852" w:rsidP="007E6B2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833AE" w:rsidRPr="00A944F0">
        <w:rPr>
          <w:u w:val="single"/>
        </w:rPr>
        <w:t xml:space="preserve">Purpose </w:t>
      </w:r>
    </w:p>
    <w:p w:rsidR="00E833AE" w:rsidRDefault="00E833AE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802457">
        <w:rPr>
          <w:rFonts w:ascii="Times New Roman" w:hAnsi="Times New Roman" w:cs="Times New Roman"/>
        </w:rPr>
        <w:t xml:space="preserve">take </w:t>
      </w:r>
      <w:r w:rsidR="00480184">
        <w:rPr>
          <w:rFonts w:ascii="Times New Roman" w:hAnsi="Times New Roman" w:cs="Times New Roman"/>
        </w:rPr>
        <w:t xml:space="preserve">advantage </w:t>
      </w:r>
      <w:r w:rsidR="00480184" w:rsidRPr="00480184">
        <w:rPr>
          <w:rFonts w:ascii="Times New Roman" w:hAnsi="Times New Roman" w:cs="Times New Roman"/>
        </w:rPr>
        <w:t>of</w:t>
      </w:r>
      <w:r w:rsidR="00480184">
        <w:rPr>
          <w:rFonts w:ascii="Times New Roman" w:hAnsi="Times New Roman" w:cs="Times New Roman"/>
        </w:rPr>
        <w:t xml:space="preserve"> favorable</w:t>
      </w:r>
      <w:r w:rsidR="00480184" w:rsidRPr="00480184">
        <w:rPr>
          <w:rFonts w:ascii="Times New Roman" w:hAnsi="Times New Roman" w:cs="Times New Roman"/>
        </w:rPr>
        <w:t xml:space="preserve"> tax deductions</w:t>
      </w:r>
      <w:r w:rsidR="00480184">
        <w:rPr>
          <w:rFonts w:ascii="Times New Roman" w:hAnsi="Times New Roman" w:cs="Times New Roman"/>
        </w:rPr>
        <w:t xml:space="preserve">, </w:t>
      </w:r>
      <w:r w:rsidR="00480184" w:rsidRPr="00480184">
        <w:rPr>
          <w:rFonts w:ascii="Times New Roman" w:hAnsi="Times New Roman" w:cs="Times New Roman"/>
        </w:rPr>
        <w:t>credits and other incentive and rebate programs that benefit the County</w:t>
      </w:r>
      <w:r w:rsidR="00802457">
        <w:rPr>
          <w:rFonts w:ascii="Times New Roman" w:hAnsi="Times New Roman" w:cs="Times New Roman"/>
        </w:rPr>
        <w:t xml:space="preserve"> through the capital program</w:t>
      </w:r>
      <w:r w:rsidR="00480184">
        <w:rPr>
          <w:rFonts w:ascii="Times New Roman" w:hAnsi="Times New Roman" w:cs="Times New Roman"/>
        </w:rPr>
        <w:t xml:space="preserve">. </w:t>
      </w:r>
    </w:p>
    <w:p w:rsidR="00C734E8" w:rsidRPr="00A944F0" w:rsidRDefault="00E833AE">
      <w:pPr>
        <w:pStyle w:val="NormalWeb"/>
        <w:rPr>
          <w:rFonts w:ascii="Times New Roman" w:hAnsi="Times New Roman" w:cs="Times New Roman"/>
          <w:u w:val="single"/>
        </w:rPr>
      </w:pPr>
      <w:r w:rsidRPr="00A944F0">
        <w:rPr>
          <w:rFonts w:ascii="Times New Roman" w:hAnsi="Times New Roman" w:cs="Times New Roman"/>
          <w:u w:val="single"/>
        </w:rPr>
        <w:t xml:space="preserve">Background </w:t>
      </w:r>
    </w:p>
    <w:p w:rsidR="00480184" w:rsidRDefault="00E4498C" w:rsidP="00EA37AB">
      <w:pPr>
        <w:pStyle w:val="NormalWeb"/>
        <w:jc w:val="both"/>
        <w:rPr>
          <w:rFonts w:ascii="Times New Roman" w:hAnsi="Times New Roman" w:cs="Times New Roman"/>
        </w:rPr>
      </w:pPr>
      <w:r w:rsidRPr="00E4498C">
        <w:rPr>
          <w:rFonts w:ascii="Times New Roman" w:hAnsi="Times New Roman" w:cs="Times New Roman"/>
        </w:rPr>
        <w:t>The County’s capital program includes acquisition and construction of new public improvements and the replacement or reconstruction of permanent public improvements to extend the life or alter the functionality of a facility.  Numerous opportunities for tax deductions and credits and other incentive and rebate programs are available for new or retrofitted buildings with energy</w:t>
      </w:r>
      <w:r w:rsidR="00EC1C81">
        <w:rPr>
          <w:rFonts w:ascii="Times New Roman" w:hAnsi="Times New Roman" w:cs="Times New Roman"/>
        </w:rPr>
        <w:t>-</w:t>
      </w:r>
      <w:r w:rsidRPr="00E4498C">
        <w:rPr>
          <w:rFonts w:ascii="Times New Roman" w:hAnsi="Times New Roman" w:cs="Times New Roman"/>
        </w:rPr>
        <w:t xml:space="preserve">efficient or sustainable components. </w:t>
      </w:r>
      <w:r w:rsidRPr="00E4498C">
        <w:rPr>
          <w:rStyle w:val="Style1"/>
          <w:rFonts w:ascii="Times New Roman" w:hAnsi="Times New Roman" w:cs="Times New Roman"/>
        </w:rPr>
        <w:t xml:space="preserve"> </w:t>
      </w:r>
      <w:r w:rsidR="000A0A47">
        <w:rPr>
          <w:rFonts w:ascii="Times New Roman" w:hAnsi="Times New Roman" w:cs="Times New Roman"/>
        </w:rPr>
        <w:t xml:space="preserve">Certain tax deductions, </w:t>
      </w:r>
      <w:r w:rsidR="00480184" w:rsidRPr="00480184">
        <w:rPr>
          <w:rFonts w:ascii="Times New Roman" w:hAnsi="Times New Roman" w:cs="Times New Roman"/>
        </w:rPr>
        <w:t xml:space="preserve">credits and other incentive and rebate programs exist in which public agencies like the County </w:t>
      </w:r>
      <w:r w:rsidR="00FC1FB4">
        <w:rPr>
          <w:rFonts w:ascii="Times New Roman" w:hAnsi="Times New Roman" w:cs="Times New Roman"/>
        </w:rPr>
        <w:t>cannot directly participate, but t</w:t>
      </w:r>
      <w:r w:rsidR="00480184" w:rsidRPr="00480184">
        <w:rPr>
          <w:rFonts w:ascii="Times New Roman" w:hAnsi="Times New Roman" w:cs="Times New Roman"/>
        </w:rPr>
        <w:t xml:space="preserve">he County may benefit by assigning those credits to the designer/developer of a County project.  This creates a potential cost savings </w:t>
      </w:r>
      <w:r w:rsidR="003C2A4E">
        <w:rPr>
          <w:rFonts w:ascii="Times New Roman" w:hAnsi="Times New Roman" w:cs="Times New Roman"/>
        </w:rPr>
        <w:t xml:space="preserve">and energy program benefits </w:t>
      </w:r>
      <w:r w:rsidR="00480184" w:rsidRPr="00480184">
        <w:rPr>
          <w:rFonts w:ascii="Times New Roman" w:hAnsi="Times New Roman" w:cs="Times New Roman"/>
        </w:rPr>
        <w:t xml:space="preserve">to the County, while </w:t>
      </w:r>
      <w:r w:rsidR="00637852" w:rsidRPr="00480184">
        <w:rPr>
          <w:rFonts w:ascii="Times New Roman" w:hAnsi="Times New Roman" w:cs="Times New Roman"/>
        </w:rPr>
        <w:t>creating mutually</w:t>
      </w:r>
      <w:r w:rsidR="00480184" w:rsidRPr="00480184">
        <w:rPr>
          <w:rFonts w:ascii="Times New Roman" w:hAnsi="Times New Roman" w:cs="Times New Roman"/>
        </w:rPr>
        <w:t xml:space="preserve"> beneficial relationship</w:t>
      </w:r>
      <w:r w:rsidR="00802457">
        <w:rPr>
          <w:rFonts w:ascii="Times New Roman" w:hAnsi="Times New Roman" w:cs="Times New Roman"/>
        </w:rPr>
        <w:t>s</w:t>
      </w:r>
      <w:r w:rsidR="00480184" w:rsidRPr="00480184">
        <w:rPr>
          <w:rFonts w:ascii="Times New Roman" w:hAnsi="Times New Roman" w:cs="Times New Roman"/>
        </w:rPr>
        <w:t xml:space="preserve"> </w:t>
      </w:r>
      <w:r w:rsidR="00802457">
        <w:rPr>
          <w:rFonts w:ascii="Times New Roman" w:hAnsi="Times New Roman" w:cs="Times New Roman"/>
        </w:rPr>
        <w:t>among</w:t>
      </w:r>
      <w:r w:rsidR="00802457" w:rsidRPr="00480184">
        <w:rPr>
          <w:rFonts w:ascii="Times New Roman" w:hAnsi="Times New Roman" w:cs="Times New Roman"/>
        </w:rPr>
        <w:t xml:space="preserve"> </w:t>
      </w:r>
      <w:r w:rsidR="00480184" w:rsidRPr="00480184">
        <w:rPr>
          <w:rFonts w:ascii="Times New Roman" w:hAnsi="Times New Roman" w:cs="Times New Roman"/>
        </w:rPr>
        <w:t>local businesses and the County.</w:t>
      </w:r>
    </w:p>
    <w:p w:rsidR="00E833AE" w:rsidRPr="00A944F0" w:rsidRDefault="00E833AE">
      <w:pPr>
        <w:pStyle w:val="NormalWeb"/>
        <w:rPr>
          <w:rFonts w:ascii="Times New Roman" w:hAnsi="Times New Roman" w:cs="Times New Roman"/>
          <w:u w:val="single"/>
        </w:rPr>
      </w:pPr>
      <w:r w:rsidRPr="00A944F0">
        <w:rPr>
          <w:rFonts w:ascii="Times New Roman" w:hAnsi="Times New Roman" w:cs="Times New Roman"/>
          <w:u w:val="single"/>
        </w:rPr>
        <w:t xml:space="preserve">Policy </w:t>
      </w:r>
    </w:p>
    <w:p w:rsidR="00BF4BF3" w:rsidRDefault="00E833AE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policy of the Board of Supervisors that: </w:t>
      </w:r>
    </w:p>
    <w:p w:rsidR="00E833AE" w:rsidRDefault="00E833AE" w:rsidP="00EA37AB">
      <w:pPr>
        <w:pStyle w:val="NormalWeb"/>
        <w:jc w:val="both"/>
        <w:rPr>
          <w:rFonts w:ascii="Times New Roman" w:hAnsi="Times New Roman" w:cs="Times New Roman"/>
        </w:rPr>
      </w:pPr>
      <w:r w:rsidRPr="00FC1FB4">
        <w:rPr>
          <w:rFonts w:ascii="Times New Roman" w:hAnsi="Times New Roman" w:cs="Times New Roman"/>
        </w:rPr>
        <w:t>The County</w:t>
      </w:r>
      <w:r w:rsidR="00FC1FB4">
        <w:rPr>
          <w:rFonts w:ascii="Times New Roman" w:hAnsi="Times New Roman" w:cs="Times New Roman"/>
        </w:rPr>
        <w:t xml:space="preserve"> will participate </w:t>
      </w:r>
      <w:r w:rsidR="00FC1FB4" w:rsidRPr="00930FF0">
        <w:rPr>
          <w:rFonts w:ascii="Times New Roman" w:hAnsi="Times New Roman" w:cs="Times New Roman"/>
        </w:rPr>
        <w:t>in</w:t>
      </w:r>
      <w:r w:rsidR="00A037CD">
        <w:rPr>
          <w:rFonts w:ascii="Times New Roman" w:hAnsi="Times New Roman" w:cs="Times New Roman"/>
        </w:rPr>
        <w:t xml:space="preserve"> </w:t>
      </w:r>
      <w:r w:rsidR="00A037CD" w:rsidRPr="00A037CD">
        <w:rPr>
          <w:rFonts w:ascii="Times New Roman" w:hAnsi="Times New Roman" w:cs="Times New Roman"/>
        </w:rPr>
        <w:t>and work with private contractors to take advantage of</w:t>
      </w:r>
      <w:r w:rsidR="00930FF0">
        <w:rPr>
          <w:rFonts w:ascii="Times New Roman" w:hAnsi="Times New Roman" w:cs="Times New Roman"/>
        </w:rPr>
        <w:t xml:space="preserve"> </w:t>
      </w:r>
      <w:r w:rsidR="00FC1FB4" w:rsidRPr="00480184">
        <w:rPr>
          <w:rFonts w:ascii="Times New Roman" w:hAnsi="Times New Roman" w:cs="Times New Roman"/>
        </w:rPr>
        <w:t>tax deductions</w:t>
      </w:r>
      <w:r w:rsidR="00FC1FB4">
        <w:rPr>
          <w:rFonts w:ascii="Times New Roman" w:hAnsi="Times New Roman" w:cs="Times New Roman"/>
        </w:rPr>
        <w:t xml:space="preserve">, </w:t>
      </w:r>
      <w:r w:rsidR="00FC1FB4" w:rsidRPr="00480184">
        <w:rPr>
          <w:rFonts w:ascii="Times New Roman" w:hAnsi="Times New Roman" w:cs="Times New Roman"/>
        </w:rPr>
        <w:t xml:space="preserve">credits and other incentive and rebate programs </w:t>
      </w:r>
      <w:r w:rsidR="00075A0A">
        <w:rPr>
          <w:rFonts w:ascii="Times New Roman" w:hAnsi="Times New Roman" w:cs="Times New Roman"/>
        </w:rPr>
        <w:t>on County capital</w:t>
      </w:r>
      <w:r w:rsidR="00FC1FB4">
        <w:rPr>
          <w:rFonts w:ascii="Times New Roman" w:hAnsi="Times New Roman" w:cs="Times New Roman"/>
        </w:rPr>
        <w:t xml:space="preserve"> projects whenever it is financially beneficial for the County.</w:t>
      </w:r>
      <w:r w:rsidR="005F418F">
        <w:rPr>
          <w:rFonts w:ascii="Times New Roman" w:hAnsi="Times New Roman" w:cs="Times New Roman"/>
        </w:rPr>
        <w:t xml:space="preserve">  </w:t>
      </w:r>
    </w:p>
    <w:p w:rsidR="00637852" w:rsidRDefault="00E833AE">
      <w:pPr>
        <w:pStyle w:val="NormalWeb"/>
        <w:spacing w:before="0" w:beforeAutospacing="0" w:after="0" w:afterAutospacing="0"/>
        <w:rPr>
          <w:rFonts w:ascii="Times New Roman" w:hAnsi="Times New Roman" w:cs="Times New Roman"/>
          <w:u w:val="single"/>
        </w:rPr>
      </w:pPr>
      <w:r w:rsidRPr="00A944F0">
        <w:rPr>
          <w:rFonts w:ascii="Times New Roman" w:hAnsi="Times New Roman" w:cs="Times New Roman"/>
          <w:u w:val="single"/>
        </w:rPr>
        <w:t xml:space="preserve">Sunset Date </w:t>
      </w:r>
    </w:p>
    <w:p w:rsidR="00637852" w:rsidRDefault="00E833A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policy will be reviewed for continuance by 12-31-</w:t>
      </w:r>
      <w:r w:rsidR="00075A0A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.</w:t>
      </w:r>
    </w:p>
    <w:p w:rsidR="00637852" w:rsidRDefault="00E833A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37852" w:rsidRDefault="00E833AE">
      <w:pPr>
        <w:pStyle w:val="NormalWeb"/>
        <w:spacing w:before="0" w:beforeAutospacing="0" w:after="0" w:afterAutospacing="0"/>
        <w:rPr>
          <w:rFonts w:ascii="Times New Roman" w:hAnsi="Times New Roman" w:cs="Times New Roman"/>
          <w:u w:val="single"/>
        </w:rPr>
      </w:pPr>
      <w:r w:rsidRPr="00A944F0">
        <w:rPr>
          <w:rFonts w:ascii="Times New Roman" w:hAnsi="Times New Roman" w:cs="Times New Roman"/>
          <w:u w:val="single"/>
        </w:rPr>
        <w:t xml:space="preserve">Board Action </w:t>
      </w:r>
    </w:p>
    <w:p w:rsidR="00637852" w:rsidRDefault="00480184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  <w:r w:rsidR="0085500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-13 </w:t>
      </w:r>
      <w:r w:rsidRPr="00637852">
        <w:rPr>
          <w:rFonts w:ascii="Times New Roman" w:hAnsi="Times New Roman" w:cs="Times New Roman"/>
        </w:rPr>
        <w:t>(</w:t>
      </w:r>
      <w:r w:rsidR="006A7BA9">
        <w:rPr>
          <w:rFonts w:ascii="Times New Roman" w:hAnsi="Times New Roman" w:cs="Times New Roman"/>
        </w:rPr>
        <w:t>10</w:t>
      </w:r>
      <w:r w:rsidR="00E833AE" w:rsidRPr="00637852">
        <w:rPr>
          <w:rFonts w:ascii="Times New Roman" w:hAnsi="Times New Roman" w:cs="Times New Roman"/>
        </w:rPr>
        <w:t>)</w:t>
      </w:r>
      <w:r w:rsidR="00E833AE">
        <w:rPr>
          <w:rFonts w:ascii="Times New Roman" w:hAnsi="Times New Roman" w:cs="Times New Roman"/>
        </w:rPr>
        <w:t xml:space="preserve"> </w:t>
      </w:r>
    </w:p>
    <w:p w:rsidR="00637852" w:rsidRDefault="00A74E3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4-23-13 (13)</w:t>
      </w:r>
    </w:p>
    <w:p w:rsidR="00637852" w:rsidRDefault="00637852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7852" w:rsidRDefault="00E833AE">
      <w:pPr>
        <w:pStyle w:val="NormalWeb"/>
        <w:spacing w:before="0" w:beforeAutospacing="0" w:after="0" w:afterAutospacing="0"/>
        <w:rPr>
          <w:rFonts w:ascii="Times New Roman" w:hAnsi="Times New Roman" w:cs="Times New Roman"/>
          <w:u w:val="single"/>
        </w:rPr>
      </w:pPr>
      <w:r w:rsidRPr="00A944F0">
        <w:rPr>
          <w:rFonts w:ascii="Times New Roman" w:hAnsi="Times New Roman" w:cs="Times New Roman"/>
          <w:u w:val="single"/>
        </w:rPr>
        <w:t xml:space="preserve">CAO Reference </w:t>
      </w:r>
    </w:p>
    <w:p w:rsidR="00637852" w:rsidRDefault="00917084" w:rsidP="00371CF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General Services</w:t>
      </w:r>
    </w:p>
    <w:p w:rsidR="00637852" w:rsidRDefault="0085500B" w:rsidP="00371CF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Parks and Recreation</w:t>
      </w:r>
    </w:p>
    <w:p w:rsidR="003E6E2E" w:rsidRDefault="003E6E2E" w:rsidP="00917084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7852" w:rsidRDefault="00E4498C">
      <w:pPr>
        <w:pStyle w:val="NormalWeb"/>
        <w:spacing w:before="0" w:beforeAutospacing="0" w:after="0" w:afterAutospacing="0"/>
        <w:ind w:left="4320" w:right="-720"/>
        <w:rPr>
          <w:rFonts w:ascii="Arial" w:hAnsi="Arial" w:cs="Arial"/>
        </w:rPr>
      </w:pPr>
      <w:r w:rsidRPr="00E4498C">
        <w:rPr>
          <w:rFonts w:ascii="Arial" w:hAnsi="Arial" w:cs="Arial"/>
        </w:rPr>
        <w:t>Approved as to Form and Legality</w:t>
      </w:r>
    </w:p>
    <w:p w:rsidR="00637852" w:rsidRDefault="00E4498C">
      <w:pPr>
        <w:pStyle w:val="NormalWeb"/>
        <w:spacing w:before="0" w:beforeAutospacing="0" w:after="0" w:afterAutospacing="0"/>
        <w:ind w:left="4320" w:right="-720"/>
        <w:rPr>
          <w:rFonts w:ascii="Arial" w:hAnsi="Arial" w:cs="Arial"/>
        </w:rPr>
      </w:pPr>
      <w:r w:rsidRPr="00E4498C">
        <w:rPr>
          <w:rFonts w:ascii="Arial" w:hAnsi="Arial" w:cs="Arial"/>
        </w:rPr>
        <w:t>THOMAS E. MONTGOMERY, County Counsel</w:t>
      </w:r>
    </w:p>
    <w:p w:rsidR="00637852" w:rsidRDefault="00E4498C">
      <w:pPr>
        <w:pStyle w:val="NormalWeb"/>
        <w:spacing w:before="0" w:beforeAutospacing="0" w:after="0" w:afterAutospacing="0"/>
        <w:ind w:left="4320" w:right="-720"/>
        <w:rPr>
          <w:rFonts w:ascii="Arial" w:hAnsi="Arial" w:cs="Arial"/>
        </w:rPr>
      </w:pPr>
      <w:r w:rsidRPr="00E4498C">
        <w:rPr>
          <w:rFonts w:ascii="Arial" w:hAnsi="Arial" w:cs="Arial"/>
        </w:rPr>
        <w:t>By Shiri Hoffman, Senior Deputy</w:t>
      </w:r>
    </w:p>
    <w:sectPr w:rsidR="00637852" w:rsidSect="002B0A7C">
      <w:headerReference w:type="default" r:id="rId11"/>
      <w:pgSz w:w="12240" w:h="15840"/>
      <w:pgMar w:top="342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52" w:rsidRDefault="00637852">
      <w:r>
        <w:separator/>
      </w:r>
    </w:p>
  </w:endnote>
  <w:endnote w:type="continuationSeparator" w:id="0">
    <w:p w:rsidR="00637852" w:rsidRDefault="0063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52" w:rsidRDefault="00637852">
      <w:r>
        <w:separator/>
      </w:r>
    </w:p>
  </w:footnote>
  <w:footnote w:type="continuationSeparator" w:id="0">
    <w:p w:rsidR="00637852" w:rsidRDefault="0063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2" w:rsidRDefault="006A7BA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-1244600</wp:posOffset>
              </wp:positionH>
              <wp:positionV relativeFrom="paragraph">
                <wp:posOffset>-457200</wp:posOffset>
              </wp:positionV>
              <wp:extent cx="7875905" cy="10070465"/>
              <wp:effectExtent l="12700" t="9525" r="7620" b="69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5905" cy="10070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7852" w:rsidRDefault="006378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76210" cy="10058400"/>
                                <wp:effectExtent l="19050" t="0" r="0" b="0"/>
                                <wp:docPr id="1" name="Picture 1" descr="Policy B-26 cle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olicy B-26 cle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6210" cy="1005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76210" cy="10058400"/>
                                <wp:effectExtent l="19050" t="0" r="0" b="0"/>
                                <wp:docPr id="2" name="Picture 2" descr="Policy B-26 cle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olicy B-26 cle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6210" cy="1005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98pt;margin-top:-36pt;width:620.15pt;height:7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">
              <v:textbox>
                <w:txbxContent>
                  <w:p w:rsidR="00637852" w:rsidRDefault="006378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776210" cy="10058400"/>
                          <wp:effectExtent l="19050" t="0" r="0" b="0"/>
                          <wp:docPr id="1" name="Picture 1" descr="Policy B-26 cle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olicy B-26 cle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6210" cy="1005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776210" cy="10058400"/>
                          <wp:effectExtent l="19050" t="0" r="0" b="0"/>
                          <wp:docPr id="2" name="Picture 2" descr="Policy B-26 cle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olicy B-26 cle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6210" cy="1005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8E7"/>
    <w:multiLevelType w:val="hybridMultilevel"/>
    <w:tmpl w:val="63F2B1BC"/>
    <w:lvl w:ilvl="0" w:tplc="FB6AA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86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E6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49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23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29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C9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625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B1E96"/>
    <w:multiLevelType w:val="hybridMultilevel"/>
    <w:tmpl w:val="4FCE0916"/>
    <w:lvl w:ilvl="0" w:tplc="D9D8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0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C4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2F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8B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47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AB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4A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A4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33DCE"/>
    <w:multiLevelType w:val="hybridMultilevel"/>
    <w:tmpl w:val="6F14EDBE"/>
    <w:lvl w:ilvl="0" w:tplc="82A216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1CB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E2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4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47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80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7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2B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07908"/>
    <w:multiLevelType w:val="hybridMultilevel"/>
    <w:tmpl w:val="EDDA73B0"/>
    <w:lvl w:ilvl="0" w:tplc="BE80DB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6020A7"/>
    <w:multiLevelType w:val="hybridMultilevel"/>
    <w:tmpl w:val="E3D6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5E913FE6-E971-4816-85E7-E40F073C9202}"/>
  </w:docVars>
  <w:rsids>
    <w:rsidRoot w:val="00E833AE"/>
    <w:rsid w:val="00075A0A"/>
    <w:rsid w:val="000A0A47"/>
    <w:rsid w:val="001055BC"/>
    <w:rsid w:val="0019231C"/>
    <w:rsid w:val="001A0700"/>
    <w:rsid w:val="001D482A"/>
    <w:rsid w:val="0020414A"/>
    <w:rsid w:val="0023252C"/>
    <w:rsid w:val="00244718"/>
    <w:rsid w:val="002B0A7C"/>
    <w:rsid w:val="002C0C98"/>
    <w:rsid w:val="00300A57"/>
    <w:rsid w:val="00344834"/>
    <w:rsid w:val="003572F2"/>
    <w:rsid w:val="00371CFA"/>
    <w:rsid w:val="00396EE9"/>
    <w:rsid w:val="003C2A4E"/>
    <w:rsid w:val="003E6E2E"/>
    <w:rsid w:val="00406532"/>
    <w:rsid w:val="00435721"/>
    <w:rsid w:val="00480184"/>
    <w:rsid w:val="004A222A"/>
    <w:rsid w:val="004B7C36"/>
    <w:rsid w:val="004C2207"/>
    <w:rsid w:val="0058127A"/>
    <w:rsid w:val="005C5BDE"/>
    <w:rsid w:val="005E62C9"/>
    <w:rsid w:val="005F418F"/>
    <w:rsid w:val="00636AB5"/>
    <w:rsid w:val="00637852"/>
    <w:rsid w:val="006A7BA9"/>
    <w:rsid w:val="00741D8A"/>
    <w:rsid w:val="007A08F1"/>
    <w:rsid w:val="007B630F"/>
    <w:rsid w:val="007E6B2F"/>
    <w:rsid w:val="007F79C4"/>
    <w:rsid w:val="00802457"/>
    <w:rsid w:val="008218AD"/>
    <w:rsid w:val="008329C5"/>
    <w:rsid w:val="0085500B"/>
    <w:rsid w:val="00865668"/>
    <w:rsid w:val="008F24A1"/>
    <w:rsid w:val="009153DE"/>
    <w:rsid w:val="00917084"/>
    <w:rsid w:val="00930FF0"/>
    <w:rsid w:val="0099088A"/>
    <w:rsid w:val="009D0A34"/>
    <w:rsid w:val="00A037CD"/>
    <w:rsid w:val="00A71B4E"/>
    <w:rsid w:val="00A74B26"/>
    <w:rsid w:val="00A74E3E"/>
    <w:rsid w:val="00A8259D"/>
    <w:rsid w:val="00A856A0"/>
    <w:rsid w:val="00A944F0"/>
    <w:rsid w:val="00B657C8"/>
    <w:rsid w:val="00B90871"/>
    <w:rsid w:val="00B917B1"/>
    <w:rsid w:val="00BB16CB"/>
    <w:rsid w:val="00BC0BCD"/>
    <w:rsid w:val="00BF4BF3"/>
    <w:rsid w:val="00C734E8"/>
    <w:rsid w:val="00CB5276"/>
    <w:rsid w:val="00CB6A2C"/>
    <w:rsid w:val="00CC67AD"/>
    <w:rsid w:val="00D11D8B"/>
    <w:rsid w:val="00D1299F"/>
    <w:rsid w:val="00D85C04"/>
    <w:rsid w:val="00DA3E70"/>
    <w:rsid w:val="00DD303F"/>
    <w:rsid w:val="00DD6004"/>
    <w:rsid w:val="00E05EBC"/>
    <w:rsid w:val="00E4498C"/>
    <w:rsid w:val="00E82935"/>
    <w:rsid w:val="00E833AE"/>
    <w:rsid w:val="00E85EC5"/>
    <w:rsid w:val="00EA37AB"/>
    <w:rsid w:val="00EC1C81"/>
    <w:rsid w:val="00ED6225"/>
    <w:rsid w:val="00F137E1"/>
    <w:rsid w:val="00F51FAB"/>
    <w:rsid w:val="00FC1FB4"/>
    <w:rsid w:val="00FC2952"/>
    <w:rsid w:val="00FE5DBC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B0A7C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A7C"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0A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0A7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B0A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sid w:val="002B0A7C"/>
    <w:rPr>
      <w:b/>
      <w:bCs/>
    </w:rPr>
  </w:style>
  <w:style w:type="paragraph" w:styleId="BodyTextIndent">
    <w:name w:val="Body Text Indent"/>
    <w:basedOn w:val="Normal"/>
    <w:rsid w:val="002B0A7C"/>
    <w:pPr>
      <w:ind w:left="360" w:hanging="360"/>
    </w:pPr>
    <w:rPr>
      <w:szCs w:val="20"/>
    </w:rPr>
  </w:style>
  <w:style w:type="paragraph" w:styleId="BalloonText">
    <w:name w:val="Balloon Text"/>
    <w:basedOn w:val="Normal"/>
    <w:semiHidden/>
    <w:rsid w:val="007A08F1"/>
    <w:rPr>
      <w:rFonts w:ascii="MS Shell Dlg" w:hAnsi="MS Shell Dlg" w:cs="MS Shell Dlg"/>
      <w:sz w:val="16"/>
      <w:szCs w:val="16"/>
    </w:rPr>
  </w:style>
  <w:style w:type="character" w:customStyle="1" w:styleId="Style1">
    <w:name w:val="Style1"/>
    <w:uiPriority w:val="1"/>
    <w:rsid w:val="00480184"/>
  </w:style>
  <w:style w:type="character" w:styleId="CommentReference">
    <w:name w:val="annotation reference"/>
    <w:basedOn w:val="DefaultParagraphFont"/>
    <w:rsid w:val="00A74E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E3E"/>
  </w:style>
  <w:style w:type="paragraph" w:styleId="CommentSubject">
    <w:name w:val="annotation subject"/>
    <w:basedOn w:val="CommentText"/>
    <w:next w:val="CommentText"/>
    <w:link w:val="CommentSubjectChar"/>
    <w:rsid w:val="00A74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E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B0A7C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A7C"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0A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0A7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B0A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sid w:val="002B0A7C"/>
    <w:rPr>
      <w:b/>
      <w:bCs/>
    </w:rPr>
  </w:style>
  <w:style w:type="paragraph" w:styleId="BodyTextIndent">
    <w:name w:val="Body Text Indent"/>
    <w:basedOn w:val="Normal"/>
    <w:rsid w:val="002B0A7C"/>
    <w:pPr>
      <w:ind w:left="360" w:hanging="360"/>
    </w:pPr>
    <w:rPr>
      <w:szCs w:val="20"/>
    </w:rPr>
  </w:style>
  <w:style w:type="paragraph" w:styleId="BalloonText">
    <w:name w:val="Balloon Text"/>
    <w:basedOn w:val="Normal"/>
    <w:semiHidden/>
    <w:rsid w:val="007A08F1"/>
    <w:rPr>
      <w:rFonts w:ascii="MS Shell Dlg" w:hAnsi="MS Shell Dlg" w:cs="MS Shell Dlg"/>
      <w:sz w:val="16"/>
      <w:szCs w:val="16"/>
    </w:rPr>
  </w:style>
  <w:style w:type="character" w:customStyle="1" w:styleId="Style1">
    <w:name w:val="Style1"/>
    <w:uiPriority w:val="1"/>
    <w:rsid w:val="00480184"/>
  </w:style>
  <w:style w:type="character" w:styleId="CommentReference">
    <w:name w:val="annotation reference"/>
    <w:basedOn w:val="DefaultParagraphFont"/>
    <w:rsid w:val="00A74E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E3E"/>
  </w:style>
  <w:style w:type="paragraph" w:styleId="CommentSubject">
    <w:name w:val="annotation subject"/>
    <w:basedOn w:val="CommentText"/>
    <w:next w:val="CommentText"/>
    <w:link w:val="CommentSubjectChar"/>
    <w:rsid w:val="00A74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1357D5386A3409AC4D6C706D39E09" ma:contentTypeVersion="1" ma:contentTypeDescription="Create a new document." ma:contentTypeScope="" ma:versionID="5b2b3bca0369b44c514597a062413f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5c77fca2ed0a7890b60fba367b9e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0C6D9-F3D1-4D5A-8269-30FD57796CFD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66D8F-DDBD-4F55-A2AC-E0001CC2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FC709-7698-409A-9437-D4CEFB2A9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Policy G-18</vt:lpstr>
    </vt:vector>
  </TitlesOfParts>
  <Company>County of San Diego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Policy G-18</dc:title>
  <dc:creator>County of San Diego</dc:creator>
  <cp:lastModifiedBy>Spanfil</cp:lastModifiedBy>
  <cp:revision>2</cp:revision>
  <cp:lastPrinted>2013-08-05T20:02:00Z</cp:lastPrinted>
  <dcterms:created xsi:type="dcterms:W3CDTF">2013-08-05T21:07:00Z</dcterms:created>
  <dcterms:modified xsi:type="dcterms:W3CDTF">2013-08-05T21:07:00Z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0x010100A121357D5386A3409AC4D6C706D39E09</vt:lpwstr>
  </property>
</Properties>
</file>