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A11" w:rsidRDefault="00763E81" w:rsidP="00D86A11">
      <w:r>
        <w:rPr>
          <w:noProof/>
        </w:rPr>
        <mc:AlternateContent>
          <mc:Choice Requires="wps">
            <w:drawing>
              <wp:anchor distT="0" distB="0" distL="114300" distR="114300" simplePos="0" relativeHeight="251622400" behindDoc="0" locked="0" layoutInCell="0" allowOverlap="1">
                <wp:simplePos x="0" y="0"/>
                <wp:positionH relativeFrom="page">
                  <wp:align>center</wp:align>
                </wp:positionH>
                <wp:positionV relativeFrom="page">
                  <wp:align>center</wp:align>
                </wp:positionV>
                <wp:extent cx="7135495" cy="9438005"/>
                <wp:effectExtent l="0" t="0" r="0" b="0"/>
                <wp:wrapNone/>
                <wp:docPr id="347"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5495" cy="9438005"/>
                        </a:xfrm>
                        <a:prstGeom prst="roundRect">
                          <a:avLst>
                            <a:gd name="adj" fmla="val 3463"/>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21879DA1" id="AutoShape 622" o:spid="_x0000_s1026" style="position:absolute;margin-left:0;margin-top:0;width:561.85pt;height:743.15pt;z-index:251622400;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" o:allowincell="f" filled="f" fillcolor="black">
                <w10:wrap anchorx="page" anchory="page"/>
              </v:roundrect>
            </w:pict>
          </mc:Fallback>
        </mc:AlternateContent>
      </w:r>
    </w:p>
    <w:p w:rsidR="00D86A11" w:rsidRDefault="00D86A11" w:rsidP="00D86A11"/>
    <w:p w:rsidR="00D86A11" w:rsidRDefault="00D86A11" w:rsidP="00D86A11"/>
    <w:p w:rsidR="00D86A11" w:rsidRDefault="00D86A11" w:rsidP="00D86A11"/>
    <w:p w:rsidR="00D86A11" w:rsidRDefault="00D86A11" w:rsidP="00D86A11"/>
    <w:p w:rsidR="00D86A11" w:rsidRDefault="00763E81" w:rsidP="00D86A11">
      <w:r>
        <w:rPr>
          <w:noProof/>
        </w:rPr>
        <mc:AlternateContent>
          <mc:Choice Requires="wps">
            <w:drawing>
              <wp:anchor distT="0" distB="0" distL="114300" distR="114300" simplePos="0" relativeHeight="251621376" behindDoc="0" locked="0" layoutInCell="0" allowOverlap="1">
                <wp:simplePos x="0" y="0"/>
                <wp:positionH relativeFrom="page">
                  <wp:posOffset>322580</wp:posOffset>
                </wp:positionH>
                <wp:positionV relativeFrom="page">
                  <wp:posOffset>2197100</wp:posOffset>
                </wp:positionV>
                <wp:extent cx="7127240" cy="2209800"/>
                <wp:effectExtent l="0" t="0" r="0" b="0"/>
                <wp:wrapNone/>
                <wp:docPr id="346"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240" cy="220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24"/>
                            </w:tblGrid>
                            <w:tr w:rsidR="009103E6" w:rsidRPr="00002D1D">
                              <w:trPr>
                                <w:trHeight w:val="144"/>
                                <w:jc w:val="center"/>
                              </w:trPr>
                              <w:tc>
                                <w:tcPr>
                                  <w:tcW w:w="0" w:type="auto"/>
                                  <w:shd w:val="clear" w:color="auto" w:fill="F6872B"/>
                                  <w:tcMar>
                                    <w:top w:w="0" w:type="dxa"/>
                                    <w:bottom w:w="0" w:type="dxa"/>
                                  </w:tcMar>
                                  <w:vAlign w:val="center"/>
                                </w:tcPr>
                                <w:p w:rsidR="009103E6" w:rsidRDefault="009103E6">
                                  <w:pPr>
                                    <w:pStyle w:val="MediumGrid21"/>
                                    <w:rPr>
                                      <w:sz w:val="8"/>
                                      <w:szCs w:val="8"/>
                                    </w:rPr>
                                  </w:pPr>
                                </w:p>
                              </w:tc>
                            </w:tr>
                            <w:tr w:rsidR="009103E6" w:rsidRPr="00002D1D">
                              <w:trPr>
                                <w:trHeight w:val="1440"/>
                                <w:jc w:val="center"/>
                              </w:trPr>
                              <w:tc>
                                <w:tcPr>
                                  <w:tcW w:w="0" w:type="auto"/>
                                  <w:shd w:val="clear" w:color="auto" w:fill="013161"/>
                                  <w:vAlign w:val="center"/>
                                </w:tcPr>
                                <w:p w:rsidR="009103E6" w:rsidRDefault="009103E6">
                                  <w:pPr>
                                    <w:pStyle w:val="MediumGrid21"/>
                                    <w:suppressOverlap/>
                                    <w:jc w:val="center"/>
                                    <w:rPr>
                                      <w:rFonts w:ascii="Franklin Gothic Book" w:eastAsia="HGGothicM" w:hAnsi="Franklin Gothic Book" w:cs="Tahoma"/>
                                      <w:color w:val="FFFFFF"/>
                                      <w:sz w:val="72"/>
                                      <w:szCs w:val="72"/>
                                    </w:rPr>
                                  </w:pPr>
                                  <w:r w:rsidRPr="00002D1D">
                                    <w:rPr>
                                      <w:rFonts w:eastAsia="HGGothicM" w:cs="Calibri"/>
                                      <w:color w:val="FFFFFF"/>
                                      <w:sz w:val="64"/>
                                      <w:szCs w:val="64"/>
                                    </w:rPr>
                                    <w:t>California - Child and Family Services Review</w:t>
                                  </w:r>
                                </w:p>
                              </w:tc>
                            </w:tr>
                            <w:tr w:rsidR="009103E6" w:rsidRPr="00002D1D">
                              <w:trPr>
                                <w:trHeight w:val="144"/>
                                <w:jc w:val="center"/>
                              </w:trPr>
                              <w:tc>
                                <w:tcPr>
                                  <w:tcW w:w="0" w:type="auto"/>
                                  <w:shd w:val="clear" w:color="auto" w:fill="F6872B"/>
                                  <w:tcMar>
                                    <w:top w:w="0" w:type="dxa"/>
                                    <w:bottom w:w="0" w:type="dxa"/>
                                  </w:tcMar>
                                  <w:vAlign w:val="center"/>
                                </w:tcPr>
                                <w:p w:rsidR="009103E6" w:rsidRDefault="009103E6">
                                  <w:pPr>
                                    <w:pStyle w:val="MediumGrid21"/>
                                    <w:rPr>
                                      <w:sz w:val="8"/>
                                      <w:szCs w:val="8"/>
                                    </w:rPr>
                                  </w:pPr>
                                </w:p>
                              </w:tc>
                            </w:tr>
                            <w:tr w:rsidR="009103E6" w:rsidRPr="00002D1D">
                              <w:trPr>
                                <w:trHeight w:val="720"/>
                                <w:jc w:val="center"/>
                              </w:trPr>
                              <w:tc>
                                <w:tcPr>
                                  <w:tcW w:w="0" w:type="auto"/>
                                  <w:vAlign w:val="bottom"/>
                                </w:tcPr>
                                <w:p w:rsidR="009103E6" w:rsidRDefault="009103E6">
                                  <w:pPr>
                                    <w:pStyle w:val="MediumGrid21"/>
                                    <w:suppressOverlap/>
                                    <w:jc w:val="center"/>
                                    <w:rPr>
                                      <w:rFonts w:ascii="Franklin Gothic Book" w:eastAsia="HGGothicM" w:hAnsi="Franklin Gothic Book" w:cs="Tahoma"/>
                                      <w:i/>
                                      <w:iCs/>
                                      <w:color w:val="014589"/>
                                      <w:sz w:val="36"/>
                                      <w:szCs w:val="36"/>
                                    </w:rPr>
                                  </w:pPr>
                                  <w:r w:rsidRPr="004E138C">
                                    <w:rPr>
                                      <w:b/>
                                      <w:color w:val="014589"/>
                                      <w:sz w:val="52"/>
                                      <w:szCs w:val="52"/>
                                    </w:rPr>
                                    <w:t>County Self-Assessment</w:t>
                                  </w:r>
                                </w:p>
                              </w:tc>
                            </w:tr>
                          </w:tbl>
                          <w:p w:rsidR="009103E6" w:rsidRPr="001F10A6" w:rsidRDefault="009103E6" w:rsidP="00D86A11">
                            <w:pPr>
                              <w:jc w:val="center"/>
                              <w:rPr>
                                <w:color w:val="F6872B"/>
                                <w:sz w:val="32"/>
                                <w:szCs w:val="32"/>
                              </w:rPr>
                            </w:pPr>
                            <w:r w:rsidRPr="001F10A6">
                              <w:rPr>
                                <w:b/>
                                <w:bCs/>
                                <w:caps/>
                                <w:color w:val="F6872B"/>
                                <w:sz w:val="32"/>
                                <w:szCs w:val="32"/>
                              </w:rPr>
                              <w:t>October 2016</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619" o:spid="_x0000_s1026" style="position:absolute;margin-left:25.4pt;margin-top:173pt;width:561.2pt;height:174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1224"/>
                      </w:tblGrid>
                      <w:tr w:rsidR="009103E6" w:rsidRPr="00002D1D">
                        <w:trPr>
                          <w:trHeight w:val="144"/>
                          <w:jc w:val="center"/>
                        </w:trPr>
                        <w:tc>
                          <w:tcPr>
                            <w:tcW w:w="0" w:type="auto"/>
                            <w:shd w:val="clear" w:color="auto" w:fill="F6872B"/>
                            <w:tcMar>
                              <w:top w:w="0" w:type="dxa"/>
                              <w:bottom w:w="0" w:type="dxa"/>
                            </w:tcMar>
                            <w:vAlign w:val="center"/>
                          </w:tcPr>
                          <w:p w:rsidR="009103E6" w:rsidRDefault="009103E6">
                            <w:pPr>
                              <w:pStyle w:val="MediumGrid21"/>
                              <w:rPr>
                                <w:sz w:val="8"/>
                                <w:szCs w:val="8"/>
                              </w:rPr>
                            </w:pPr>
                          </w:p>
                        </w:tc>
                      </w:tr>
                      <w:tr w:rsidR="009103E6" w:rsidRPr="00002D1D">
                        <w:trPr>
                          <w:trHeight w:val="1440"/>
                          <w:jc w:val="center"/>
                        </w:trPr>
                        <w:tc>
                          <w:tcPr>
                            <w:tcW w:w="0" w:type="auto"/>
                            <w:shd w:val="clear" w:color="auto" w:fill="013161"/>
                            <w:vAlign w:val="center"/>
                          </w:tcPr>
                          <w:p w:rsidR="009103E6" w:rsidRDefault="009103E6">
                            <w:pPr>
                              <w:pStyle w:val="MediumGrid21"/>
                              <w:suppressOverlap/>
                              <w:jc w:val="center"/>
                              <w:rPr>
                                <w:rFonts w:ascii="Franklin Gothic Book" w:eastAsia="HGGothicM" w:hAnsi="Franklin Gothic Book" w:cs="Tahoma"/>
                                <w:color w:val="FFFFFF"/>
                                <w:sz w:val="72"/>
                                <w:szCs w:val="72"/>
                              </w:rPr>
                            </w:pPr>
                            <w:r w:rsidRPr="00002D1D">
                              <w:rPr>
                                <w:rFonts w:eastAsia="HGGothicM" w:cs="Calibri"/>
                                <w:color w:val="FFFFFF"/>
                                <w:sz w:val="64"/>
                                <w:szCs w:val="64"/>
                              </w:rPr>
                              <w:t>California - Child and Family Services Review</w:t>
                            </w:r>
                          </w:p>
                        </w:tc>
                      </w:tr>
                      <w:tr w:rsidR="009103E6" w:rsidRPr="00002D1D">
                        <w:trPr>
                          <w:trHeight w:val="144"/>
                          <w:jc w:val="center"/>
                        </w:trPr>
                        <w:tc>
                          <w:tcPr>
                            <w:tcW w:w="0" w:type="auto"/>
                            <w:shd w:val="clear" w:color="auto" w:fill="F6872B"/>
                            <w:tcMar>
                              <w:top w:w="0" w:type="dxa"/>
                              <w:bottom w:w="0" w:type="dxa"/>
                            </w:tcMar>
                            <w:vAlign w:val="center"/>
                          </w:tcPr>
                          <w:p w:rsidR="009103E6" w:rsidRDefault="009103E6">
                            <w:pPr>
                              <w:pStyle w:val="MediumGrid21"/>
                              <w:rPr>
                                <w:sz w:val="8"/>
                                <w:szCs w:val="8"/>
                              </w:rPr>
                            </w:pPr>
                          </w:p>
                        </w:tc>
                      </w:tr>
                      <w:tr w:rsidR="009103E6" w:rsidRPr="00002D1D">
                        <w:trPr>
                          <w:trHeight w:val="720"/>
                          <w:jc w:val="center"/>
                        </w:trPr>
                        <w:tc>
                          <w:tcPr>
                            <w:tcW w:w="0" w:type="auto"/>
                            <w:vAlign w:val="bottom"/>
                          </w:tcPr>
                          <w:p w:rsidR="009103E6" w:rsidRDefault="009103E6">
                            <w:pPr>
                              <w:pStyle w:val="MediumGrid21"/>
                              <w:suppressOverlap/>
                              <w:jc w:val="center"/>
                              <w:rPr>
                                <w:rFonts w:ascii="Franklin Gothic Book" w:eastAsia="HGGothicM" w:hAnsi="Franklin Gothic Book" w:cs="Tahoma"/>
                                <w:i/>
                                <w:iCs/>
                                <w:color w:val="014589"/>
                                <w:sz w:val="36"/>
                                <w:szCs w:val="36"/>
                              </w:rPr>
                            </w:pPr>
                            <w:r w:rsidRPr="004E138C">
                              <w:rPr>
                                <w:b/>
                                <w:color w:val="014589"/>
                                <w:sz w:val="52"/>
                                <w:szCs w:val="52"/>
                              </w:rPr>
                              <w:t>County Self-Assessment</w:t>
                            </w:r>
                          </w:p>
                        </w:tc>
                      </w:tr>
                    </w:tbl>
                    <w:p w:rsidR="009103E6" w:rsidRPr="001F10A6" w:rsidRDefault="009103E6" w:rsidP="00D86A11">
                      <w:pPr>
                        <w:jc w:val="center"/>
                        <w:rPr>
                          <w:color w:val="F6872B"/>
                          <w:sz w:val="32"/>
                          <w:szCs w:val="32"/>
                        </w:rPr>
                      </w:pPr>
                      <w:r w:rsidRPr="001F10A6">
                        <w:rPr>
                          <w:b/>
                          <w:bCs/>
                          <w:caps/>
                          <w:color w:val="F6872B"/>
                          <w:sz w:val="32"/>
                          <w:szCs w:val="32"/>
                        </w:rPr>
                        <w:t>October 2016</w:t>
                      </w:r>
                    </w:p>
                  </w:txbxContent>
                </v:textbox>
                <w10:wrap anchorx="page" anchory="page"/>
              </v:rect>
            </w:pict>
          </mc:Fallback>
        </mc:AlternateContent>
      </w:r>
    </w:p>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763E81" w:rsidP="00D86A11">
      <w:r>
        <w:rPr>
          <w:noProof/>
        </w:rPr>
        <mc:AlternateContent>
          <mc:Choice Requires="wpg">
            <w:drawing>
              <wp:anchor distT="0" distB="0" distL="114300" distR="114300" simplePos="0" relativeHeight="251665408" behindDoc="0" locked="0" layoutInCell="1" allowOverlap="1">
                <wp:simplePos x="0" y="0"/>
                <wp:positionH relativeFrom="column">
                  <wp:posOffset>1384300</wp:posOffset>
                </wp:positionH>
                <wp:positionV relativeFrom="paragraph">
                  <wp:posOffset>146050</wp:posOffset>
                </wp:positionV>
                <wp:extent cx="3162300" cy="2159000"/>
                <wp:effectExtent l="0" t="0" r="0" b="0"/>
                <wp:wrapSquare wrapText="bothSides"/>
                <wp:docPr id="34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0" cy="2159000"/>
                          <a:chOff x="0" y="0"/>
                          <a:chExt cx="3162300" cy="2159000"/>
                        </a:xfrm>
                      </wpg:grpSpPr>
                      <pic:pic xmlns:pic="http://schemas.openxmlformats.org/drawingml/2006/picture">
                        <pic:nvPicPr>
                          <pic:cNvPr id="343" name="Pictur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260600" y="1422400"/>
                            <a:ext cx="749300" cy="723900"/>
                          </a:xfrm>
                          <a:prstGeom prst="rect">
                            <a:avLst/>
                          </a:prstGeom>
                          <a:noFill/>
                          <a:ln>
                            <a:noFill/>
                          </a:ln>
                        </pic:spPr>
                      </pic:pic>
                      <pic:pic xmlns:pic="http://schemas.openxmlformats.org/drawingml/2006/picture">
                        <pic:nvPicPr>
                          <pic:cNvPr id="344" name="Picture 1" descr="SETLogo small.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6200" y="1308100"/>
                            <a:ext cx="1739900" cy="850900"/>
                          </a:xfrm>
                          <a:prstGeom prst="rect">
                            <a:avLst/>
                          </a:prstGeom>
                          <a:noFill/>
                          <a:ln>
                            <a:noFill/>
                          </a:ln>
                        </pic:spPr>
                      </pic:pic>
                      <pic:pic xmlns:pic="http://schemas.openxmlformats.org/drawingml/2006/picture">
                        <pic:nvPicPr>
                          <pic:cNvPr id="345" name="Picture 2" descr="C:\Users\ckissel\AppData\Local\Microsoft\Windows\Temporary Internet Files\Content.Outlook\86MA4PMN\HHSA - LWSD Logo.pn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2300" cy="13081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BF917CB" id="Group 4" o:spid="_x0000_s1026" style="position:absolute;margin-left:109pt;margin-top:11.5pt;width:249pt;height:170pt;z-index:251665408" coordsize="31623,215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2606;top:14224;width:7493;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">
                  <v:imagedata r:id="rId18" o:title=""/>
                  <v:path arrowok="t"/>
                </v:shape>
                <v:shape id="Picture 1" o:spid="_x0000_s1028" type="#_x0000_t75" alt="SETLogo small.jpg" style="position:absolute;left:762;top:13081;width:17399;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">
                  <v:imagedata r:id="rId19" o:title="SETLogo small"/>
                  <v:path arrowok="t"/>
                </v:shape>
                <v:shape id="Picture 2" o:spid="_x0000_s1029" type="#_x0000_t75" style="position:absolute;width:31623;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">
                  <v:imagedata r:id="rId20" o:title="HHSA - LWSD Logo"/>
                  <v:path arrowok="t"/>
                </v:shape>
                <w10:wrap type="square"/>
              </v:group>
            </w:pict>
          </mc:Fallback>
        </mc:AlternateContent>
      </w:r>
    </w:p>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763E81" w:rsidP="00D86A11">
      <w:r>
        <w:rPr>
          <w:noProof/>
        </w:rPr>
        <mc:AlternateContent>
          <mc:Choice Requires="wps">
            <w:drawing>
              <wp:anchor distT="0" distB="0" distL="114300" distR="114300" simplePos="0" relativeHeight="251620352" behindDoc="0" locked="0" layoutInCell="0" allowOverlap="1">
                <wp:simplePos x="0" y="0"/>
                <wp:positionH relativeFrom="margin">
                  <wp:posOffset>0</wp:posOffset>
                </wp:positionH>
                <wp:positionV relativeFrom="margin">
                  <wp:posOffset>6711950</wp:posOffset>
                </wp:positionV>
                <wp:extent cx="5943600" cy="1797050"/>
                <wp:effectExtent l="0" t="0" r="0" b="0"/>
                <wp:wrapNone/>
                <wp:docPr id="341"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79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9103E6" w:rsidRDefault="009103E6">
                            <w:pPr>
                              <w:pStyle w:val="MediumGrid21"/>
                              <w:spacing w:line="276" w:lineRule="auto"/>
                              <w:jc w:val="center"/>
                            </w:pPr>
                            <w:r>
                              <w:rPr>
                                <w:noProof/>
                              </w:rPr>
                              <w:drawing>
                                <wp:inline distT="0" distB="0" distL="0" distR="0">
                                  <wp:extent cx="933450" cy="13589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933450" cy="1358900"/>
                                          </a:xfrm>
                                          <a:prstGeom prst="rect">
                                            <a:avLst/>
                                          </a:prstGeom>
                                          <a:noFill/>
                                          <a:ln w="9525">
                                            <a:noFill/>
                                            <a:miter lim="800000"/>
                                            <a:headEnd/>
                                            <a:tailEnd/>
                                          </a:ln>
                                        </pic:spPr>
                                      </pic:pic>
                                    </a:graphicData>
                                  </a:graphic>
                                </wp:inline>
                              </w:drawing>
                            </w:r>
                          </w:p>
                        </w:txbxContent>
                      </wps:txbx>
                      <wps:bodyPr rot="0" vert="horz" wrap="square" lIns="91440" tIns="228600" rIns="91440" bIns="228600" anchor="b" anchorCtr="0" upright="1">
                        <a:noAutofit/>
                      </wps:bodyPr>
                    </wps:wsp>
                  </a:graphicData>
                </a:graphic>
                <wp14:sizeRelH relativeFrom="margin">
                  <wp14:pctWidth>100000</wp14:pctWidth>
                </wp14:sizeRelH>
                <wp14:sizeRelV relativeFrom="margin">
                  <wp14:pctHeight>0</wp14:pctHeight>
                </wp14:sizeRelV>
              </wp:anchor>
            </w:drawing>
          </mc:Choice>
          <mc:Fallback>
            <w:pict>
              <v:rect id="Rectangle 618" o:spid="_x0000_s1027" style="position:absolute;margin-left:0;margin-top:528.5pt;width:468pt;height:141.5pt;z-index:25162035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" o:allowincell="f" filled="f" stroked="f" strokeweight=".25pt">
                <v:textbox inset=",18pt,,18pt">
                  <w:txbxContent>
                    <w:p w:rsidR="009103E6" w:rsidRDefault="009103E6">
                      <w:pPr>
                        <w:pStyle w:val="MediumGrid21"/>
                        <w:spacing w:line="276" w:lineRule="auto"/>
                        <w:jc w:val="center"/>
                      </w:pPr>
                      <w:r>
                        <w:rPr>
                          <w:noProof/>
                        </w:rPr>
                        <w:drawing>
                          <wp:inline distT="0" distB="0" distL="0" distR="0">
                            <wp:extent cx="933450" cy="13589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933450" cy="1358900"/>
                                    </a:xfrm>
                                    <a:prstGeom prst="rect">
                                      <a:avLst/>
                                    </a:prstGeom>
                                    <a:noFill/>
                                    <a:ln w="9525">
                                      <a:noFill/>
                                      <a:miter lim="800000"/>
                                      <a:headEnd/>
                                      <a:tailEnd/>
                                    </a:ln>
                                  </pic:spPr>
                                </pic:pic>
                              </a:graphicData>
                            </a:graphic>
                          </wp:inline>
                        </w:drawing>
                      </w:r>
                    </w:p>
                  </w:txbxContent>
                </v:textbox>
                <w10:wrap anchorx="margin" anchory="margin"/>
              </v:rect>
            </w:pict>
          </mc:Fallback>
        </mc:AlternateContent>
      </w:r>
    </w:p>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Pr="00545133" w:rsidRDefault="00D86A11" w:rsidP="004D15F9"/>
    <w:tbl>
      <w:tblPr>
        <w:tblW w:w="9529" w:type="dxa"/>
        <w:jc w:val="center"/>
        <w:tblCellMar>
          <w:top w:w="144" w:type="dxa"/>
          <w:left w:w="0" w:type="dxa"/>
          <w:bottom w:w="144" w:type="dxa"/>
          <w:right w:w="0" w:type="dxa"/>
        </w:tblCellMar>
        <w:tblLook w:val="04A0" w:firstRow="1" w:lastRow="0" w:firstColumn="1" w:lastColumn="0" w:noHBand="0" w:noVBand="1"/>
      </w:tblPr>
      <w:tblGrid>
        <w:gridCol w:w="9529"/>
      </w:tblGrid>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r w:rsidR="00D86A11" w:rsidRPr="00002D1D">
        <w:trPr>
          <w:trHeight w:val="70"/>
          <w:jc w:val="center"/>
        </w:trPr>
        <w:tc>
          <w:tcPr>
            <w:tcW w:w="0" w:type="auto"/>
            <w:shd w:val="clear" w:color="auto" w:fill="013161"/>
            <w:vAlign w:val="center"/>
          </w:tcPr>
          <w:p w:rsidR="000B1863" w:rsidRDefault="00D86A11">
            <w:pPr>
              <w:pStyle w:val="MediumGrid21"/>
              <w:jc w:val="center"/>
              <w:rPr>
                <w:rFonts w:ascii="Franklin Gothic Book" w:eastAsia="HGGothicM" w:hAnsi="Franklin Gothic Book" w:cs="Tahoma"/>
                <w:color w:val="FFFFFF"/>
                <w:sz w:val="72"/>
                <w:szCs w:val="72"/>
              </w:rPr>
            </w:pPr>
            <w:r w:rsidRPr="00D14239">
              <w:rPr>
                <w:rFonts w:eastAsia="HGGothicM" w:cs="Calibri"/>
                <w:color w:val="FFFFFF"/>
                <w:sz w:val="48"/>
                <w:szCs w:val="64"/>
              </w:rPr>
              <w:t>Table of Contents</w:t>
            </w:r>
          </w:p>
        </w:tc>
      </w:tr>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bl>
    <w:p w:rsidR="00D86A11" w:rsidRPr="00D14239" w:rsidRDefault="00D86A11" w:rsidP="00D86A11">
      <w:pPr>
        <w:tabs>
          <w:tab w:val="left" w:pos="8640"/>
        </w:tabs>
        <w:spacing w:after="200"/>
        <w:rPr>
          <w:smallCaps/>
          <w:color w:val="auto"/>
          <w:sz w:val="24"/>
          <w:szCs w:val="24"/>
        </w:rPr>
      </w:pPr>
    </w:p>
    <w:p w:rsidR="00D86A11" w:rsidRPr="00D14239" w:rsidRDefault="00D86A11" w:rsidP="00D86A11">
      <w:pPr>
        <w:tabs>
          <w:tab w:val="left" w:pos="8640"/>
        </w:tabs>
        <w:spacing w:after="200"/>
        <w:rPr>
          <w:smallCaps/>
          <w:color w:val="auto"/>
          <w:sz w:val="24"/>
          <w:szCs w:val="24"/>
        </w:rPr>
      </w:pPr>
      <w:r w:rsidRPr="00D14239">
        <w:rPr>
          <w:smallCaps/>
          <w:color w:val="auto"/>
          <w:sz w:val="24"/>
          <w:szCs w:val="24"/>
        </w:rPr>
        <w:t>Introduction………………………………………………………………….……….</w:t>
      </w:r>
      <w:r w:rsidR="00C9376C">
        <w:rPr>
          <w:smallCaps/>
          <w:color w:val="auto"/>
          <w:sz w:val="24"/>
          <w:szCs w:val="24"/>
        </w:rPr>
        <w:t>..</w:t>
      </w:r>
      <w:r w:rsidR="000B1863">
        <w:rPr>
          <w:smallCaps/>
          <w:color w:val="auto"/>
          <w:sz w:val="24"/>
          <w:szCs w:val="24"/>
        </w:rPr>
        <w:t>…..</w:t>
      </w:r>
      <w:r w:rsidRPr="00D14239">
        <w:rPr>
          <w:smallCaps/>
          <w:color w:val="auto"/>
          <w:sz w:val="24"/>
          <w:szCs w:val="24"/>
        </w:rPr>
        <w:t xml:space="preserve">Page </w:t>
      </w:r>
      <w:r w:rsidR="00BA05B6">
        <w:rPr>
          <w:smallCaps/>
          <w:color w:val="auto"/>
          <w:sz w:val="24"/>
          <w:szCs w:val="24"/>
        </w:rPr>
        <w:t>5</w:t>
      </w:r>
    </w:p>
    <w:p w:rsidR="00D86A11" w:rsidRPr="00D14239" w:rsidRDefault="00D86A11" w:rsidP="00D86A11">
      <w:pPr>
        <w:spacing w:after="200"/>
        <w:rPr>
          <w:smallCaps/>
          <w:color w:val="auto"/>
          <w:sz w:val="24"/>
          <w:szCs w:val="24"/>
        </w:rPr>
      </w:pPr>
      <w:r w:rsidRPr="00D14239">
        <w:rPr>
          <w:smallCaps/>
          <w:color w:val="auto"/>
          <w:sz w:val="24"/>
          <w:szCs w:val="24"/>
        </w:rPr>
        <w:t xml:space="preserve">C-CFSR Planning Team &amp; Core Representatives...…………..………………….….…… </w:t>
      </w:r>
      <w:r w:rsidR="000B1863">
        <w:rPr>
          <w:smallCaps/>
          <w:color w:val="auto"/>
          <w:sz w:val="24"/>
          <w:szCs w:val="24"/>
        </w:rPr>
        <w:t>…..</w:t>
      </w:r>
      <w:r w:rsidRPr="00D14239">
        <w:rPr>
          <w:smallCaps/>
          <w:color w:val="auto"/>
          <w:sz w:val="24"/>
          <w:szCs w:val="24"/>
        </w:rPr>
        <w:t>Page</w:t>
      </w:r>
      <w:r w:rsidR="00C9376C">
        <w:rPr>
          <w:smallCaps/>
          <w:color w:val="auto"/>
          <w:sz w:val="24"/>
          <w:szCs w:val="24"/>
        </w:rPr>
        <w:t xml:space="preserve"> </w:t>
      </w:r>
      <w:r w:rsidR="00BA05B6">
        <w:rPr>
          <w:smallCaps/>
          <w:color w:val="auto"/>
          <w:sz w:val="24"/>
          <w:szCs w:val="24"/>
        </w:rPr>
        <w:t>8</w:t>
      </w:r>
    </w:p>
    <w:p w:rsidR="00D86A11" w:rsidRPr="00D14239" w:rsidRDefault="00D86A11" w:rsidP="00D86A11">
      <w:pPr>
        <w:spacing w:after="200"/>
        <w:rPr>
          <w:smallCaps/>
          <w:color w:val="auto"/>
          <w:sz w:val="24"/>
          <w:szCs w:val="24"/>
        </w:rPr>
      </w:pPr>
      <w:r w:rsidRPr="00D14239">
        <w:rPr>
          <w:smallCaps/>
          <w:color w:val="auto"/>
          <w:sz w:val="24"/>
          <w:szCs w:val="24"/>
        </w:rPr>
        <w:t>Demographic Profile………………………………………………………….…….</w:t>
      </w:r>
      <w:r>
        <w:rPr>
          <w:smallCaps/>
          <w:color w:val="auto"/>
          <w:sz w:val="24"/>
          <w:szCs w:val="24"/>
        </w:rPr>
        <w:t>…</w:t>
      </w:r>
      <w:r w:rsidR="000B1863">
        <w:rPr>
          <w:smallCaps/>
          <w:color w:val="auto"/>
          <w:sz w:val="24"/>
          <w:szCs w:val="24"/>
        </w:rPr>
        <w:t>…</w:t>
      </w:r>
      <w:r w:rsidR="00C9376C">
        <w:rPr>
          <w:smallCaps/>
          <w:color w:val="auto"/>
          <w:sz w:val="24"/>
          <w:szCs w:val="24"/>
        </w:rPr>
        <w:t>…</w:t>
      </w:r>
      <w:r w:rsidR="000B1863">
        <w:rPr>
          <w:smallCaps/>
          <w:color w:val="auto"/>
          <w:sz w:val="24"/>
          <w:szCs w:val="24"/>
        </w:rPr>
        <w:t>.</w:t>
      </w:r>
      <w:r>
        <w:rPr>
          <w:smallCaps/>
          <w:color w:val="auto"/>
          <w:sz w:val="24"/>
          <w:szCs w:val="24"/>
        </w:rPr>
        <w:t xml:space="preserve">Page </w:t>
      </w:r>
      <w:r w:rsidR="00C9376C">
        <w:rPr>
          <w:smallCaps/>
          <w:color w:val="auto"/>
          <w:sz w:val="24"/>
          <w:szCs w:val="24"/>
        </w:rPr>
        <w:t>9</w:t>
      </w:r>
    </w:p>
    <w:p w:rsidR="00D86A11" w:rsidRPr="00D14239" w:rsidRDefault="00D86A11" w:rsidP="00D86A11">
      <w:pPr>
        <w:spacing w:after="200"/>
        <w:rPr>
          <w:smallCaps/>
          <w:color w:val="auto"/>
          <w:sz w:val="24"/>
          <w:szCs w:val="24"/>
        </w:rPr>
      </w:pPr>
      <w:r w:rsidRPr="00D14239">
        <w:rPr>
          <w:smallCaps/>
          <w:color w:val="auto"/>
          <w:sz w:val="24"/>
          <w:szCs w:val="24"/>
        </w:rPr>
        <w:t>Public Agency Characteristics… …………………………………..…………….……</w:t>
      </w:r>
      <w:r w:rsidR="00C9376C">
        <w:rPr>
          <w:smallCaps/>
          <w:color w:val="auto"/>
          <w:sz w:val="24"/>
          <w:szCs w:val="24"/>
        </w:rPr>
        <w:t>...</w:t>
      </w:r>
      <w:r w:rsidR="000B1863">
        <w:rPr>
          <w:smallCaps/>
          <w:color w:val="auto"/>
          <w:sz w:val="24"/>
          <w:szCs w:val="24"/>
        </w:rPr>
        <w:t>..</w:t>
      </w:r>
      <w:r w:rsidR="00C9376C" w:rsidRPr="00C9376C">
        <w:rPr>
          <w:smallCaps/>
          <w:color w:val="auto"/>
          <w:sz w:val="24"/>
          <w:szCs w:val="24"/>
        </w:rPr>
        <w:t xml:space="preserve"> </w:t>
      </w:r>
      <w:r w:rsidR="00C9376C">
        <w:rPr>
          <w:smallCaps/>
          <w:color w:val="auto"/>
          <w:sz w:val="24"/>
          <w:szCs w:val="24"/>
        </w:rPr>
        <w:t>Page 30</w:t>
      </w:r>
      <w:r w:rsidRPr="00D14239">
        <w:rPr>
          <w:smallCaps/>
          <w:color w:val="auto"/>
          <w:sz w:val="24"/>
          <w:szCs w:val="24"/>
        </w:rPr>
        <w:t xml:space="preserve"> </w:t>
      </w:r>
    </w:p>
    <w:p w:rsidR="00D86A11" w:rsidRPr="00D14239" w:rsidRDefault="00D86A11" w:rsidP="00D86A11">
      <w:pPr>
        <w:spacing w:after="200"/>
        <w:rPr>
          <w:smallCaps/>
          <w:color w:val="auto"/>
          <w:sz w:val="24"/>
          <w:szCs w:val="24"/>
        </w:rPr>
      </w:pPr>
      <w:r w:rsidRPr="00D14239">
        <w:rPr>
          <w:smallCaps/>
          <w:color w:val="auto"/>
          <w:sz w:val="24"/>
          <w:szCs w:val="24"/>
        </w:rPr>
        <w:t xml:space="preserve">State and Federally Mandated Child Welfare/Probation Initiatives……………….… </w:t>
      </w:r>
      <w:r w:rsidR="000B1863">
        <w:rPr>
          <w:smallCaps/>
          <w:color w:val="auto"/>
          <w:sz w:val="24"/>
          <w:szCs w:val="24"/>
        </w:rPr>
        <w:t>….</w:t>
      </w:r>
      <w:r w:rsidRPr="000B1863">
        <w:rPr>
          <w:smallCaps/>
          <w:color w:val="auto"/>
          <w:sz w:val="24"/>
          <w:szCs w:val="24"/>
        </w:rPr>
        <w:t>Page 4</w:t>
      </w:r>
      <w:r w:rsidR="00E62E8B">
        <w:rPr>
          <w:smallCaps/>
          <w:color w:val="auto"/>
          <w:sz w:val="24"/>
          <w:szCs w:val="24"/>
        </w:rPr>
        <w:t>6</w:t>
      </w:r>
    </w:p>
    <w:p w:rsidR="00D86A11" w:rsidRPr="00D14239" w:rsidRDefault="00D86A11" w:rsidP="00D86A11">
      <w:pPr>
        <w:spacing w:after="200"/>
        <w:rPr>
          <w:smallCaps/>
          <w:color w:val="auto"/>
          <w:sz w:val="24"/>
          <w:szCs w:val="24"/>
        </w:rPr>
      </w:pPr>
      <w:r w:rsidRPr="00D14239">
        <w:rPr>
          <w:smallCaps/>
          <w:color w:val="auto"/>
          <w:sz w:val="24"/>
          <w:szCs w:val="24"/>
        </w:rPr>
        <w:t>Board of Supervisors Designated Commission, Board or Bodies………………………...</w:t>
      </w:r>
      <w:r w:rsidR="000B1863">
        <w:rPr>
          <w:smallCaps/>
          <w:color w:val="auto"/>
          <w:sz w:val="24"/>
          <w:szCs w:val="24"/>
        </w:rPr>
        <w:t>....</w:t>
      </w:r>
      <w:r w:rsidRPr="00D14239">
        <w:rPr>
          <w:smallCaps/>
          <w:color w:val="auto"/>
          <w:sz w:val="24"/>
          <w:szCs w:val="24"/>
        </w:rPr>
        <w:t xml:space="preserve">Page </w:t>
      </w:r>
      <w:r>
        <w:rPr>
          <w:smallCaps/>
          <w:color w:val="auto"/>
          <w:sz w:val="24"/>
          <w:szCs w:val="24"/>
        </w:rPr>
        <w:t>5</w:t>
      </w:r>
      <w:r w:rsidR="004F51AF">
        <w:rPr>
          <w:smallCaps/>
          <w:color w:val="auto"/>
          <w:sz w:val="24"/>
          <w:szCs w:val="24"/>
        </w:rPr>
        <w:t>4</w:t>
      </w:r>
    </w:p>
    <w:p w:rsidR="00D86A11" w:rsidRPr="00D14239" w:rsidRDefault="00D86A11" w:rsidP="00D86A11">
      <w:pPr>
        <w:spacing w:after="200"/>
        <w:rPr>
          <w:smallCaps/>
          <w:color w:val="auto"/>
          <w:sz w:val="24"/>
          <w:szCs w:val="24"/>
        </w:rPr>
      </w:pPr>
      <w:r w:rsidRPr="00D14239">
        <w:rPr>
          <w:smallCaps/>
          <w:color w:val="auto"/>
          <w:sz w:val="24"/>
          <w:szCs w:val="24"/>
        </w:rPr>
        <w:t>Systemic Factors….………….……………………… …………………………………</w:t>
      </w:r>
      <w:r w:rsidR="000B1863">
        <w:rPr>
          <w:smallCaps/>
          <w:color w:val="auto"/>
          <w:sz w:val="24"/>
          <w:szCs w:val="24"/>
        </w:rPr>
        <w:t>…</w:t>
      </w:r>
      <w:r w:rsidR="004F51AF">
        <w:rPr>
          <w:smallCaps/>
          <w:color w:val="auto"/>
          <w:sz w:val="24"/>
          <w:szCs w:val="24"/>
        </w:rPr>
        <w:t>.</w:t>
      </w:r>
      <w:r w:rsidRPr="00D14239">
        <w:rPr>
          <w:smallCaps/>
          <w:color w:val="auto"/>
          <w:sz w:val="24"/>
          <w:szCs w:val="24"/>
        </w:rPr>
        <w:t xml:space="preserve">Page </w:t>
      </w:r>
      <w:r>
        <w:rPr>
          <w:smallCaps/>
          <w:color w:val="auto"/>
          <w:sz w:val="24"/>
          <w:szCs w:val="24"/>
        </w:rPr>
        <w:t>5</w:t>
      </w:r>
      <w:r w:rsidR="00A75AB8">
        <w:rPr>
          <w:smallCaps/>
          <w:color w:val="auto"/>
          <w:sz w:val="24"/>
          <w:szCs w:val="24"/>
        </w:rPr>
        <w:t>5</w:t>
      </w:r>
    </w:p>
    <w:p w:rsidR="00D86A11" w:rsidRPr="00D14239" w:rsidRDefault="00D86A11" w:rsidP="00D86A11">
      <w:pPr>
        <w:spacing w:after="200"/>
        <w:rPr>
          <w:smallCaps/>
          <w:color w:val="auto"/>
          <w:sz w:val="24"/>
          <w:szCs w:val="24"/>
        </w:rPr>
      </w:pPr>
      <w:r w:rsidRPr="00D14239">
        <w:rPr>
          <w:smallCaps/>
          <w:color w:val="auto"/>
          <w:sz w:val="24"/>
          <w:szCs w:val="24"/>
        </w:rPr>
        <w:t>Critical Incident Review Process…………………………………………………</w:t>
      </w:r>
      <w:r w:rsidR="00201FB0">
        <w:rPr>
          <w:smallCaps/>
          <w:color w:val="auto"/>
          <w:sz w:val="24"/>
          <w:szCs w:val="24"/>
        </w:rPr>
        <w:t>..</w:t>
      </w:r>
      <w:r w:rsidRPr="00D14239">
        <w:rPr>
          <w:smallCaps/>
          <w:color w:val="auto"/>
          <w:sz w:val="24"/>
          <w:szCs w:val="24"/>
        </w:rPr>
        <w:t>……</w:t>
      </w:r>
      <w:r w:rsidR="000B1863">
        <w:rPr>
          <w:smallCaps/>
          <w:color w:val="auto"/>
          <w:sz w:val="24"/>
          <w:szCs w:val="24"/>
        </w:rPr>
        <w:t>….</w:t>
      </w:r>
      <w:r w:rsidRPr="00D14239">
        <w:rPr>
          <w:smallCaps/>
          <w:color w:val="auto"/>
          <w:sz w:val="24"/>
          <w:szCs w:val="24"/>
        </w:rPr>
        <w:t>Page</w:t>
      </w:r>
      <w:r>
        <w:rPr>
          <w:smallCaps/>
          <w:color w:val="auto"/>
          <w:sz w:val="24"/>
          <w:szCs w:val="24"/>
        </w:rPr>
        <w:t xml:space="preserve"> </w:t>
      </w:r>
      <w:r w:rsidR="00201FB0">
        <w:rPr>
          <w:smallCaps/>
          <w:color w:val="auto"/>
          <w:sz w:val="24"/>
          <w:szCs w:val="24"/>
        </w:rPr>
        <w:t>96</w:t>
      </w:r>
    </w:p>
    <w:p w:rsidR="00D86A11" w:rsidRPr="00D14239" w:rsidRDefault="00D86A11" w:rsidP="00D86A11">
      <w:pPr>
        <w:spacing w:after="200"/>
        <w:rPr>
          <w:smallCaps/>
          <w:color w:val="auto"/>
          <w:sz w:val="24"/>
          <w:szCs w:val="24"/>
        </w:rPr>
      </w:pPr>
      <w:r>
        <w:rPr>
          <w:smallCaps/>
          <w:color w:val="auto"/>
          <w:sz w:val="24"/>
          <w:szCs w:val="24"/>
        </w:rPr>
        <w:t>National Resource Center Training and Technical Assistance…………………………</w:t>
      </w:r>
      <w:r w:rsidR="000B1863">
        <w:rPr>
          <w:smallCaps/>
          <w:color w:val="auto"/>
          <w:sz w:val="24"/>
          <w:szCs w:val="24"/>
        </w:rPr>
        <w:t>….</w:t>
      </w:r>
      <w:r w:rsidRPr="00D14239">
        <w:rPr>
          <w:smallCaps/>
          <w:color w:val="auto"/>
          <w:sz w:val="24"/>
          <w:szCs w:val="24"/>
        </w:rPr>
        <w:t>Page</w:t>
      </w:r>
      <w:r>
        <w:rPr>
          <w:smallCaps/>
          <w:color w:val="auto"/>
          <w:sz w:val="24"/>
          <w:szCs w:val="24"/>
        </w:rPr>
        <w:t xml:space="preserve"> 9</w:t>
      </w:r>
      <w:r w:rsidR="006E420B">
        <w:rPr>
          <w:smallCaps/>
          <w:color w:val="auto"/>
          <w:sz w:val="24"/>
          <w:szCs w:val="24"/>
        </w:rPr>
        <w:t>8</w:t>
      </w:r>
    </w:p>
    <w:p w:rsidR="00D86A11" w:rsidRPr="00D14239" w:rsidRDefault="00D86A11" w:rsidP="00D86A11">
      <w:pPr>
        <w:spacing w:after="200"/>
        <w:rPr>
          <w:smallCaps/>
          <w:color w:val="auto"/>
          <w:sz w:val="24"/>
          <w:szCs w:val="24"/>
        </w:rPr>
      </w:pPr>
      <w:r w:rsidRPr="00D14239">
        <w:rPr>
          <w:smallCaps/>
          <w:color w:val="auto"/>
          <w:sz w:val="24"/>
          <w:szCs w:val="24"/>
        </w:rPr>
        <w:t>Peer Review Summary.………………..………………………………………………</w:t>
      </w:r>
      <w:r w:rsidR="006E420B">
        <w:rPr>
          <w:smallCaps/>
          <w:color w:val="auto"/>
          <w:sz w:val="24"/>
          <w:szCs w:val="24"/>
        </w:rPr>
        <w:t>.</w:t>
      </w:r>
      <w:r w:rsidRPr="00D14239">
        <w:rPr>
          <w:smallCaps/>
          <w:color w:val="auto"/>
          <w:sz w:val="24"/>
          <w:szCs w:val="24"/>
        </w:rPr>
        <w:t>…</w:t>
      </w:r>
      <w:r w:rsidR="000B1863">
        <w:rPr>
          <w:smallCaps/>
          <w:color w:val="auto"/>
          <w:sz w:val="24"/>
          <w:szCs w:val="24"/>
        </w:rPr>
        <w:t>….</w:t>
      </w:r>
      <w:r w:rsidRPr="00D14239">
        <w:rPr>
          <w:smallCaps/>
          <w:color w:val="auto"/>
          <w:sz w:val="24"/>
          <w:szCs w:val="24"/>
        </w:rPr>
        <w:t xml:space="preserve">Page </w:t>
      </w:r>
      <w:r>
        <w:rPr>
          <w:smallCaps/>
          <w:color w:val="auto"/>
          <w:sz w:val="24"/>
          <w:szCs w:val="24"/>
        </w:rPr>
        <w:t>9</w:t>
      </w:r>
      <w:r w:rsidR="006E420B">
        <w:rPr>
          <w:smallCaps/>
          <w:color w:val="auto"/>
          <w:sz w:val="24"/>
          <w:szCs w:val="24"/>
        </w:rPr>
        <w:t>8</w:t>
      </w:r>
    </w:p>
    <w:p w:rsidR="00D86A11" w:rsidRPr="00D14239" w:rsidRDefault="00D86A11" w:rsidP="00D86A11">
      <w:pPr>
        <w:spacing w:after="200"/>
        <w:rPr>
          <w:smallCaps/>
          <w:color w:val="auto"/>
          <w:sz w:val="24"/>
          <w:szCs w:val="24"/>
        </w:rPr>
      </w:pPr>
      <w:r w:rsidRPr="00D14239">
        <w:rPr>
          <w:smallCaps/>
          <w:color w:val="auto"/>
          <w:sz w:val="24"/>
          <w:szCs w:val="24"/>
        </w:rPr>
        <w:t xml:space="preserve">Outcome Data Measures……………………………………………………………. </w:t>
      </w:r>
      <w:r w:rsidR="000B1863">
        <w:rPr>
          <w:smallCaps/>
          <w:color w:val="auto"/>
          <w:sz w:val="24"/>
          <w:szCs w:val="24"/>
        </w:rPr>
        <w:t>…</w:t>
      </w:r>
      <w:r w:rsidR="000C3F51">
        <w:rPr>
          <w:smallCaps/>
          <w:color w:val="auto"/>
          <w:sz w:val="24"/>
          <w:szCs w:val="24"/>
        </w:rPr>
        <w:t>...</w:t>
      </w:r>
      <w:r w:rsidR="000B1863">
        <w:rPr>
          <w:smallCaps/>
          <w:color w:val="auto"/>
          <w:sz w:val="24"/>
          <w:szCs w:val="24"/>
        </w:rPr>
        <w:t>.</w:t>
      </w:r>
      <w:r w:rsidRPr="00D14239">
        <w:rPr>
          <w:smallCaps/>
          <w:color w:val="auto"/>
          <w:sz w:val="24"/>
          <w:szCs w:val="24"/>
        </w:rPr>
        <w:t>Page</w:t>
      </w:r>
      <w:r w:rsidR="000C3F51">
        <w:rPr>
          <w:smallCaps/>
          <w:color w:val="auto"/>
          <w:sz w:val="24"/>
          <w:szCs w:val="24"/>
        </w:rPr>
        <w:t xml:space="preserve"> 104</w:t>
      </w:r>
    </w:p>
    <w:p w:rsidR="00D86A11" w:rsidRPr="00D14239" w:rsidRDefault="00D86A11" w:rsidP="00D86A11">
      <w:pPr>
        <w:spacing w:after="200"/>
        <w:rPr>
          <w:smallCaps/>
          <w:color w:val="auto"/>
          <w:sz w:val="24"/>
          <w:szCs w:val="24"/>
        </w:rPr>
      </w:pPr>
      <w:r w:rsidRPr="00D14239">
        <w:rPr>
          <w:smallCaps/>
          <w:color w:val="auto"/>
          <w:sz w:val="24"/>
          <w:szCs w:val="24"/>
        </w:rPr>
        <w:t>Summary of Findings……………………………………………………………………</w:t>
      </w:r>
      <w:r w:rsidR="00117F3C">
        <w:rPr>
          <w:smallCaps/>
          <w:color w:val="auto"/>
          <w:sz w:val="24"/>
          <w:szCs w:val="24"/>
        </w:rPr>
        <w:t>.</w:t>
      </w:r>
      <w:r w:rsidRPr="00D14239">
        <w:rPr>
          <w:smallCaps/>
          <w:color w:val="auto"/>
          <w:sz w:val="24"/>
          <w:szCs w:val="24"/>
        </w:rPr>
        <w:t>..</w:t>
      </w:r>
      <w:r w:rsidR="000B1863">
        <w:rPr>
          <w:smallCaps/>
          <w:color w:val="auto"/>
          <w:sz w:val="24"/>
          <w:szCs w:val="24"/>
        </w:rPr>
        <w:t>.</w:t>
      </w:r>
      <w:r w:rsidRPr="00D14239">
        <w:rPr>
          <w:smallCaps/>
          <w:color w:val="auto"/>
          <w:sz w:val="24"/>
          <w:szCs w:val="24"/>
        </w:rPr>
        <w:t xml:space="preserve">Page </w:t>
      </w:r>
      <w:r w:rsidR="00117F3C">
        <w:rPr>
          <w:smallCaps/>
          <w:color w:val="auto"/>
          <w:sz w:val="24"/>
          <w:szCs w:val="24"/>
        </w:rPr>
        <w:t>140</w:t>
      </w:r>
    </w:p>
    <w:p w:rsidR="00D86A11" w:rsidRPr="00D14239" w:rsidRDefault="00D86A11" w:rsidP="00D86A11">
      <w:pPr>
        <w:spacing w:after="200"/>
        <w:rPr>
          <w:smallCaps/>
          <w:color w:val="auto"/>
          <w:sz w:val="24"/>
          <w:szCs w:val="24"/>
        </w:rPr>
      </w:pPr>
      <w:r w:rsidRPr="00D14239">
        <w:rPr>
          <w:smallCaps/>
          <w:color w:val="auto"/>
          <w:sz w:val="24"/>
          <w:szCs w:val="24"/>
        </w:rPr>
        <w:t>Attachments</w:t>
      </w:r>
    </w:p>
    <w:p w:rsidR="00D86A11" w:rsidRPr="00DA6705" w:rsidRDefault="00D86A11" w:rsidP="00D86A11">
      <w:pPr>
        <w:spacing w:after="200"/>
        <w:rPr>
          <w:smallCaps/>
          <w:color w:val="auto"/>
          <w:sz w:val="24"/>
          <w:szCs w:val="24"/>
        </w:rPr>
      </w:pPr>
      <w:r w:rsidRPr="00DA6705">
        <w:rPr>
          <w:smallCaps/>
          <w:color w:val="auto"/>
          <w:sz w:val="24"/>
          <w:szCs w:val="24"/>
        </w:rPr>
        <w:t>Appendix A: HHSA Organizational Chart……………………………………..….Attachment</w:t>
      </w:r>
      <w:r>
        <w:rPr>
          <w:smallCaps/>
          <w:color w:val="auto"/>
          <w:sz w:val="24"/>
          <w:szCs w:val="24"/>
        </w:rPr>
        <w:t xml:space="preserve"> 1</w:t>
      </w:r>
      <w:r w:rsidR="00A01D5B">
        <w:rPr>
          <w:smallCaps/>
          <w:color w:val="auto"/>
          <w:sz w:val="24"/>
          <w:szCs w:val="24"/>
        </w:rPr>
        <w:t>52</w:t>
      </w:r>
    </w:p>
    <w:p w:rsidR="00D86A11" w:rsidRPr="00DA6705" w:rsidRDefault="00D86A11" w:rsidP="00D86A11">
      <w:pPr>
        <w:spacing w:after="200"/>
        <w:rPr>
          <w:smallCaps/>
          <w:color w:val="auto"/>
          <w:sz w:val="24"/>
          <w:szCs w:val="24"/>
        </w:rPr>
      </w:pPr>
      <w:r w:rsidRPr="00DA6705">
        <w:rPr>
          <w:smallCaps/>
          <w:color w:val="auto"/>
          <w:sz w:val="24"/>
          <w:szCs w:val="24"/>
        </w:rPr>
        <w:t xml:space="preserve">Appendix B: San Diego County Regional Map………………………….….……....Attachment </w:t>
      </w:r>
      <w:r>
        <w:rPr>
          <w:smallCaps/>
          <w:color w:val="auto"/>
          <w:sz w:val="24"/>
          <w:szCs w:val="24"/>
        </w:rPr>
        <w:t>1</w:t>
      </w:r>
      <w:r w:rsidR="00BB6BED">
        <w:rPr>
          <w:smallCaps/>
          <w:color w:val="auto"/>
          <w:sz w:val="24"/>
          <w:szCs w:val="24"/>
        </w:rPr>
        <w:t>56</w:t>
      </w:r>
    </w:p>
    <w:p w:rsidR="00D86A11" w:rsidRPr="00DA6705" w:rsidRDefault="00D86A11" w:rsidP="00D86A11">
      <w:pPr>
        <w:spacing w:after="200"/>
        <w:rPr>
          <w:smallCaps/>
          <w:color w:val="auto"/>
          <w:sz w:val="24"/>
          <w:szCs w:val="24"/>
        </w:rPr>
      </w:pPr>
      <w:r w:rsidRPr="00DA6705">
        <w:rPr>
          <w:smallCaps/>
          <w:color w:val="auto"/>
          <w:sz w:val="24"/>
          <w:szCs w:val="24"/>
        </w:rPr>
        <w:t xml:space="preserve">Appendix C: County Self-Assessment Team…………………………….….……....Attachment </w:t>
      </w:r>
      <w:r>
        <w:rPr>
          <w:smallCaps/>
          <w:color w:val="auto"/>
          <w:sz w:val="24"/>
          <w:szCs w:val="24"/>
        </w:rPr>
        <w:t>1</w:t>
      </w:r>
      <w:r w:rsidR="00053233">
        <w:rPr>
          <w:smallCaps/>
          <w:color w:val="auto"/>
          <w:sz w:val="24"/>
          <w:szCs w:val="24"/>
        </w:rPr>
        <w:t>57</w:t>
      </w:r>
    </w:p>
    <w:p w:rsidR="00D86A11" w:rsidRPr="00DA6705" w:rsidRDefault="00D86A11" w:rsidP="00D86A11">
      <w:pPr>
        <w:spacing w:after="200"/>
        <w:rPr>
          <w:smallCaps/>
          <w:color w:val="auto"/>
          <w:sz w:val="24"/>
          <w:szCs w:val="24"/>
        </w:rPr>
      </w:pPr>
      <w:r w:rsidRPr="00DA6705">
        <w:rPr>
          <w:smallCaps/>
          <w:color w:val="auto"/>
          <w:sz w:val="24"/>
          <w:szCs w:val="24"/>
        </w:rPr>
        <w:t>Appendix D: County Self-Assessment Stakeholder list ……………….….……....</w:t>
      </w:r>
      <w:r w:rsidR="000B1863">
        <w:rPr>
          <w:smallCaps/>
          <w:color w:val="auto"/>
          <w:sz w:val="24"/>
          <w:szCs w:val="24"/>
        </w:rPr>
        <w:t>.</w:t>
      </w:r>
      <w:r w:rsidRPr="00DA6705">
        <w:rPr>
          <w:smallCaps/>
          <w:color w:val="auto"/>
          <w:sz w:val="24"/>
          <w:szCs w:val="24"/>
        </w:rPr>
        <w:t xml:space="preserve">Attachment </w:t>
      </w:r>
      <w:r>
        <w:rPr>
          <w:smallCaps/>
          <w:color w:val="auto"/>
          <w:sz w:val="24"/>
          <w:szCs w:val="24"/>
        </w:rPr>
        <w:t>1</w:t>
      </w:r>
      <w:r w:rsidR="00E25402">
        <w:rPr>
          <w:smallCaps/>
          <w:color w:val="auto"/>
          <w:sz w:val="24"/>
          <w:szCs w:val="24"/>
        </w:rPr>
        <w:t>57</w:t>
      </w:r>
    </w:p>
    <w:p w:rsidR="00D86A11" w:rsidRPr="00DA6705" w:rsidRDefault="00D86A11" w:rsidP="00D86A11">
      <w:pPr>
        <w:spacing w:after="200"/>
        <w:rPr>
          <w:smallCaps/>
          <w:color w:val="auto"/>
          <w:sz w:val="24"/>
          <w:szCs w:val="24"/>
        </w:rPr>
      </w:pPr>
      <w:r w:rsidRPr="00DA6705">
        <w:rPr>
          <w:smallCaps/>
          <w:color w:val="auto"/>
          <w:sz w:val="24"/>
          <w:szCs w:val="24"/>
        </w:rPr>
        <w:t xml:space="preserve">Appendix E: Stakeholder Survey……………………………………….….……....Attachment </w:t>
      </w:r>
      <w:r>
        <w:rPr>
          <w:smallCaps/>
          <w:color w:val="auto"/>
          <w:sz w:val="24"/>
          <w:szCs w:val="24"/>
        </w:rPr>
        <w:t>15</w:t>
      </w:r>
      <w:r w:rsidR="00E25402">
        <w:rPr>
          <w:smallCaps/>
          <w:color w:val="auto"/>
          <w:sz w:val="24"/>
          <w:szCs w:val="24"/>
        </w:rPr>
        <w:t>9</w:t>
      </w:r>
    </w:p>
    <w:p w:rsidR="00D86A11" w:rsidRPr="00DA6705" w:rsidRDefault="00D86A11" w:rsidP="00D86A11">
      <w:pPr>
        <w:spacing w:after="200"/>
        <w:rPr>
          <w:smallCaps/>
          <w:color w:val="auto"/>
          <w:sz w:val="24"/>
          <w:szCs w:val="24"/>
        </w:rPr>
      </w:pPr>
      <w:r>
        <w:rPr>
          <w:smallCaps/>
          <w:color w:val="auto"/>
          <w:sz w:val="24"/>
          <w:szCs w:val="24"/>
        </w:rPr>
        <w:t>Appendix F</w:t>
      </w:r>
      <w:r w:rsidRPr="00DA6705">
        <w:rPr>
          <w:smallCaps/>
          <w:color w:val="auto"/>
          <w:sz w:val="24"/>
          <w:szCs w:val="24"/>
        </w:rPr>
        <w:t>: Stakeholder Survey Results…………………………….….……</w:t>
      </w:r>
      <w:r>
        <w:rPr>
          <w:smallCaps/>
          <w:color w:val="auto"/>
          <w:sz w:val="24"/>
          <w:szCs w:val="24"/>
        </w:rPr>
        <w:t>..</w:t>
      </w:r>
      <w:r w:rsidRPr="00DA6705">
        <w:rPr>
          <w:smallCaps/>
          <w:color w:val="auto"/>
          <w:sz w:val="24"/>
          <w:szCs w:val="24"/>
        </w:rPr>
        <w:t xml:space="preserve">....Attachment </w:t>
      </w:r>
      <w:r>
        <w:rPr>
          <w:smallCaps/>
          <w:color w:val="auto"/>
          <w:sz w:val="24"/>
          <w:szCs w:val="24"/>
        </w:rPr>
        <w:t>1</w:t>
      </w:r>
      <w:r w:rsidR="00E25402">
        <w:rPr>
          <w:smallCaps/>
          <w:color w:val="auto"/>
          <w:sz w:val="24"/>
          <w:szCs w:val="24"/>
        </w:rPr>
        <w:t>63</w:t>
      </w:r>
    </w:p>
    <w:p w:rsidR="00D86A11" w:rsidRPr="00DA6705" w:rsidRDefault="00D86A11" w:rsidP="00D86A11">
      <w:pPr>
        <w:spacing w:after="200"/>
        <w:rPr>
          <w:smallCaps/>
          <w:color w:val="auto"/>
          <w:sz w:val="24"/>
          <w:szCs w:val="24"/>
        </w:rPr>
      </w:pPr>
      <w:r w:rsidRPr="00DA6705">
        <w:rPr>
          <w:smallCaps/>
          <w:color w:val="auto"/>
          <w:sz w:val="24"/>
          <w:szCs w:val="24"/>
        </w:rPr>
        <w:t>Appendix G: Community Services for Families (CSF)………………….….……....</w:t>
      </w:r>
      <w:r w:rsidR="000B1863">
        <w:rPr>
          <w:smallCaps/>
          <w:color w:val="auto"/>
          <w:sz w:val="24"/>
          <w:szCs w:val="24"/>
        </w:rPr>
        <w:t>..</w:t>
      </w:r>
      <w:r w:rsidRPr="00DA6705">
        <w:rPr>
          <w:smallCaps/>
          <w:color w:val="auto"/>
          <w:sz w:val="24"/>
          <w:szCs w:val="24"/>
        </w:rPr>
        <w:t xml:space="preserve">Attachment </w:t>
      </w:r>
      <w:r>
        <w:rPr>
          <w:smallCaps/>
          <w:color w:val="auto"/>
          <w:sz w:val="24"/>
          <w:szCs w:val="24"/>
        </w:rPr>
        <w:t>1</w:t>
      </w:r>
      <w:r w:rsidR="0005528A">
        <w:rPr>
          <w:smallCaps/>
          <w:color w:val="auto"/>
          <w:sz w:val="24"/>
          <w:szCs w:val="24"/>
        </w:rPr>
        <w:t>72</w:t>
      </w:r>
    </w:p>
    <w:p w:rsidR="00D86A11" w:rsidRPr="00DA6705" w:rsidRDefault="00D86A11" w:rsidP="00D86A11">
      <w:pPr>
        <w:spacing w:after="200"/>
        <w:rPr>
          <w:smallCaps/>
          <w:color w:val="auto"/>
          <w:sz w:val="24"/>
          <w:szCs w:val="24"/>
        </w:rPr>
      </w:pPr>
      <w:r w:rsidRPr="00DA6705">
        <w:rPr>
          <w:smallCaps/>
          <w:color w:val="auto"/>
          <w:sz w:val="24"/>
          <w:szCs w:val="24"/>
        </w:rPr>
        <w:t xml:space="preserve">Appendix h: Literature Review on Reentry and Permanency………….….……....Attachment </w:t>
      </w:r>
      <w:r>
        <w:rPr>
          <w:smallCaps/>
          <w:color w:val="auto"/>
          <w:sz w:val="24"/>
          <w:szCs w:val="24"/>
        </w:rPr>
        <w:t>1</w:t>
      </w:r>
      <w:r w:rsidR="000F193E">
        <w:rPr>
          <w:smallCaps/>
          <w:color w:val="auto"/>
          <w:sz w:val="24"/>
          <w:szCs w:val="24"/>
        </w:rPr>
        <w:t>73</w:t>
      </w:r>
    </w:p>
    <w:p w:rsidR="00D86A11" w:rsidRPr="00DA6705" w:rsidRDefault="00D86A11" w:rsidP="00D86A11">
      <w:pPr>
        <w:spacing w:after="200"/>
        <w:rPr>
          <w:smallCaps/>
          <w:color w:val="auto"/>
          <w:sz w:val="24"/>
          <w:szCs w:val="24"/>
        </w:rPr>
      </w:pPr>
      <w:r w:rsidRPr="00DA6705">
        <w:rPr>
          <w:smallCaps/>
          <w:color w:val="auto"/>
          <w:sz w:val="24"/>
          <w:szCs w:val="24"/>
        </w:rPr>
        <w:t xml:space="preserve">Appendix i: Peer Review Findings……………………………………….….……....Attachment </w:t>
      </w:r>
      <w:r>
        <w:rPr>
          <w:smallCaps/>
          <w:color w:val="auto"/>
          <w:sz w:val="24"/>
          <w:szCs w:val="24"/>
        </w:rPr>
        <w:t>1</w:t>
      </w:r>
      <w:r w:rsidR="000F193E">
        <w:rPr>
          <w:smallCaps/>
          <w:color w:val="auto"/>
          <w:sz w:val="24"/>
          <w:szCs w:val="24"/>
        </w:rPr>
        <w:t>96</w:t>
      </w:r>
    </w:p>
    <w:p w:rsidR="00D86A11" w:rsidRPr="00DA6705" w:rsidRDefault="00D86A11" w:rsidP="00D86A11">
      <w:pPr>
        <w:spacing w:after="200"/>
        <w:rPr>
          <w:smallCaps/>
          <w:color w:val="auto"/>
          <w:sz w:val="24"/>
          <w:szCs w:val="24"/>
        </w:rPr>
      </w:pPr>
      <w:r w:rsidRPr="00DA6705">
        <w:rPr>
          <w:smallCaps/>
          <w:color w:val="auto"/>
          <w:sz w:val="24"/>
          <w:szCs w:val="24"/>
        </w:rPr>
        <w:lastRenderedPageBreak/>
        <w:t>Appendix j: Stakeholder Meeting Results…………………………….….……....</w:t>
      </w:r>
      <w:r w:rsidR="000B1863">
        <w:rPr>
          <w:smallCaps/>
          <w:color w:val="auto"/>
          <w:sz w:val="24"/>
          <w:szCs w:val="24"/>
        </w:rPr>
        <w:t>.</w:t>
      </w:r>
      <w:r w:rsidRPr="00DA6705">
        <w:rPr>
          <w:smallCaps/>
          <w:color w:val="auto"/>
          <w:sz w:val="24"/>
          <w:szCs w:val="24"/>
        </w:rPr>
        <w:t xml:space="preserve">Attachment </w:t>
      </w:r>
      <w:r w:rsidR="000F193E">
        <w:rPr>
          <w:smallCaps/>
          <w:color w:val="auto"/>
          <w:sz w:val="24"/>
          <w:szCs w:val="24"/>
        </w:rPr>
        <w:t>202</w:t>
      </w:r>
    </w:p>
    <w:p w:rsidR="00D86A11" w:rsidRPr="00DA6705" w:rsidRDefault="00D86A11" w:rsidP="00D86A11">
      <w:pPr>
        <w:spacing w:after="200"/>
        <w:rPr>
          <w:smallCaps/>
          <w:color w:val="auto"/>
          <w:sz w:val="24"/>
          <w:szCs w:val="24"/>
        </w:rPr>
      </w:pPr>
      <w:r w:rsidRPr="00DA6705">
        <w:rPr>
          <w:smallCaps/>
          <w:color w:val="auto"/>
          <w:sz w:val="24"/>
          <w:szCs w:val="24"/>
        </w:rPr>
        <w:t>Appendix K: Focus group protocol………</w:t>
      </w:r>
      <w:r>
        <w:rPr>
          <w:smallCaps/>
          <w:color w:val="auto"/>
          <w:sz w:val="24"/>
          <w:szCs w:val="24"/>
        </w:rPr>
        <w:t>………………………….….</w:t>
      </w:r>
      <w:r w:rsidRPr="00DA6705">
        <w:rPr>
          <w:smallCaps/>
          <w:color w:val="auto"/>
          <w:sz w:val="24"/>
          <w:szCs w:val="24"/>
        </w:rPr>
        <w:t>……....</w:t>
      </w:r>
      <w:r w:rsidR="000B1863">
        <w:rPr>
          <w:smallCaps/>
          <w:color w:val="auto"/>
          <w:sz w:val="24"/>
          <w:szCs w:val="24"/>
        </w:rPr>
        <w:t>..</w:t>
      </w:r>
      <w:r w:rsidRPr="00DA6705">
        <w:rPr>
          <w:smallCaps/>
          <w:color w:val="auto"/>
          <w:sz w:val="24"/>
          <w:szCs w:val="24"/>
        </w:rPr>
        <w:t xml:space="preserve">Attachment </w:t>
      </w:r>
      <w:r>
        <w:rPr>
          <w:smallCaps/>
          <w:color w:val="auto"/>
          <w:sz w:val="24"/>
          <w:szCs w:val="24"/>
        </w:rPr>
        <w:t>2</w:t>
      </w:r>
      <w:r w:rsidR="000F193E">
        <w:rPr>
          <w:smallCaps/>
          <w:color w:val="auto"/>
          <w:sz w:val="24"/>
          <w:szCs w:val="24"/>
        </w:rPr>
        <w:t>23</w:t>
      </w:r>
    </w:p>
    <w:p w:rsidR="00D86A11" w:rsidRPr="00DA6705" w:rsidRDefault="00D86A11" w:rsidP="00D86A11">
      <w:pPr>
        <w:spacing w:after="200"/>
        <w:rPr>
          <w:smallCaps/>
          <w:color w:val="auto"/>
          <w:sz w:val="24"/>
          <w:szCs w:val="24"/>
        </w:rPr>
      </w:pPr>
      <w:r w:rsidRPr="00DA6705">
        <w:rPr>
          <w:smallCaps/>
          <w:color w:val="auto"/>
          <w:sz w:val="24"/>
          <w:szCs w:val="24"/>
        </w:rPr>
        <w:t>Appendix L: Focus Group Feedback………………………………….….…</w:t>
      </w:r>
      <w:r>
        <w:rPr>
          <w:smallCaps/>
          <w:color w:val="auto"/>
          <w:sz w:val="24"/>
          <w:szCs w:val="24"/>
        </w:rPr>
        <w:t>…</w:t>
      </w:r>
      <w:r w:rsidRPr="00DA6705">
        <w:rPr>
          <w:smallCaps/>
          <w:color w:val="auto"/>
          <w:sz w:val="24"/>
          <w:szCs w:val="24"/>
        </w:rPr>
        <w:t xml:space="preserve">…....Attachment </w:t>
      </w:r>
      <w:r w:rsidR="000F193E">
        <w:rPr>
          <w:smallCaps/>
          <w:color w:val="auto"/>
          <w:sz w:val="24"/>
          <w:szCs w:val="24"/>
        </w:rPr>
        <w:t>225</w:t>
      </w:r>
    </w:p>
    <w:p w:rsidR="00D86A11" w:rsidRPr="00DA6705" w:rsidRDefault="00D86A11" w:rsidP="00D86A11">
      <w:pPr>
        <w:spacing w:after="200"/>
        <w:rPr>
          <w:smallCaps/>
          <w:color w:val="auto"/>
          <w:sz w:val="24"/>
          <w:szCs w:val="24"/>
        </w:rPr>
      </w:pPr>
      <w:r>
        <w:rPr>
          <w:smallCaps/>
          <w:color w:val="auto"/>
          <w:sz w:val="24"/>
          <w:szCs w:val="24"/>
        </w:rPr>
        <w:t>Appendix M</w:t>
      </w:r>
      <w:r w:rsidRPr="00DA6705">
        <w:rPr>
          <w:smallCaps/>
          <w:color w:val="auto"/>
          <w:sz w:val="24"/>
          <w:szCs w:val="24"/>
        </w:rPr>
        <w:t>:</w:t>
      </w:r>
      <w:r>
        <w:rPr>
          <w:smallCaps/>
          <w:color w:val="auto"/>
          <w:sz w:val="24"/>
          <w:szCs w:val="24"/>
        </w:rPr>
        <w:t xml:space="preserve"> References</w:t>
      </w:r>
      <w:r w:rsidRPr="00DA6705">
        <w:rPr>
          <w:smallCaps/>
          <w:color w:val="auto"/>
          <w:sz w:val="24"/>
          <w:szCs w:val="24"/>
        </w:rPr>
        <w:t>………………………………………………</w:t>
      </w:r>
      <w:r>
        <w:rPr>
          <w:smallCaps/>
          <w:color w:val="auto"/>
          <w:sz w:val="24"/>
          <w:szCs w:val="24"/>
        </w:rPr>
        <w:t>….</w:t>
      </w:r>
      <w:r w:rsidRPr="00DA6705">
        <w:rPr>
          <w:smallCaps/>
          <w:color w:val="auto"/>
          <w:sz w:val="24"/>
          <w:szCs w:val="24"/>
        </w:rPr>
        <w:t>……....</w:t>
      </w:r>
      <w:r w:rsidR="000B1863">
        <w:rPr>
          <w:smallCaps/>
          <w:color w:val="auto"/>
          <w:sz w:val="24"/>
          <w:szCs w:val="24"/>
        </w:rPr>
        <w:t>..</w:t>
      </w:r>
      <w:r w:rsidRPr="00DA6705">
        <w:rPr>
          <w:smallCaps/>
          <w:color w:val="auto"/>
          <w:sz w:val="24"/>
          <w:szCs w:val="24"/>
        </w:rPr>
        <w:t xml:space="preserve">Attachment </w:t>
      </w:r>
      <w:r>
        <w:rPr>
          <w:smallCaps/>
          <w:color w:val="auto"/>
          <w:sz w:val="24"/>
          <w:szCs w:val="24"/>
        </w:rPr>
        <w:t>22</w:t>
      </w:r>
      <w:r w:rsidR="000F193E">
        <w:rPr>
          <w:smallCaps/>
          <w:color w:val="auto"/>
          <w:sz w:val="24"/>
          <w:szCs w:val="24"/>
        </w:rPr>
        <w:t>9</w:t>
      </w:r>
    </w:p>
    <w:p w:rsidR="009F5A2E" w:rsidRDefault="009F5A2E">
      <w:pPr>
        <w:spacing w:after="0" w:line="240" w:lineRule="auto"/>
      </w:pPr>
      <w:r>
        <w:br w:type="page"/>
      </w:r>
    </w:p>
    <w:p w:rsidR="00482413" w:rsidRPr="00F56CCA" w:rsidRDefault="00482413" w:rsidP="00482413">
      <w:pPr>
        <w:pStyle w:val="IntenseQuote"/>
        <w:pBdr>
          <w:bottom w:val="single" w:sz="36" w:space="3" w:color="BEAE98"/>
        </w:pBdr>
        <w:tabs>
          <w:tab w:val="left" w:pos="0"/>
        </w:tabs>
        <w:spacing w:after="0" w:line="360" w:lineRule="auto"/>
        <w:ind w:left="180" w:right="0" w:firstLine="90"/>
        <w:rPr>
          <w:rFonts w:ascii="Perpetua" w:hAnsi="Perpetua" w:cs="Calibri"/>
          <w:szCs w:val="32"/>
        </w:rPr>
      </w:pPr>
      <w:r w:rsidRPr="00F56CCA">
        <w:rPr>
          <w:rFonts w:ascii="Perpetua" w:hAnsi="Perpetua" w:cs="Calibri"/>
          <w:i w:val="0"/>
          <w:szCs w:val="32"/>
        </w:rPr>
        <w:lastRenderedPageBreak/>
        <w:t>Contact Information</w:t>
      </w:r>
    </w:p>
    <w:tbl>
      <w:tblPr>
        <w:tblW w:w="9720" w:type="dxa"/>
        <w:tblInd w:w="1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2160"/>
        <w:gridCol w:w="2070"/>
        <w:gridCol w:w="5490"/>
      </w:tblGrid>
      <w:tr w:rsidR="00482413" w:rsidRPr="00871926" w:rsidTr="009061CB">
        <w:tc>
          <w:tcPr>
            <w:tcW w:w="2160" w:type="dxa"/>
            <w:vMerge w:val="restart"/>
            <w:shd w:val="clear" w:color="auto" w:fill="6F6F74"/>
            <w:vAlign w:val="center"/>
          </w:tcPr>
          <w:p w:rsidR="00482413" w:rsidRPr="009126EB" w:rsidRDefault="00482413" w:rsidP="009061CB">
            <w:pPr>
              <w:spacing w:line="240" w:lineRule="auto"/>
              <w:rPr>
                <w:rFonts w:cs="Calibri"/>
                <w:color w:val="FFFFFF"/>
                <w:sz w:val="26"/>
                <w:szCs w:val="26"/>
              </w:rPr>
            </w:pPr>
            <w:r w:rsidRPr="009126EB">
              <w:rPr>
                <w:rFonts w:cs="Calibri"/>
                <w:color w:val="FFFFFF"/>
                <w:sz w:val="26"/>
                <w:szCs w:val="26"/>
              </w:rPr>
              <w:t>Child Welfare Agency</w:t>
            </w: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Name</w:t>
            </w:r>
          </w:p>
        </w:tc>
        <w:tc>
          <w:tcPr>
            <w:tcW w:w="5490" w:type="dxa"/>
            <w:shd w:val="clear" w:color="auto" w:fill="auto"/>
            <w:vAlign w:val="center"/>
          </w:tcPr>
          <w:p w:rsidR="00482413" w:rsidRPr="00ED3737" w:rsidRDefault="00482413" w:rsidP="009061CB">
            <w:pPr>
              <w:rPr>
                <w:rFonts w:ascii="Franklin Gothic Book" w:hAnsi="Franklin Gothic Book"/>
                <w:color w:val="auto"/>
                <w:spacing w:val="20"/>
                <w:sz w:val="20"/>
                <w:szCs w:val="28"/>
              </w:rPr>
            </w:pPr>
            <w:r w:rsidRPr="00ED3737">
              <w:rPr>
                <w:rFonts w:ascii="Franklin Gothic Book" w:hAnsi="Franklin Gothic Book"/>
                <w:color w:val="auto"/>
                <w:spacing w:val="20"/>
                <w:sz w:val="20"/>
                <w:szCs w:val="28"/>
              </w:rPr>
              <w:t>Kim Giardina</w:t>
            </w:r>
          </w:p>
        </w:tc>
        <w:bookmarkStart w:id="0" w:name="_GoBack"/>
        <w:bookmarkEnd w:id="0"/>
      </w:tr>
      <w:tr w:rsidR="00482413" w:rsidRPr="00871926" w:rsidTr="009061CB">
        <w:tc>
          <w:tcPr>
            <w:tcW w:w="2160" w:type="dxa"/>
            <w:vMerge/>
            <w:shd w:val="clear" w:color="auto" w:fill="6F6F74"/>
            <w:vAlign w:val="center"/>
          </w:tcPr>
          <w:p w:rsidR="00482413" w:rsidRPr="00F56CCA" w:rsidRDefault="00482413" w:rsidP="009061CB">
            <w:pPr>
              <w:spacing w:line="240" w:lineRule="auto"/>
              <w:rPr>
                <w:rFonts w:cs="Calibri"/>
                <w:color w:val="FFFFFF"/>
                <w:sz w:val="24"/>
                <w:szCs w:val="24"/>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Agency</w:t>
            </w:r>
          </w:p>
        </w:tc>
        <w:tc>
          <w:tcPr>
            <w:tcW w:w="5490" w:type="dxa"/>
            <w:shd w:val="clear" w:color="auto" w:fill="auto"/>
            <w:vAlign w:val="center"/>
          </w:tcPr>
          <w:p w:rsidR="00482413" w:rsidRPr="00ED3737" w:rsidRDefault="00482413" w:rsidP="009061CB">
            <w:pPr>
              <w:rPr>
                <w:rFonts w:ascii="Franklin Gothic Book" w:hAnsi="Franklin Gothic Book"/>
                <w:color w:val="auto"/>
                <w:spacing w:val="20"/>
                <w:sz w:val="20"/>
                <w:szCs w:val="28"/>
              </w:rPr>
            </w:pPr>
            <w:r w:rsidRPr="00ED3737">
              <w:rPr>
                <w:rFonts w:ascii="Franklin Gothic Book" w:hAnsi="Franklin Gothic Book"/>
                <w:color w:val="auto"/>
                <w:spacing w:val="20"/>
                <w:sz w:val="20"/>
                <w:szCs w:val="28"/>
              </w:rPr>
              <w:t>Child Welfare Services</w:t>
            </w:r>
          </w:p>
        </w:tc>
      </w:tr>
      <w:tr w:rsidR="00482413" w:rsidRPr="00871926" w:rsidTr="009061CB">
        <w:tc>
          <w:tcPr>
            <w:tcW w:w="2160" w:type="dxa"/>
            <w:vMerge/>
            <w:shd w:val="clear" w:color="auto" w:fill="6F6F74"/>
            <w:vAlign w:val="center"/>
          </w:tcPr>
          <w:p w:rsidR="00482413" w:rsidRPr="00F56CCA" w:rsidRDefault="00482413" w:rsidP="009061CB">
            <w:pPr>
              <w:spacing w:line="240" w:lineRule="auto"/>
              <w:rPr>
                <w:rFonts w:cs="Calibri"/>
                <w:color w:val="FFFFFF"/>
                <w:sz w:val="24"/>
                <w:szCs w:val="24"/>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Phone &amp; E-mail</w:t>
            </w:r>
          </w:p>
        </w:tc>
        <w:tc>
          <w:tcPr>
            <w:tcW w:w="5490" w:type="dxa"/>
            <w:shd w:val="clear" w:color="auto" w:fill="auto"/>
            <w:vAlign w:val="center"/>
          </w:tcPr>
          <w:p w:rsidR="001806A9" w:rsidRDefault="00482413" w:rsidP="009061CB">
            <w:pPr>
              <w:spacing w:line="240" w:lineRule="auto"/>
              <w:rPr>
                <w:rFonts w:ascii="Franklin Gothic Book" w:hAnsi="Franklin Gothic Book"/>
                <w:color w:val="auto"/>
                <w:spacing w:val="20"/>
                <w:sz w:val="20"/>
                <w:szCs w:val="28"/>
              </w:rPr>
            </w:pPr>
            <w:r w:rsidRPr="00ED3737">
              <w:rPr>
                <w:rFonts w:ascii="Franklin Gothic Book" w:hAnsi="Franklin Gothic Book"/>
                <w:color w:val="auto"/>
                <w:spacing w:val="20"/>
                <w:sz w:val="20"/>
                <w:szCs w:val="28"/>
              </w:rPr>
              <w:t>(858) 616-5989</w:t>
            </w:r>
          </w:p>
          <w:p w:rsidR="00482413" w:rsidRPr="00871926" w:rsidRDefault="006415CB" w:rsidP="009061CB">
            <w:pPr>
              <w:spacing w:line="240" w:lineRule="auto"/>
            </w:pPr>
            <w:hyperlink r:id="rId23" w:history="1">
              <w:r w:rsidR="00482413" w:rsidRPr="001806A9">
                <w:rPr>
                  <w:rStyle w:val="Hyperlink"/>
                  <w:rFonts w:ascii="Franklin Gothic Book" w:hAnsi="Franklin Gothic Book"/>
                  <w:sz w:val="20"/>
                </w:rPr>
                <w:t>Kimberly.Giardina@sdcounty.ca.gov</w:t>
              </w:r>
            </w:hyperlink>
          </w:p>
        </w:tc>
      </w:tr>
      <w:tr w:rsidR="00482413" w:rsidRPr="00871926" w:rsidTr="009061CB">
        <w:tc>
          <w:tcPr>
            <w:tcW w:w="2160" w:type="dxa"/>
            <w:vMerge/>
            <w:shd w:val="clear" w:color="auto" w:fill="6F6F74"/>
            <w:vAlign w:val="center"/>
          </w:tcPr>
          <w:p w:rsidR="00482413" w:rsidRPr="00F56CCA" w:rsidRDefault="00482413" w:rsidP="009061CB">
            <w:pPr>
              <w:spacing w:line="240" w:lineRule="auto"/>
              <w:rPr>
                <w:rFonts w:cs="Calibri"/>
                <w:color w:val="FFFFFF"/>
                <w:sz w:val="24"/>
                <w:szCs w:val="24"/>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Mailing Address</w:t>
            </w:r>
          </w:p>
        </w:tc>
        <w:tc>
          <w:tcPr>
            <w:tcW w:w="5490" w:type="dxa"/>
            <w:shd w:val="clear" w:color="auto" w:fill="auto"/>
            <w:vAlign w:val="center"/>
          </w:tcPr>
          <w:p w:rsidR="00482413" w:rsidRPr="00ED3737" w:rsidRDefault="00482413" w:rsidP="009061CB">
            <w:pPr>
              <w:rPr>
                <w:sz w:val="20"/>
              </w:rPr>
            </w:pPr>
            <w:r w:rsidRPr="00ED3737">
              <w:rPr>
                <w:rFonts w:ascii="Franklin Gothic Book" w:hAnsi="Franklin Gothic Book"/>
                <w:color w:val="auto"/>
                <w:spacing w:val="20"/>
                <w:sz w:val="20"/>
                <w:szCs w:val="28"/>
              </w:rPr>
              <w:t>8965 Balboa Avenue</w:t>
            </w:r>
            <w:r>
              <w:rPr>
                <w:rFonts w:ascii="Franklin Gothic Book" w:hAnsi="Franklin Gothic Book"/>
                <w:color w:val="auto"/>
                <w:spacing w:val="20"/>
                <w:sz w:val="20"/>
                <w:szCs w:val="28"/>
              </w:rPr>
              <w:t xml:space="preserve">, </w:t>
            </w:r>
            <w:r w:rsidRPr="00ED3737">
              <w:rPr>
                <w:rFonts w:ascii="Franklin Gothic Book" w:hAnsi="Franklin Gothic Book"/>
                <w:color w:val="auto"/>
                <w:spacing w:val="20"/>
                <w:sz w:val="20"/>
                <w:szCs w:val="28"/>
              </w:rPr>
              <w:t>San Diego, CA 92123</w:t>
            </w:r>
          </w:p>
        </w:tc>
      </w:tr>
      <w:tr w:rsidR="00482413" w:rsidRPr="00871926" w:rsidTr="009061CB">
        <w:tc>
          <w:tcPr>
            <w:tcW w:w="2160" w:type="dxa"/>
            <w:vMerge w:val="restart"/>
            <w:shd w:val="clear" w:color="auto" w:fill="6F6F74"/>
            <w:vAlign w:val="center"/>
          </w:tcPr>
          <w:p w:rsidR="00482413" w:rsidRPr="009126EB" w:rsidRDefault="00482413" w:rsidP="009061CB">
            <w:pPr>
              <w:spacing w:line="240" w:lineRule="auto"/>
              <w:rPr>
                <w:rFonts w:cs="Calibri"/>
                <w:color w:val="FFFFFF"/>
                <w:sz w:val="26"/>
                <w:szCs w:val="26"/>
              </w:rPr>
            </w:pPr>
            <w:r w:rsidRPr="009126EB">
              <w:rPr>
                <w:rFonts w:cs="Calibri"/>
                <w:color w:val="FFFFFF"/>
                <w:sz w:val="26"/>
                <w:szCs w:val="26"/>
              </w:rPr>
              <w:t>Probation Agency</w:t>
            </w: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Name</w:t>
            </w:r>
          </w:p>
        </w:tc>
        <w:tc>
          <w:tcPr>
            <w:tcW w:w="5490" w:type="dxa"/>
            <w:shd w:val="clear" w:color="auto" w:fill="auto"/>
            <w:vAlign w:val="center"/>
          </w:tcPr>
          <w:p w:rsidR="00482413" w:rsidRPr="00ED3737" w:rsidRDefault="00482413" w:rsidP="009061CB">
            <w:pPr>
              <w:rPr>
                <w:rFonts w:ascii="Franklin Gothic Book" w:hAnsi="Franklin Gothic Book"/>
                <w:color w:val="auto"/>
                <w:spacing w:val="20"/>
                <w:sz w:val="20"/>
                <w:szCs w:val="28"/>
              </w:rPr>
            </w:pPr>
            <w:r w:rsidRPr="00ED3737">
              <w:rPr>
                <w:rFonts w:ascii="Franklin Gothic Book" w:hAnsi="Franklin Gothic Book"/>
                <w:color w:val="auto"/>
                <w:spacing w:val="20"/>
                <w:sz w:val="20"/>
                <w:szCs w:val="28"/>
              </w:rPr>
              <w:t>Lisa Sawin</w:t>
            </w:r>
          </w:p>
        </w:tc>
      </w:tr>
      <w:tr w:rsidR="00482413" w:rsidRPr="00871926" w:rsidTr="009061CB">
        <w:tc>
          <w:tcPr>
            <w:tcW w:w="2160" w:type="dxa"/>
            <w:vMerge/>
            <w:shd w:val="clear" w:color="auto" w:fill="6F6F74"/>
            <w:vAlign w:val="center"/>
          </w:tcPr>
          <w:p w:rsidR="00482413" w:rsidRPr="00F56CCA" w:rsidRDefault="00482413" w:rsidP="009061CB">
            <w:pPr>
              <w:spacing w:line="240" w:lineRule="auto"/>
              <w:rPr>
                <w:rFonts w:cs="Calibri"/>
                <w:color w:val="FFFFFF"/>
                <w:sz w:val="24"/>
                <w:szCs w:val="24"/>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Agency</w:t>
            </w:r>
          </w:p>
        </w:tc>
        <w:tc>
          <w:tcPr>
            <w:tcW w:w="5490" w:type="dxa"/>
            <w:shd w:val="clear" w:color="auto" w:fill="auto"/>
            <w:vAlign w:val="center"/>
          </w:tcPr>
          <w:p w:rsidR="00482413" w:rsidRPr="00ED3737" w:rsidRDefault="00482413" w:rsidP="009061CB">
            <w:pPr>
              <w:rPr>
                <w:rFonts w:ascii="Franklin Gothic Book" w:hAnsi="Franklin Gothic Book"/>
                <w:color w:val="auto"/>
                <w:spacing w:val="20"/>
                <w:sz w:val="20"/>
                <w:szCs w:val="28"/>
              </w:rPr>
            </w:pPr>
            <w:r w:rsidRPr="00ED3737">
              <w:rPr>
                <w:rFonts w:ascii="Franklin Gothic Book" w:hAnsi="Franklin Gothic Book"/>
                <w:color w:val="auto"/>
                <w:spacing w:val="20"/>
                <w:sz w:val="20"/>
                <w:szCs w:val="28"/>
              </w:rPr>
              <w:t>Juvenile Probation</w:t>
            </w:r>
          </w:p>
        </w:tc>
      </w:tr>
      <w:tr w:rsidR="00482413" w:rsidRPr="00871926" w:rsidTr="009061CB">
        <w:tc>
          <w:tcPr>
            <w:tcW w:w="2160" w:type="dxa"/>
            <w:vMerge/>
            <w:shd w:val="clear" w:color="auto" w:fill="6F6F74"/>
            <w:vAlign w:val="center"/>
          </w:tcPr>
          <w:p w:rsidR="00482413" w:rsidRPr="00F56CCA" w:rsidRDefault="00482413" w:rsidP="009061CB">
            <w:pPr>
              <w:spacing w:line="240" w:lineRule="auto"/>
              <w:rPr>
                <w:rFonts w:cs="Calibri"/>
                <w:color w:val="FFFFFF"/>
                <w:sz w:val="24"/>
                <w:szCs w:val="24"/>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Phone &amp; E-mail</w:t>
            </w:r>
          </w:p>
        </w:tc>
        <w:tc>
          <w:tcPr>
            <w:tcW w:w="5490" w:type="dxa"/>
            <w:shd w:val="clear" w:color="auto" w:fill="auto"/>
            <w:vAlign w:val="center"/>
          </w:tcPr>
          <w:p w:rsidR="001806A9" w:rsidRDefault="00482413" w:rsidP="009061CB">
            <w:pPr>
              <w:spacing w:line="240" w:lineRule="auto"/>
              <w:rPr>
                <w:rFonts w:ascii="Franklin Gothic Book" w:hAnsi="Franklin Gothic Book"/>
                <w:color w:val="auto"/>
                <w:spacing w:val="20"/>
                <w:sz w:val="20"/>
              </w:rPr>
            </w:pPr>
            <w:r w:rsidRPr="00C001F7">
              <w:rPr>
                <w:rFonts w:ascii="Franklin Gothic Book" w:hAnsi="Franklin Gothic Book"/>
                <w:color w:val="auto"/>
                <w:spacing w:val="20"/>
                <w:sz w:val="20"/>
                <w:szCs w:val="28"/>
              </w:rPr>
              <w:t>(858) 694-4546</w:t>
            </w:r>
            <w:r w:rsidRPr="001806A9">
              <w:rPr>
                <w:rFonts w:ascii="Franklin Gothic Book" w:hAnsi="Franklin Gothic Book"/>
                <w:color w:val="auto"/>
                <w:spacing w:val="20"/>
                <w:sz w:val="20"/>
              </w:rPr>
              <w:t xml:space="preserve"> </w:t>
            </w:r>
          </w:p>
          <w:p w:rsidR="00482413" w:rsidRPr="00871926" w:rsidRDefault="006415CB" w:rsidP="009061CB">
            <w:pPr>
              <w:spacing w:line="240" w:lineRule="auto"/>
            </w:pPr>
            <w:hyperlink r:id="rId24" w:history="1">
              <w:r w:rsidR="00482413" w:rsidRPr="001806A9">
                <w:rPr>
                  <w:rStyle w:val="Hyperlink"/>
                  <w:rFonts w:ascii="Franklin Gothic Book" w:hAnsi="Franklin Gothic Book"/>
                  <w:sz w:val="20"/>
                </w:rPr>
                <w:t>Lisa.Sawin@sdcounty.ca.gov</w:t>
              </w:r>
            </w:hyperlink>
          </w:p>
        </w:tc>
      </w:tr>
      <w:tr w:rsidR="00482413" w:rsidRPr="00871926" w:rsidTr="009061CB">
        <w:tc>
          <w:tcPr>
            <w:tcW w:w="2160" w:type="dxa"/>
            <w:vMerge/>
            <w:shd w:val="clear" w:color="auto" w:fill="6F6F74"/>
            <w:vAlign w:val="center"/>
          </w:tcPr>
          <w:p w:rsidR="00482413" w:rsidRPr="00F56CCA" w:rsidRDefault="00482413" w:rsidP="009061CB">
            <w:pPr>
              <w:spacing w:line="240" w:lineRule="auto"/>
              <w:rPr>
                <w:rFonts w:cs="Calibri"/>
                <w:color w:val="FFFFFF"/>
                <w:sz w:val="24"/>
                <w:szCs w:val="24"/>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Mailing Address</w:t>
            </w:r>
          </w:p>
        </w:tc>
        <w:tc>
          <w:tcPr>
            <w:tcW w:w="5490" w:type="dxa"/>
            <w:shd w:val="clear" w:color="auto" w:fill="auto"/>
            <w:vAlign w:val="center"/>
          </w:tcPr>
          <w:p w:rsidR="00482413" w:rsidRPr="00C001F7" w:rsidRDefault="00482413" w:rsidP="009061CB">
            <w:pPr>
              <w:rPr>
                <w:sz w:val="20"/>
              </w:rPr>
            </w:pPr>
            <w:r w:rsidRPr="00C001F7">
              <w:rPr>
                <w:rFonts w:ascii="Franklin Gothic Book" w:hAnsi="Franklin Gothic Book"/>
                <w:color w:val="auto"/>
                <w:spacing w:val="20"/>
                <w:sz w:val="20"/>
                <w:szCs w:val="28"/>
              </w:rPr>
              <w:t>2901 Meadow Lark Drive</w:t>
            </w:r>
            <w:r>
              <w:rPr>
                <w:rFonts w:ascii="Franklin Gothic Book" w:hAnsi="Franklin Gothic Book"/>
                <w:color w:val="auto"/>
                <w:spacing w:val="20"/>
                <w:sz w:val="20"/>
                <w:szCs w:val="28"/>
              </w:rPr>
              <w:t xml:space="preserve">, </w:t>
            </w:r>
            <w:r w:rsidRPr="00C001F7">
              <w:rPr>
                <w:rFonts w:ascii="Franklin Gothic Book" w:hAnsi="Franklin Gothic Book"/>
                <w:color w:val="auto"/>
                <w:spacing w:val="20"/>
                <w:sz w:val="20"/>
                <w:szCs w:val="28"/>
              </w:rPr>
              <w:t>San Diego, CA 92123</w:t>
            </w:r>
          </w:p>
        </w:tc>
      </w:tr>
      <w:tr w:rsidR="00482413" w:rsidRPr="00871926" w:rsidTr="009061CB">
        <w:tc>
          <w:tcPr>
            <w:tcW w:w="2160" w:type="dxa"/>
            <w:vMerge w:val="restart"/>
            <w:shd w:val="clear" w:color="auto" w:fill="6F6F74"/>
            <w:vAlign w:val="center"/>
          </w:tcPr>
          <w:p w:rsidR="00482413" w:rsidRPr="00F56CCA" w:rsidRDefault="00482413" w:rsidP="009061CB">
            <w:pPr>
              <w:spacing w:line="240" w:lineRule="auto"/>
              <w:rPr>
                <w:rFonts w:cs="Calibri"/>
                <w:color w:val="FFFFFF"/>
                <w:sz w:val="24"/>
                <w:szCs w:val="24"/>
              </w:rPr>
            </w:pPr>
          </w:p>
          <w:p w:rsidR="00482413" w:rsidRPr="009126EB" w:rsidRDefault="00482413" w:rsidP="009061CB">
            <w:pPr>
              <w:spacing w:line="240" w:lineRule="auto"/>
              <w:rPr>
                <w:rFonts w:cs="Calibri"/>
                <w:color w:val="FFFFFF"/>
                <w:sz w:val="20"/>
              </w:rPr>
            </w:pPr>
            <w:r w:rsidRPr="009126EB">
              <w:rPr>
                <w:rFonts w:cs="Calibri"/>
                <w:color w:val="FFFFFF"/>
                <w:sz w:val="26"/>
                <w:szCs w:val="26"/>
              </w:rPr>
              <w:t>Public Agency Administering CAPIT and CBCAP</w:t>
            </w: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Name</w:t>
            </w:r>
          </w:p>
        </w:tc>
        <w:tc>
          <w:tcPr>
            <w:tcW w:w="5490" w:type="dxa"/>
            <w:shd w:val="clear" w:color="auto" w:fill="auto"/>
            <w:vAlign w:val="center"/>
          </w:tcPr>
          <w:p w:rsidR="00482413" w:rsidRPr="00C001F7" w:rsidRDefault="00482413" w:rsidP="009061CB">
            <w:pPr>
              <w:spacing w:line="240" w:lineRule="auto"/>
              <w:rPr>
                <w:sz w:val="20"/>
              </w:rPr>
            </w:pPr>
            <w:r w:rsidRPr="00C001F7">
              <w:rPr>
                <w:rFonts w:ascii="Franklin Gothic Book" w:hAnsi="Franklin Gothic Book"/>
                <w:color w:val="auto"/>
                <w:spacing w:val="20"/>
                <w:sz w:val="20"/>
                <w:szCs w:val="28"/>
              </w:rPr>
              <w:t>Kim Giardina</w:t>
            </w:r>
          </w:p>
        </w:tc>
      </w:tr>
      <w:tr w:rsidR="00482413" w:rsidRPr="00871926" w:rsidTr="009061CB">
        <w:tc>
          <w:tcPr>
            <w:tcW w:w="2160" w:type="dxa"/>
            <w:vMerge/>
            <w:shd w:val="clear" w:color="auto" w:fill="6F6F74"/>
            <w:vAlign w:val="center"/>
          </w:tcPr>
          <w:p w:rsidR="00482413" w:rsidRPr="00F56CCA" w:rsidRDefault="00482413" w:rsidP="009061CB">
            <w:pPr>
              <w:spacing w:line="240" w:lineRule="auto"/>
              <w:rPr>
                <w:rFonts w:cs="Calibri"/>
                <w:color w:val="FFFFFF"/>
                <w:sz w:val="24"/>
                <w:szCs w:val="24"/>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Agency</w:t>
            </w:r>
          </w:p>
        </w:tc>
        <w:tc>
          <w:tcPr>
            <w:tcW w:w="5490" w:type="dxa"/>
            <w:shd w:val="clear" w:color="auto" w:fill="auto"/>
            <w:vAlign w:val="center"/>
          </w:tcPr>
          <w:p w:rsidR="00482413" w:rsidRPr="00C001F7" w:rsidRDefault="00482413" w:rsidP="009061CB">
            <w:pPr>
              <w:spacing w:line="240" w:lineRule="auto"/>
              <w:rPr>
                <w:rFonts w:ascii="Franklin Gothic Book" w:hAnsi="Franklin Gothic Book"/>
                <w:color w:val="auto"/>
                <w:spacing w:val="20"/>
                <w:sz w:val="20"/>
                <w:szCs w:val="28"/>
              </w:rPr>
            </w:pPr>
            <w:r w:rsidRPr="00C001F7">
              <w:rPr>
                <w:rFonts w:ascii="Franklin Gothic Book" w:hAnsi="Franklin Gothic Book"/>
                <w:color w:val="auto"/>
                <w:spacing w:val="20"/>
                <w:sz w:val="20"/>
                <w:szCs w:val="28"/>
              </w:rPr>
              <w:t>Child Abuse Prevention Coordinating Council (CAPCC)</w:t>
            </w:r>
          </w:p>
        </w:tc>
      </w:tr>
      <w:tr w:rsidR="00482413" w:rsidRPr="00871926" w:rsidTr="009061CB">
        <w:tc>
          <w:tcPr>
            <w:tcW w:w="2160" w:type="dxa"/>
            <w:vMerge/>
            <w:shd w:val="clear" w:color="auto" w:fill="6F6F74"/>
            <w:vAlign w:val="center"/>
          </w:tcPr>
          <w:p w:rsidR="00482413" w:rsidRPr="00F56CCA" w:rsidRDefault="00482413" w:rsidP="009061CB">
            <w:pPr>
              <w:spacing w:line="240" w:lineRule="auto"/>
              <w:rPr>
                <w:rFonts w:cs="Calibri"/>
                <w:color w:val="FFFFFF"/>
                <w:sz w:val="24"/>
                <w:szCs w:val="24"/>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Phone &amp; E-mail</w:t>
            </w:r>
          </w:p>
        </w:tc>
        <w:tc>
          <w:tcPr>
            <w:tcW w:w="5490" w:type="dxa"/>
            <w:shd w:val="clear" w:color="auto" w:fill="auto"/>
            <w:vAlign w:val="center"/>
          </w:tcPr>
          <w:p w:rsidR="001806A9" w:rsidRDefault="00482413" w:rsidP="009061CB">
            <w:pPr>
              <w:spacing w:line="240" w:lineRule="auto"/>
              <w:rPr>
                <w:rFonts w:ascii="Franklin Gothic Book" w:hAnsi="Franklin Gothic Book"/>
                <w:color w:val="auto"/>
                <w:spacing w:val="20"/>
                <w:sz w:val="20"/>
                <w:szCs w:val="28"/>
              </w:rPr>
            </w:pPr>
            <w:r w:rsidRPr="002841EE">
              <w:rPr>
                <w:rFonts w:ascii="Franklin Gothic Book" w:hAnsi="Franklin Gothic Book"/>
                <w:color w:val="auto"/>
                <w:spacing w:val="20"/>
                <w:sz w:val="20"/>
                <w:szCs w:val="28"/>
              </w:rPr>
              <w:t>(858) 616-5989</w:t>
            </w:r>
          </w:p>
          <w:p w:rsidR="00482413" w:rsidRPr="00871926" w:rsidRDefault="006415CB" w:rsidP="009061CB">
            <w:pPr>
              <w:spacing w:line="240" w:lineRule="auto"/>
            </w:pPr>
            <w:hyperlink r:id="rId25" w:history="1">
              <w:r w:rsidR="00482413" w:rsidRPr="001806A9">
                <w:rPr>
                  <w:rStyle w:val="Hyperlink"/>
                  <w:rFonts w:ascii="Franklin Gothic Book" w:hAnsi="Franklin Gothic Book"/>
                  <w:sz w:val="20"/>
                </w:rPr>
                <w:t>Kimberly.Giardina@sdcounty.ca.gov</w:t>
              </w:r>
            </w:hyperlink>
          </w:p>
        </w:tc>
      </w:tr>
      <w:tr w:rsidR="00482413" w:rsidRPr="00871926" w:rsidTr="009061CB">
        <w:tc>
          <w:tcPr>
            <w:tcW w:w="2160" w:type="dxa"/>
            <w:vMerge/>
            <w:shd w:val="clear" w:color="auto" w:fill="6F6F74"/>
            <w:vAlign w:val="center"/>
          </w:tcPr>
          <w:p w:rsidR="00482413" w:rsidRPr="00F56CCA" w:rsidRDefault="00482413" w:rsidP="009061CB">
            <w:pPr>
              <w:spacing w:line="240" w:lineRule="auto"/>
              <w:rPr>
                <w:rFonts w:cs="Calibri"/>
                <w:color w:val="FFFFFF"/>
                <w:sz w:val="24"/>
                <w:szCs w:val="24"/>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Mailing Address</w:t>
            </w:r>
          </w:p>
        </w:tc>
        <w:tc>
          <w:tcPr>
            <w:tcW w:w="5490" w:type="dxa"/>
            <w:shd w:val="clear" w:color="auto" w:fill="auto"/>
            <w:vAlign w:val="center"/>
          </w:tcPr>
          <w:p w:rsidR="00482413" w:rsidRPr="002841EE" w:rsidRDefault="00482413" w:rsidP="009061CB">
            <w:pPr>
              <w:rPr>
                <w:sz w:val="20"/>
              </w:rPr>
            </w:pPr>
            <w:r w:rsidRPr="002841EE">
              <w:rPr>
                <w:rFonts w:ascii="Franklin Gothic Book" w:hAnsi="Franklin Gothic Book"/>
                <w:color w:val="auto"/>
                <w:spacing w:val="20"/>
                <w:sz w:val="20"/>
                <w:szCs w:val="28"/>
              </w:rPr>
              <w:t>8965 Balboa Avenue</w:t>
            </w:r>
            <w:r>
              <w:rPr>
                <w:rFonts w:ascii="Franklin Gothic Book" w:hAnsi="Franklin Gothic Book"/>
                <w:color w:val="auto"/>
                <w:spacing w:val="20"/>
                <w:sz w:val="20"/>
                <w:szCs w:val="28"/>
              </w:rPr>
              <w:t xml:space="preserve">, </w:t>
            </w:r>
            <w:r w:rsidRPr="002841EE">
              <w:rPr>
                <w:rFonts w:ascii="Franklin Gothic Book" w:hAnsi="Franklin Gothic Book"/>
                <w:color w:val="auto"/>
                <w:spacing w:val="20"/>
                <w:sz w:val="20"/>
                <w:szCs w:val="28"/>
              </w:rPr>
              <w:t>San Diego, CA 92123</w:t>
            </w:r>
          </w:p>
        </w:tc>
      </w:tr>
      <w:tr w:rsidR="00482413" w:rsidRPr="00871926" w:rsidTr="009061CB">
        <w:tc>
          <w:tcPr>
            <w:tcW w:w="2160" w:type="dxa"/>
            <w:vMerge w:val="restart"/>
            <w:shd w:val="clear" w:color="auto" w:fill="6F6F74"/>
            <w:vAlign w:val="center"/>
          </w:tcPr>
          <w:p w:rsidR="00482413" w:rsidRPr="009126EB" w:rsidRDefault="00482413" w:rsidP="009061CB">
            <w:pPr>
              <w:spacing w:line="240" w:lineRule="auto"/>
              <w:rPr>
                <w:rFonts w:cs="Calibri"/>
                <w:color w:val="FFFFFF"/>
                <w:sz w:val="26"/>
                <w:szCs w:val="26"/>
              </w:rPr>
            </w:pPr>
            <w:r w:rsidRPr="009126EB">
              <w:rPr>
                <w:rFonts w:cs="Calibri"/>
                <w:color w:val="FFFFFF"/>
                <w:sz w:val="26"/>
                <w:szCs w:val="26"/>
              </w:rPr>
              <w:t>CAPIT Liaison</w:t>
            </w: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Name</w:t>
            </w:r>
          </w:p>
        </w:tc>
        <w:tc>
          <w:tcPr>
            <w:tcW w:w="5490" w:type="dxa"/>
            <w:shd w:val="clear" w:color="auto" w:fill="auto"/>
            <w:vAlign w:val="center"/>
          </w:tcPr>
          <w:p w:rsidR="00482413" w:rsidRPr="002841EE" w:rsidRDefault="00482413" w:rsidP="009061CB">
            <w:pPr>
              <w:spacing w:line="240" w:lineRule="auto"/>
              <w:rPr>
                <w:rFonts w:ascii="Franklin Gothic Book" w:hAnsi="Franklin Gothic Book"/>
                <w:color w:val="auto"/>
                <w:spacing w:val="20"/>
                <w:sz w:val="20"/>
                <w:szCs w:val="28"/>
              </w:rPr>
            </w:pPr>
            <w:r w:rsidRPr="002841EE">
              <w:rPr>
                <w:rFonts w:ascii="Franklin Gothic Book" w:hAnsi="Franklin Gothic Book"/>
                <w:color w:val="auto"/>
                <w:spacing w:val="20"/>
                <w:sz w:val="20"/>
                <w:szCs w:val="28"/>
              </w:rPr>
              <w:t>Kevin Hauck</w:t>
            </w:r>
          </w:p>
        </w:tc>
      </w:tr>
      <w:tr w:rsidR="00482413" w:rsidRPr="00871926" w:rsidTr="009061CB">
        <w:tc>
          <w:tcPr>
            <w:tcW w:w="2160" w:type="dxa"/>
            <w:vMerge/>
            <w:shd w:val="clear" w:color="auto" w:fill="6F6F74"/>
            <w:vAlign w:val="center"/>
          </w:tcPr>
          <w:p w:rsidR="00482413" w:rsidRPr="00F56CCA" w:rsidRDefault="00482413" w:rsidP="009061CB">
            <w:pPr>
              <w:spacing w:line="240" w:lineRule="auto"/>
              <w:rPr>
                <w:rFonts w:cs="Calibri"/>
                <w:color w:val="FFFFFF"/>
                <w:sz w:val="24"/>
                <w:szCs w:val="24"/>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Agency</w:t>
            </w:r>
          </w:p>
        </w:tc>
        <w:tc>
          <w:tcPr>
            <w:tcW w:w="5490" w:type="dxa"/>
            <w:shd w:val="clear" w:color="auto" w:fill="auto"/>
            <w:vAlign w:val="center"/>
          </w:tcPr>
          <w:p w:rsidR="00482413" w:rsidRPr="002841EE" w:rsidRDefault="00482413" w:rsidP="009061CB">
            <w:pPr>
              <w:spacing w:line="240" w:lineRule="auto"/>
              <w:rPr>
                <w:rFonts w:ascii="Franklin Gothic Book" w:hAnsi="Franklin Gothic Book"/>
                <w:color w:val="auto"/>
                <w:spacing w:val="20"/>
                <w:sz w:val="20"/>
                <w:szCs w:val="28"/>
              </w:rPr>
            </w:pPr>
            <w:r w:rsidRPr="002841EE">
              <w:rPr>
                <w:rFonts w:ascii="Franklin Gothic Book" w:hAnsi="Franklin Gothic Book"/>
                <w:color w:val="auto"/>
                <w:spacing w:val="20"/>
                <w:sz w:val="20"/>
                <w:szCs w:val="28"/>
              </w:rPr>
              <w:t>Child Welfare Services</w:t>
            </w:r>
          </w:p>
        </w:tc>
      </w:tr>
      <w:tr w:rsidR="00482413" w:rsidRPr="00871926" w:rsidTr="009061CB">
        <w:tc>
          <w:tcPr>
            <w:tcW w:w="2160" w:type="dxa"/>
            <w:vMerge/>
            <w:shd w:val="clear" w:color="auto" w:fill="6F6F74"/>
            <w:vAlign w:val="center"/>
          </w:tcPr>
          <w:p w:rsidR="00482413" w:rsidRPr="00F56CCA" w:rsidRDefault="00482413" w:rsidP="009061CB">
            <w:pPr>
              <w:spacing w:line="240" w:lineRule="auto"/>
              <w:rPr>
                <w:rFonts w:cs="Calibri"/>
                <w:color w:val="FFFFFF"/>
                <w:sz w:val="24"/>
                <w:szCs w:val="24"/>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Phone &amp; E-mail</w:t>
            </w:r>
          </w:p>
        </w:tc>
        <w:tc>
          <w:tcPr>
            <w:tcW w:w="5490" w:type="dxa"/>
            <w:shd w:val="clear" w:color="auto" w:fill="auto"/>
            <w:vAlign w:val="center"/>
          </w:tcPr>
          <w:p w:rsidR="001806A9" w:rsidRDefault="00482413" w:rsidP="009061CB">
            <w:pPr>
              <w:spacing w:line="240" w:lineRule="auto"/>
              <w:rPr>
                <w:rFonts w:ascii="Franklin Gothic Book" w:hAnsi="Franklin Gothic Book"/>
                <w:color w:val="auto"/>
                <w:spacing w:val="20"/>
                <w:sz w:val="20"/>
                <w:szCs w:val="28"/>
              </w:rPr>
            </w:pPr>
            <w:r w:rsidRPr="002841EE">
              <w:rPr>
                <w:rFonts w:ascii="Franklin Gothic Book" w:hAnsi="Franklin Gothic Book"/>
                <w:color w:val="auto"/>
                <w:spacing w:val="20"/>
                <w:sz w:val="20"/>
                <w:szCs w:val="28"/>
              </w:rPr>
              <w:t>(858) 616-5923</w:t>
            </w:r>
            <w:r>
              <w:rPr>
                <w:rFonts w:ascii="Franklin Gothic Book" w:hAnsi="Franklin Gothic Book"/>
                <w:color w:val="auto"/>
                <w:spacing w:val="20"/>
                <w:sz w:val="20"/>
                <w:szCs w:val="28"/>
              </w:rPr>
              <w:t xml:space="preserve"> </w:t>
            </w:r>
          </w:p>
          <w:p w:rsidR="00482413" w:rsidRPr="001806A9" w:rsidRDefault="006415CB" w:rsidP="009061CB">
            <w:pPr>
              <w:spacing w:line="240" w:lineRule="auto"/>
              <w:rPr>
                <w:rFonts w:ascii="Franklin Gothic Book" w:hAnsi="Franklin Gothic Book"/>
                <w:color w:val="auto"/>
                <w:spacing w:val="20"/>
                <w:sz w:val="20"/>
              </w:rPr>
            </w:pPr>
            <w:hyperlink r:id="rId26" w:history="1">
              <w:r w:rsidR="00482413" w:rsidRPr="001806A9">
                <w:rPr>
                  <w:rStyle w:val="Hyperlink"/>
                  <w:rFonts w:ascii="Franklin Gothic Book" w:hAnsi="Franklin Gothic Book"/>
                  <w:sz w:val="20"/>
                </w:rPr>
                <w:t>Kevin.Hauck@sdcounty.ca.gov</w:t>
              </w:r>
            </w:hyperlink>
          </w:p>
        </w:tc>
      </w:tr>
      <w:tr w:rsidR="00482413" w:rsidRPr="00871926" w:rsidTr="009061CB">
        <w:tc>
          <w:tcPr>
            <w:tcW w:w="2160" w:type="dxa"/>
            <w:vMerge/>
            <w:shd w:val="clear" w:color="auto" w:fill="6F6F74"/>
            <w:vAlign w:val="center"/>
          </w:tcPr>
          <w:p w:rsidR="00482413" w:rsidRPr="00F56CCA" w:rsidRDefault="00482413" w:rsidP="009061CB">
            <w:pPr>
              <w:spacing w:line="240" w:lineRule="auto"/>
              <w:rPr>
                <w:rFonts w:cs="Calibri"/>
                <w:color w:val="FFFFFF"/>
                <w:sz w:val="24"/>
                <w:szCs w:val="24"/>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Mailing Address</w:t>
            </w:r>
          </w:p>
        </w:tc>
        <w:tc>
          <w:tcPr>
            <w:tcW w:w="5490" w:type="dxa"/>
            <w:shd w:val="clear" w:color="auto" w:fill="auto"/>
            <w:vAlign w:val="center"/>
          </w:tcPr>
          <w:p w:rsidR="00482413" w:rsidRPr="002841EE" w:rsidRDefault="00482413" w:rsidP="009061CB">
            <w:pPr>
              <w:rPr>
                <w:sz w:val="20"/>
              </w:rPr>
            </w:pPr>
            <w:r w:rsidRPr="002841EE">
              <w:rPr>
                <w:rFonts w:ascii="Franklin Gothic Book" w:hAnsi="Franklin Gothic Book"/>
                <w:color w:val="auto"/>
                <w:spacing w:val="20"/>
                <w:sz w:val="20"/>
                <w:szCs w:val="28"/>
              </w:rPr>
              <w:t>8965 Balboa Avenue</w:t>
            </w:r>
            <w:r>
              <w:rPr>
                <w:rFonts w:ascii="Franklin Gothic Book" w:hAnsi="Franklin Gothic Book"/>
                <w:color w:val="auto"/>
                <w:spacing w:val="20"/>
                <w:sz w:val="20"/>
                <w:szCs w:val="28"/>
              </w:rPr>
              <w:t xml:space="preserve">, </w:t>
            </w:r>
            <w:r w:rsidRPr="002841EE">
              <w:rPr>
                <w:rFonts w:ascii="Franklin Gothic Book" w:hAnsi="Franklin Gothic Book"/>
                <w:color w:val="auto"/>
                <w:spacing w:val="20"/>
                <w:sz w:val="20"/>
                <w:szCs w:val="28"/>
              </w:rPr>
              <w:t>San Diego, CA 92123</w:t>
            </w:r>
          </w:p>
        </w:tc>
      </w:tr>
      <w:tr w:rsidR="00482413" w:rsidRPr="00871926" w:rsidTr="009061CB">
        <w:tc>
          <w:tcPr>
            <w:tcW w:w="2160" w:type="dxa"/>
            <w:vMerge w:val="restart"/>
            <w:shd w:val="clear" w:color="auto" w:fill="6F6F74"/>
            <w:vAlign w:val="center"/>
          </w:tcPr>
          <w:p w:rsidR="00482413" w:rsidRPr="009126EB" w:rsidRDefault="00482413" w:rsidP="009061CB">
            <w:pPr>
              <w:spacing w:line="240" w:lineRule="auto"/>
              <w:rPr>
                <w:rFonts w:cs="Calibri"/>
                <w:color w:val="FFFFFF"/>
                <w:sz w:val="26"/>
                <w:szCs w:val="26"/>
              </w:rPr>
            </w:pPr>
            <w:r w:rsidRPr="009126EB">
              <w:rPr>
                <w:rFonts w:cs="Calibri"/>
                <w:color w:val="FFFFFF"/>
                <w:sz w:val="26"/>
                <w:szCs w:val="26"/>
              </w:rPr>
              <w:t>CBCAP Liaison</w:t>
            </w: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Name</w:t>
            </w:r>
          </w:p>
        </w:tc>
        <w:tc>
          <w:tcPr>
            <w:tcW w:w="5490" w:type="dxa"/>
            <w:shd w:val="clear" w:color="auto" w:fill="auto"/>
            <w:vAlign w:val="center"/>
          </w:tcPr>
          <w:p w:rsidR="00482413" w:rsidRPr="002841EE" w:rsidRDefault="00482413" w:rsidP="009061CB">
            <w:pPr>
              <w:spacing w:line="240" w:lineRule="auto"/>
              <w:rPr>
                <w:rFonts w:ascii="Franklin Gothic Book" w:hAnsi="Franklin Gothic Book"/>
                <w:color w:val="auto"/>
                <w:spacing w:val="20"/>
                <w:sz w:val="20"/>
                <w:szCs w:val="28"/>
              </w:rPr>
            </w:pPr>
            <w:r w:rsidRPr="002841EE">
              <w:rPr>
                <w:rFonts w:ascii="Franklin Gothic Book" w:hAnsi="Franklin Gothic Book"/>
                <w:color w:val="auto"/>
                <w:spacing w:val="20"/>
                <w:sz w:val="20"/>
                <w:szCs w:val="28"/>
              </w:rPr>
              <w:t>Kevin Hauck</w:t>
            </w:r>
          </w:p>
        </w:tc>
      </w:tr>
      <w:tr w:rsidR="00482413" w:rsidRPr="00871926" w:rsidTr="009061CB">
        <w:tc>
          <w:tcPr>
            <w:tcW w:w="2160" w:type="dxa"/>
            <w:vMerge/>
            <w:shd w:val="clear" w:color="auto" w:fill="6F6F74"/>
            <w:vAlign w:val="center"/>
          </w:tcPr>
          <w:p w:rsidR="00482413" w:rsidRPr="00F56CCA" w:rsidRDefault="00482413" w:rsidP="009061CB">
            <w:pPr>
              <w:spacing w:line="240" w:lineRule="auto"/>
              <w:rPr>
                <w:rFonts w:cs="Calibri"/>
                <w:color w:val="FFFFFF"/>
                <w:sz w:val="24"/>
                <w:szCs w:val="24"/>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Agency</w:t>
            </w:r>
          </w:p>
        </w:tc>
        <w:tc>
          <w:tcPr>
            <w:tcW w:w="5490" w:type="dxa"/>
            <w:shd w:val="clear" w:color="auto" w:fill="auto"/>
            <w:vAlign w:val="center"/>
          </w:tcPr>
          <w:p w:rsidR="00482413" w:rsidRPr="002841EE" w:rsidRDefault="00482413" w:rsidP="009061CB">
            <w:pPr>
              <w:spacing w:line="240" w:lineRule="auto"/>
              <w:rPr>
                <w:rFonts w:ascii="Franklin Gothic Book" w:hAnsi="Franklin Gothic Book"/>
                <w:color w:val="auto"/>
                <w:spacing w:val="20"/>
                <w:sz w:val="20"/>
                <w:szCs w:val="28"/>
              </w:rPr>
            </w:pPr>
            <w:r w:rsidRPr="002841EE">
              <w:rPr>
                <w:rFonts w:ascii="Franklin Gothic Book" w:hAnsi="Franklin Gothic Book"/>
                <w:color w:val="auto"/>
                <w:spacing w:val="20"/>
                <w:sz w:val="20"/>
                <w:szCs w:val="28"/>
              </w:rPr>
              <w:t>Child Welfare Services</w:t>
            </w:r>
          </w:p>
        </w:tc>
      </w:tr>
      <w:tr w:rsidR="00482413" w:rsidRPr="00871926" w:rsidTr="009061CB">
        <w:tc>
          <w:tcPr>
            <w:tcW w:w="2160" w:type="dxa"/>
            <w:vMerge/>
            <w:shd w:val="clear" w:color="auto" w:fill="6F6F74"/>
            <w:vAlign w:val="center"/>
          </w:tcPr>
          <w:p w:rsidR="00482413" w:rsidRPr="00F56CCA" w:rsidRDefault="00482413" w:rsidP="009061CB">
            <w:pPr>
              <w:spacing w:line="240" w:lineRule="auto"/>
              <w:rPr>
                <w:rFonts w:cs="Calibri"/>
                <w:color w:val="FFFFFF"/>
                <w:sz w:val="24"/>
                <w:szCs w:val="24"/>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Phone &amp; E-mail</w:t>
            </w:r>
          </w:p>
        </w:tc>
        <w:tc>
          <w:tcPr>
            <w:tcW w:w="5490" w:type="dxa"/>
            <w:shd w:val="clear" w:color="auto" w:fill="auto"/>
            <w:vAlign w:val="center"/>
          </w:tcPr>
          <w:p w:rsidR="001806A9" w:rsidRDefault="00482413" w:rsidP="009061CB">
            <w:pPr>
              <w:spacing w:line="240" w:lineRule="auto"/>
              <w:rPr>
                <w:rFonts w:ascii="Franklin Gothic Book" w:hAnsi="Franklin Gothic Book"/>
                <w:color w:val="auto"/>
                <w:spacing w:val="20"/>
                <w:sz w:val="20"/>
                <w:szCs w:val="28"/>
              </w:rPr>
            </w:pPr>
            <w:r w:rsidRPr="002841EE">
              <w:rPr>
                <w:rFonts w:ascii="Franklin Gothic Book" w:hAnsi="Franklin Gothic Book"/>
                <w:color w:val="auto"/>
                <w:spacing w:val="20"/>
                <w:sz w:val="20"/>
                <w:szCs w:val="28"/>
              </w:rPr>
              <w:t>(858) 616-5923</w:t>
            </w:r>
            <w:r>
              <w:rPr>
                <w:rFonts w:ascii="Franklin Gothic Book" w:hAnsi="Franklin Gothic Book"/>
                <w:color w:val="auto"/>
                <w:spacing w:val="20"/>
                <w:sz w:val="20"/>
                <w:szCs w:val="28"/>
              </w:rPr>
              <w:t xml:space="preserve"> </w:t>
            </w:r>
          </w:p>
          <w:p w:rsidR="00482413" w:rsidRPr="001806A9" w:rsidRDefault="006415CB" w:rsidP="009061CB">
            <w:pPr>
              <w:spacing w:line="240" w:lineRule="auto"/>
              <w:rPr>
                <w:rFonts w:ascii="Franklin Gothic Book" w:hAnsi="Franklin Gothic Book"/>
                <w:color w:val="auto"/>
                <w:spacing w:val="20"/>
                <w:sz w:val="20"/>
              </w:rPr>
            </w:pPr>
            <w:hyperlink r:id="rId27" w:history="1">
              <w:r w:rsidR="00482413" w:rsidRPr="001806A9">
                <w:rPr>
                  <w:rStyle w:val="Hyperlink"/>
                  <w:rFonts w:ascii="Franklin Gothic Book" w:hAnsi="Franklin Gothic Book"/>
                  <w:sz w:val="20"/>
                </w:rPr>
                <w:t>Kevin.Hauck@sdcounty.ca.gov</w:t>
              </w:r>
            </w:hyperlink>
          </w:p>
        </w:tc>
      </w:tr>
      <w:tr w:rsidR="00482413" w:rsidRPr="00871926" w:rsidTr="009061CB">
        <w:tc>
          <w:tcPr>
            <w:tcW w:w="2160" w:type="dxa"/>
            <w:vMerge/>
            <w:shd w:val="clear" w:color="auto" w:fill="6F6F74"/>
            <w:vAlign w:val="center"/>
          </w:tcPr>
          <w:p w:rsidR="00482413" w:rsidRPr="00F56CCA" w:rsidRDefault="00482413" w:rsidP="009061CB">
            <w:pPr>
              <w:spacing w:line="240" w:lineRule="auto"/>
              <w:rPr>
                <w:rFonts w:cs="Calibri"/>
                <w:color w:val="FFFFFF"/>
                <w:sz w:val="24"/>
                <w:szCs w:val="24"/>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Mailing Address</w:t>
            </w:r>
          </w:p>
        </w:tc>
        <w:tc>
          <w:tcPr>
            <w:tcW w:w="5490" w:type="dxa"/>
            <w:shd w:val="clear" w:color="auto" w:fill="auto"/>
            <w:vAlign w:val="center"/>
          </w:tcPr>
          <w:p w:rsidR="00482413" w:rsidRPr="001B6F16" w:rsidRDefault="00482413" w:rsidP="009061CB">
            <w:pPr>
              <w:rPr>
                <w:sz w:val="20"/>
              </w:rPr>
            </w:pPr>
            <w:r w:rsidRPr="001B6F16">
              <w:rPr>
                <w:rFonts w:ascii="Franklin Gothic Book" w:hAnsi="Franklin Gothic Book"/>
                <w:color w:val="auto"/>
                <w:spacing w:val="20"/>
                <w:sz w:val="20"/>
                <w:szCs w:val="28"/>
              </w:rPr>
              <w:t>8965 Balboa Avenue</w:t>
            </w:r>
            <w:r>
              <w:rPr>
                <w:rFonts w:ascii="Franklin Gothic Book" w:hAnsi="Franklin Gothic Book"/>
                <w:color w:val="auto"/>
                <w:spacing w:val="20"/>
                <w:sz w:val="20"/>
                <w:szCs w:val="28"/>
              </w:rPr>
              <w:t xml:space="preserve">, </w:t>
            </w:r>
            <w:r w:rsidRPr="001B6F16">
              <w:rPr>
                <w:rFonts w:ascii="Franklin Gothic Book" w:hAnsi="Franklin Gothic Book"/>
                <w:color w:val="auto"/>
                <w:spacing w:val="20"/>
                <w:sz w:val="20"/>
                <w:szCs w:val="28"/>
              </w:rPr>
              <w:t>San Diego, CA 92123</w:t>
            </w:r>
          </w:p>
        </w:tc>
      </w:tr>
      <w:tr w:rsidR="00482413" w:rsidRPr="00871926" w:rsidTr="009061CB">
        <w:tc>
          <w:tcPr>
            <w:tcW w:w="2160" w:type="dxa"/>
            <w:vMerge w:val="restart"/>
            <w:shd w:val="clear" w:color="auto" w:fill="6F6F74"/>
            <w:vAlign w:val="center"/>
          </w:tcPr>
          <w:p w:rsidR="00482413" w:rsidRPr="009126EB" w:rsidRDefault="00482413" w:rsidP="009061CB">
            <w:pPr>
              <w:spacing w:line="240" w:lineRule="auto"/>
              <w:rPr>
                <w:rFonts w:cs="Calibri"/>
                <w:color w:val="FFFFFF"/>
                <w:sz w:val="26"/>
                <w:szCs w:val="26"/>
              </w:rPr>
            </w:pPr>
            <w:r w:rsidRPr="009126EB">
              <w:rPr>
                <w:rFonts w:cs="Calibri"/>
                <w:color w:val="FFFFFF"/>
                <w:sz w:val="26"/>
                <w:szCs w:val="26"/>
              </w:rPr>
              <w:t>PSSF Liaison</w:t>
            </w: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Name</w:t>
            </w:r>
          </w:p>
        </w:tc>
        <w:tc>
          <w:tcPr>
            <w:tcW w:w="5490" w:type="dxa"/>
            <w:shd w:val="clear" w:color="auto" w:fill="auto"/>
            <w:vAlign w:val="center"/>
          </w:tcPr>
          <w:p w:rsidR="00482413" w:rsidRPr="001B6F16" w:rsidRDefault="00482413" w:rsidP="009061CB">
            <w:pPr>
              <w:spacing w:line="240" w:lineRule="auto"/>
              <w:rPr>
                <w:rFonts w:ascii="Franklin Gothic Book" w:hAnsi="Franklin Gothic Book"/>
                <w:color w:val="auto"/>
                <w:spacing w:val="20"/>
                <w:sz w:val="20"/>
                <w:szCs w:val="28"/>
              </w:rPr>
            </w:pPr>
            <w:r w:rsidRPr="001B6F16">
              <w:rPr>
                <w:rFonts w:ascii="Franklin Gothic Book" w:hAnsi="Franklin Gothic Book"/>
                <w:color w:val="auto"/>
                <w:spacing w:val="20"/>
                <w:sz w:val="20"/>
                <w:szCs w:val="28"/>
              </w:rPr>
              <w:t>Kevin Hauck</w:t>
            </w:r>
          </w:p>
        </w:tc>
      </w:tr>
      <w:tr w:rsidR="00482413" w:rsidRPr="00871926" w:rsidTr="009061CB">
        <w:tc>
          <w:tcPr>
            <w:tcW w:w="2160" w:type="dxa"/>
            <w:vMerge/>
            <w:shd w:val="clear" w:color="auto" w:fill="6F6F74"/>
          </w:tcPr>
          <w:p w:rsidR="00482413" w:rsidRPr="00871926" w:rsidRDefault="00482413" w:rsidP="009061CB">
            <w:pPr>
              <w:spacing w:line="240" w:lineRule="auto"/>
              <w:jc w:val="center"/>
              <w:rPr>
                <w:color w:val="FFFFFF"/>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Agency</w:t>
            </w:r>
          </w:p>
        </w:tc>
        <w:tc>
          <w:tcPr>
            <w:tcW w:w="5490" w:type="dxa"/>
            <w:shd w:val="clear" w:color="auto" w:fill="auto"/>
            <w:vAlign w:val="center"/>
          </w:tcPr>
          <w:p w:rsidR="00482413" w:rsidRPr="001B6F16" w:rsidRDefault="00482413" w:rsidP="009061CB">
            <w:pPr>
              <w:spacing w:line="240" w:lineRule="auto"/>
              <w:rPr>
                <w:rFonts w:ascii="Franklin Gothic Book" w:hAnsi="Franklin Gothic Book"/>
                <w:color w:val="auto"/>
                <w:spacing w:val="20"/>
                <w:sz w:val="20"/>
                <w:szCs w:val="28"/>
              </w:rPr>
            </w:pPr>
            <w:r w:rsidRPr="001B6F16">
              <w:rPr>
                <w:rFonts w:ascii="Franklin Gothic Book" w:hAnsi="Franklin Gothic Book"/>
                <w:color w:val="auto"/>
                <w:spacing w:val="20"/>
                <w:sz w:val="20"/>
                <w:szCs w:val="28"/>
              </w:rPr>
              <w:t>Child Welfare Services</w:t>
            </w:r>
          </w:p>
        </w:tc>
      </w:tr>
      <w:tr w:rsidR="00482413" w:rsidRPr="00871926" w:rsidTr="009061CB">
        <w:tc>
          <w:tcPr>
            <w:tcW w:w="2160" w:type="dxa"/>
            <w:vMerge/>
            <w:shd w:val="clear" w:color="auto" w:fill="6F6F74"/>
          </w:tcPr>
          <w:p w:rsidR="00482413" w:rsidRPr="00871926" w:rsidRDefault="00482413" w:rsidP="009061CB">
            <w:pPr>
              <w:spacing w:line="240" w:lineRule="auto"/>
              <w:jc w:val="center"/>
              <w:rPr>
                <w:color w:val="FFFFFF"/>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Phone &amp; E-mail</w:t>
            </w:r>
          </w:p>
        </w:tc>
        <w:tc>
          <w:tcPr>
            <w:tcW w:w="5490" w:type="dxa"/>
            <w:shd w:val="clear" w:color="auto" w:fill="auto"/>
            <w:vAlign w:val="center"/>
          </w:tcPr>
          <w:p w:rsidR="001806A9" w:rsidRDefault="00482413" w:rsidP="009061CB">
            <w:pPr>
              <w:spacing w:line="240" w:lineRule="auto"/>
              <w:rPr>
                <w:rFonts w:ascii="Franklin Gothic Book" w:hAnsi="Franklin Gothic Book"/>
                <w:color w:val="auto"/>
                <w:spacing w:val="20"/>
                <w:sz w:val="20"/>
                <w:szCs w:val="28"/>
              </w:rPr>
            </w:pPr>
            <w:r w:rsidRPr="001B6F16">
              <w:rPr>
                <w:rFonts w:ascii="Franklin Gothic Book" w:hAnsi="Franklin Gothic Book"/>
                <w:color w:val="auto"/>
                <w:spacing w:val="20"/>
                <w:sz w:val="20"/>
                <w:szCs w:val="28"/>
              </w:rPr>
              <w:t>(858) 616-5923</w:t>
            </w:r>
            <w:r>
              <w:rPr>
                <w:rFonts w:ascii="Franklin Gothic Book" w:hAnsi="Franklin Gothic Book"/>
                <w:color w:val="auto"/>
                <w:spacing w:val="20"/>
                <w:sz w:val="20"/>
                <w:szCs w:val="28"/>
              </w:rPr>
              <w:t xml:space="preserve"> </w:t>
            </w:r>
          </w:p>
          <w:p w:rsidR="00482413" w:rsidRPr="001806A9" w:rsidRDefault="006415CB" w:rsidP="009061CB">
            <w:pPr>
              <w:spacing w:line="240" w:lineRule="auto"/>
              <w:rPr>
                <w:rFonts w:ascii="Franklin Gothic Book" w:hAnsi="Franklin Gothic Book"/>
                <w:color w:val="auto"/>
                <w:spacing w:val="20"/>
                <w:sz w:val="20"/>
              </w:rPr>
            </w:pPr>
            <w:hyperlink r:id="rId28" w:history="1">
              <w:r w:rsidR="00482413" w:rsidRPr="001806A9">
                <w:rPr>
                  <w:rStyle w:val="Hyperlink"/>
                  <w:rFonts w:ascii="Franklin Gothic Book" w:hAnsi="Franklin Gothic Book"/>
                  <w:sz w:val="20"/>
                </w:rPr>
                <w:t>Kevin.Hauck@sdcounty.ca.gov</w:t>
              </w:r>
            </w:hyperlink>
          </w:p>
        </w:tc>
      </w:tr>
      <w:tr w:rsidR="00482413" w:rsidRPr="00871926" w:rsidTr="009061CB">
        <w:tc>
          <w:tcPr>
            <w:tcW w:w="2160" w:type="dxa"/>
            <w:vMerge/>
            <w:shd w:val="clear" w:color="auto" w:fill="6F6F74"/>
          </w:tcPr>
          <w:p w:rsidR="00482413" w:rsidRPr="00871926" w:rsidRDefault="00482413" w:rsidP="009061CB">
            <w:pPr>
              <w:spacing w:line="240" w:lineRule="auto"/>
              <w:jc w:val="center"/>
              <w:rPr>
                <w:color w:val="FFFFFF"/>
              </w:rPr>
            </w:pPr>
          </w:p>
        </w:tc>
        <w:tc>
          <w:tcPr>
            <w:tcW w:w="2070" w:type="dxa"/>
            <w:shd w:val="clear" w:color="auto" w:fill="auto"/>
            <w:vAlign w:val="center"/>
          </w:tcPr>
          <w:p w:rsidR="00482413" w:rsidRPr="00871926" w:rsidRDefault="00482413" w:rsidP="009061CB">
            <w:pPr>
              <w:spacing w:line="240" w:lineRule="auto"/>
              <w:rPr>
                <w:sz w:val="24"/>
                <w:szCs w:val="24"/>
              </w:rPr>
            </w:pPr>
            <w:r w:rsidRPr="00871926">
              <w:rPr>
                <w:sz w:val="24"/>
                <w:szCs w:val="24"/>
              </w:rPr>
              <w:t>Mailing Address</w:t>
            </w:r>
          </w:p>
        </w:tc>
        <w:tc>
          <w:tcPr>
            <w:tcW w:w="5490" w:type="dxa"/>
            <w:shd w:val="clear" w:color="auto" w:fill="auto"/>
            <w:vAlign w:val="center"/>
          </w:tcPr>
          <w:p w:rsidR="00482413" w:rsidRPr="00871926" w:rsidRDefault="00482413" w:rsidP="009061CB">
            <w:r w:rsidRPr="001B6F16">
              <w:rPr>
                <w:rFonts w:ascii="Franklin Gothic Book" w:hAnsi="Franklin Gothic Book"/>
                <w:color w:val="auto"/>
                <w:spacing w:val="20"/>
                <w:sz w:val="20"/>
                <w:szCs w:val="28"/>
              </w:rPr>
              <w:t>8965 Balboa Avenue</w:t>
            </w:r>
            <w:r>
              <w:rPr>
                <w:rFonts w:ascii="Franklin Gothic Book" w:hAnsi="Franklin Gothic Book"/>
                <w:color w:val="auto"/>
                <w:spacing w:val="20"/>
                <w:sz w:val="20"/>
                <w:szCs w:val="28"/>
              </w:rPr>
              <w:t xml:space="preserve">, </w:t>
            </w:r>
            <w:r w:rsidRPr="001B6F16">
              <w:rPr>
                <w:rFonts w:ascii="Franklin Gothic Book" w:hAnsi="Franklin Gothic Book"/>
                <w:color w:val="auto"/>
                <w:spacing w:val="20"/>
                <w:sz w:val="20"/>
                <w:szCs w:val="28"/>
              </w:rPr>
              <w:t>San Diego, CA 92123</w:t>
            </w:r>
          </w:p>
        </w:tc>
      </w:tr>
    </w:tbl>
    <w:p w:rsidR="00482413" w:rsidRDefault="00482413" w:rsidP="00482413"/>
    <w:p w:rsidR="00D86A11" w:rsidRPr="00C1058B" w:rsidRDefault="00D86A11" w:rsidP="00D86A11">
      <w:pPr>
        <w:spacing w:after="200"/>
        <w:rPr>
          <w:sz w:val="4"/>
        </w:rPr>
      </w:pPr>
    </w:p>
    <w:tbl>
      <w:tblPr>
        <w:tblW w:w="9529" w:type="dxa"/>
        <w:jc w:val="center"/>
        <w:tblCellMar>
          <w:top w:w="144" w:type="dxa"/>
          <w:left w:w="0" w:type="dxa"/>
          <w:bottom w:w="144" w:type="dxa"/>
          <w:right w:w="0" w:type="dxa"/>
        </w:tblCellMar>
        <w:tblLook w:val="04A0" w:firstRow="1" w:lastRow="0" w:firstColumn="1" w:lastColumn="0" w:noHBand="0" w:noVBand="1"/>
      </w:tblPr>
      <w:tblGrid>
        <w:gridCol w:w="9529"/>
      </w:tblGrid>
      <w:tr w:rsidR="00D86A11" w:rsidRPr="00002D1D">
        <w:trPr>
          <w:trHeight w:val="7"/>
          <w:jc w:val="center"/>
        </w:trPr>
        <w:tc>
          <w:tcPr>
            <w:tcW w:w="0" w:type="auto"/>
            <w:shd w:val="clear" w:color="auto" w:fill="F6872B"/>
            <w:tcMar>
              <w:top w:w="0" w:type="dxa"/>
              <w:bottom w:w="0" w:type="dxa"/>
            </w:tcMar>
            <w:vAlign w:val="center"/>
          </w:tcPr>
          <w:p w:rsidR="004D15F9" w:rsidRDefault="004D15F9">
            <w:pPr>
              <w:pStyle w:val="MediumGrid21"/>
              <w:rPr>
                <w:sz w:val="8"/>
                <w:szCs w:val="8"/>
              </w:rPr>
            </w:pPr>
          </w:p>
        </w:tc>
      </w:tr>
      <w:tr w:rsidR="00D86A11" w:rsidRPr="00002D1D">
        <w:trPr>
          <w:trHeight w:val="70"/>
          <w:jc w:val="center"/>
        </w:trPr>
        <w:tc>
          <w:tcPr>
            <w:tcW w:w="0" w:type="auto"/>
            <w:shd w:val="clear" w:color="auto" w:fill="013161"/>
            <w:vAlign w:val="center"/>
          </w:tcPr>
          <w:p w:rsidR="000B1863" w:rsidRDefault="00D86A11">
            <w:pPr>
              <w:pStyle w:val="MediumGrid21"/>
              <w:numPr>
                <w:ilvl w:val="0"/>
                <w:numId w:val="17"/>
              </w:numPr>
              <w:jc w:val="center"/>
              <w:rPr>
                <w:rFonts w:ascii="Franklin Gothic Book" w:eastAsia="HGGothicM" w:hAnsi="Franklin Gothic Book" w:cs="Tahoma"/>
                <w:color w:val="FFFFFF"/>
                <w:sz w:val="48"/>
                <w:szCs w:val="72"/>
              </w:rPr>
            </w:pPr>
            <w:r w:rsidRPr="00D14239">
              <w:rPr>
                <w:rFonts w:eastAsia="HGGothicM" w:cs="Calibri"/>
                <w:color w:val="FFFFFF"/>
                <w:sz w:val="44"/>
                <w:szCs w:val="64"/>
              </w:rPr>
              <w:t>Introduction</w:t>
            </w:r>
          </w:p>
        </w:tc>
      </w:tr>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bl>
    <w:p w:rsidR="00D86A11" w:rsidRPr="007A69D3" w:rsidRDefault="00D86A11" w:rsidP="00D86A11">
      <w:pPr>
        <w:pStyle w:val="Heading3"/>
        <w:spacing w:after="0" w:line="276" w:lineRule="auto"/>
        <w:rPr>
          <w:b w:val="0"/>
          <w:color w:val="auto"/>
          <w:sz w:val="22"/>
        </w:rPr>
      </w:pPr>
      <w:r w:rsidRPr="007A69D3">
        <w:rPr>
          <w:b w:val="0"/>
          <w:color w:val="auto"/>
          <w:sz w:val="22"/>
        </w:rPr>
        <w:t xml:space="preserve">The purpose of the County Self-Assessment (CSA) is for each county, in collaboration with their community and prevention partners, to review the full scope of Child Welfare and Probation Services within the county, examine its strengths and needs from prevention through the continuum of care, including reviews of procedural and systemic practices, current levels of performance, and available resources. This analysis includes quantitative and qualitative data and guides </w:t>
      </w:r>
      <w:r w:rsidR="00F1013C" w:rsidRPr="00F1013C">
        <w:rPr>
          <w:b w:val="0"/>
          <w:color w:val="auto"/>
          <w:sz w:val="22"/>
        </w:rPr>
        <w:t>the County of San Diego in planning for program enhancements and continuous quality improvements.</w:t>
      </w:r>
    </w:p>
    <w:p w:rsidR="00D86A11" w:rsidRPr="00D14239" w:rsidRDefault="00D86A11" w:rsidP="00D86A11">
      <w:pPr>
        <w:pStyle w:val="Heading1"/>
        <w:rPr>
          <w:color w:val="013161"/>
        </w:rPr>
      </w:pPr>
      <w:r w:rsidRPr="00D14239">
        <w:rPr>
          <w:color w:val="013161"/>
        </w:rPr>
        <w:t>Guiding Principles of the CSA</w:t>
      </w:r>
    </w:p>
    <w:p w:rsidR="00D86A11" w:rsidRPr="00D14239" w:rsidRDefault="00D86A11" w:rsidP="00D86A11">
      <w:pPr>
        <w:pStyle w:val="Heading2"/>
        <w:rPr>
          <w:b w:val="0"/>
          <w:color w:val="auto"/>
          <w:sz w:val="22"/>
        </w:rPr>
      </w:pPr>
      <w:r w:rsidRPr="00D14239">
        <w:rPr>
          <w:b w:val="0"/>
          <w:color w:val="auto"/>
          <w:sz w:val="22"/>
        </w:rPr>
        <w:t xml:space="preserve">The guiding principles of the CSA process are the following:  </w:t>
      </w:r>
    </w:p>
    <w:p w:rsidR="00D86A11" w:rsidRPr="000553C2" w:rsidRDefault="00D86A11" w:rsidP="00D86A11">
      <w:pPr>
        <w:pStyle w:val="Heading2"/>
        <w:numPr>
          <w:ilvl w:val="0"/>
          <w:numId w:val="6"/>
        </w:numPr>
        <w:rPr>
          <w:b w:val="0"/>
          <w:color w:val="auto"/>
          <w:sz w:val="22"/>
        </w:rPr>
      </w:pPr>
      <w:r w:rsidRPr="000553C2">
        <w:rPr>
          <w:b w:val="0"/>
          <w:color w:val="auto"/>
          <w:sz w:val="22"/>
        </w:rPr>
        <w:t>The goal of the child welfare system is to improve outcomes for children and families in the areas of safety, permanency and well-being.</w:t>
      </w:r>
    </w:p>
    <w:p w:rsidR="00D86A11" w:rsidRPr="000553C2" w:rsidRDefault="00F1013C" w:rsidP="00D86A11">
      <w:pPr>
        <w:pStyle w:val="Heading2"/>
        <w:numPr>
          <w:ilvl w:val="0"/>
          <w:numId w:val="6"/>
        </w:numPr>
        <w:rPr>
          <w:b w:val="0"/>
          <w:color w:val="auto"/>
          <w:sz w:val="22"/>
        </w:rPr>
      </w:pPr>
      <w:r w:rsidRPr="00F1013C">
        <w:rPr>
          <w:b w:val="0"/>
          <w:color w:val="auto"/>
          <w:sz w:val="22"/>
        </w:rPr>
        <w:t>The entire community is responsible for child, youth and family welfare, not just the child welfare agency. The child welfare agency has the primary responsibility to intervene when children’s safety is endangered.</w:t>
      </w:r>
    </w:p>
    <w:p w:rsidR="00D86A11" w:rsidRPr="000553C2" w:rsidRDefault="00F1013C" w:rsidP="00D86A11">
      <w:pPr>
        <w:pStyle w:val="Heading2"/>
        <w:numPr>
          <w:ilvl w:val="0"/>
          <w:numId w:val="6"/>
        </w:numPr>
        <w:rPr>
          <w:b w:val="0"/>
          <w:color w:val="auto"/>
          <w:sz w:val="22"/>
        </w:rPr>
      </w:pPr>
      <w:r w:rsidRPr="00F1013C">
        <w:rPr>
          <w:b w:val="0"/>
          <w:color w:val="auto"/>
          <w:sz w:val="22"/>
        </w:rPr>
        <w:t>To be effective, the child welfare system must embrace the entire continuum of prevention services and after care prevention.</w:t>
      </w:r>
    </w:p>
    <w:p w:rsidR="00D86A11" w:rsidRPr="000553C2" w:rsidRDefault="00F1013C" w:rsidP="00D86A11">
      <w:pPr>
        <w:pStyle w:val="Heading2"/>
        <w:numPr>
          <w:ilvl w:val="0"/>
          <w:numId w:val="6"/>
        </w:numPr>
        <w:rPr>
          <w:b w:val="0"/>
          <w:color w:val="auto"/>
          <w:sz w:val="22"/>
        </w:rPr>
      </w:pPr>
      <w:r w:rsidRPr="00F1013C">
        <w:rPr>
          <w:b w:val="0"/>
          <w:color w:val="auto"/>
          <w:sz w:val="22"/>
        </w:rPr>
        <w:t>Engagement with consumers and the community is vital to promoting safety, permanence and well-being.</w:t>
      </w:r>
    </w:p>
    <w:p w:rsidR="00D86A11" w:rsidRPr="000553C2" w:rsidRDefault="00F1013C" w:rsidP="00D86A11">
      <w:pPr>
        <w:pStyle w:val="Heading2"/>
        <w:numPr>
          <w:ilvl w:val="0"/>
          <w:numId w:val="6"/>
        </w:numPr>
        <w:rPr>
          <w:b w:val="0"/>
          <w:color w:val="auto"/>
          <w:sz w:val="22"/>
        </w:rPr>
      </w:pPr>
      <w:r w:rsidRPr="00F1013C">
        <w:rPr>
          <w:b w:val="0"/>
          <w:color w:val="auto"/>
          <w:sz w:val="22"/>
        </w:rPr>
        <w:t>Fiscal strategies must be arranged to meet the needs identified in the CSA.</w:t>
      </w:r>
    </w:p>
    <w:p w:rsidR="00D86A11" w:rsidRPr="000553C2" w:rsidRDefault="00F1013C" w:rsidP="00D86A11">
      <w:pPr>
        <w:pStyle w:val="Heading2"/>
        <w:numPr>
          <w:ilvl w:val="0"/>
          <w:numId w:val="6"/>
        </w:numPr>
        <w:rPr>
          <w:b w:val="0"/>
          <w:color w:val="auto"/>
          <w:sz w:val="22"/>
        </w:rPr>
      </w:pPr>
      <w:r w:rsidRPr="00F1013C">
        <w:rPr>
          <w:b w:val="0"/>
          <w:color w:val="auto"/>
          <w:sz w:val="22"/>
        </w:rPr>
        <w:t xml:space="preserve">Transforming the child welfare system is a process that involves removing traditional barriers within programs, CWS system, and other systems. </w:t>
      </w:r>
    </w:p>
    <w:p w:rsidR="00D86A11" w:rsidRPr="00B0639A" w:rsidRDefault="00D86A11" w:rsidP="00D86A11">
      <w:pPr>
        <w:pStyle w:val="Heading1"/>
        <w:rPr>
          <w:color w:val="013161"/>
        </w:rPr>
      </w:pPr>
      <w:r w:rsidRPr="00B0639A">
        <w:rPr>
          <w:color w:val="013161"/>
        </w:rPr>
        <w:t>Overview of Engagement Process</w:t>
      </w:r>
    </w:p>
    <w:p w:rsidR="00D86A11" w:rsidRPr="00B0639A" w:rsidRDefault="000B1863" w:rsidP="00D86A11">
      <w:pPr>
        <w:pStyle w:val="Heading1"/>
        <w:spacing w:line="276" w:lineRule="auto"/>
        <w:rPr>
          <w:color w:val="auto"/>
          <w:sz w:val="24"/>
        </w:rPr>
      </w:pPr>
      <w:r>
        <w:rPr>
          <w:noProof/>
        </w:rPr>
        <w:lastRenderedPageBreak/>
        <w:drawing>
          <wp:anchor distT="0" distB="0" distL="114300" distR="114300" simplePos="0" relativeHeight="251824128" behindDoc="0" locked="0" layoutInCell="1" allowOverlap="1">
            <wp:simplePos x="0" y="0"/>
            <wp:positionH relativeFrom="column">
              <wp:posOffset>2415540</wp:posOffset>
            </wp:positionH>
            <wp:positionV relativeFrom="paragraph">
              <wp:posOffset>635</wp:posOffset>
            </wp:positionV>
            <wp:extent cx="3455670" cy="2334260"/>
            <wp:effectExtent l="19050" t="0" r="0" b="0"/>
            <wp:wrapSquare wrapText="bothSides"/>
            <wp:docPr id="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22650" t="32907" r="33226" b="19400"/>
                    <a:stretch>
                      <a:fillRect/>
                    </a:stretch>
                  </pic:blipFill>
                  <pic:spPr bwMode="auto">
                    <a:xfrm>
                      <a:off x="0" y="0"/>
                      <a:ext cx="3455670" cy="2334260"/>
                    </a:xfrm>
                    <a:prstGeom prst="rect">
                      <a:avLst/>
                    </a:prstGeom>
                    <a:noFill/>
                    <a:ln w="9525">
                      <a:noFill/>
                      <a:miter lim="800000"/>
                      <a:headEnd/>
                      <a:tailEnd/>
                    </a:ln>
                  </pic:spPr>
                </pic:pic>
              </a:graphicData>
            </a:graphic>
          </wp:anchor>
        </w:drawing>
      </w:r>
      <w:r w:rsidR="00C17026">
        <w:rPr>
          <w:noProof/>
        </w:rPr>
        <w:drawing>
          <wp:anchor distT="0" distB="0" distL="114300" distR="114300" simplePos="0" relativeHeight="251623424" behindDoc="0" locked="0" layoutInCell="1" allowOverlap="1">
            <wp:simplePos x="0" y="0"/>
            <wp:positionH relativeFrom="column">
              <wp:posOffset>2415540</wp:posOffset>
            </wp:positionH>
            <wp:positionV relativeFrom="paragraph">
              <wp:posOffset>635</wp:posOffset>
            </wp:positionV>
            <wp:extent cx="3455670" cy="2334260"/>
            <wp:effectExtent l="0" t="0" r="0" b="8890"/>
            <wp:wrapSquare wrapText="bothSides"/>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l="22650" t="32907" r="33226" b="19400"/>
                    <a:stretch>
                      <a:fillRect/>
                    </a:stretch>
                  </pic:blipFill>
                  <pic:spPr bwMode="auto">
                    <a:xfrm>
                      <a:off x="0" y="0"/>
                      <a:ext cx="3455670" cy="2334260"/>
                    </a:xfrm>
                    <a:prstGeom prst="rect">
                      <a:avLst/>
                    </a:prstGeom>
                    <a:noFill/>
                  </pic:spPr>
                </pic:pic>
              </a:graphicData>
            </a:graphic>
          </wp:anchor>
        </w:drawing>
      </w:r>
      <w:r w:rsidR="00D86A11" w:rsidRPr="00B0639A">
        <w:rPr>
          <w:b w:val="0"/>
          <w:color w:val="auto"/>
          <w:sz w:val="22"/>
        </w:rPr>
        <w:t xml:space="preserve">The County of San Diego, Child Welfare </w:t>
      </w:r>
      <w:r w:rsidR="00D86A11">
        <w:rPr>
          <w:b w:val="0"/>
          <w:color w:val="auto"/>
          <w:sz w:val="22"/>
        </w:rPr>
        <w:t>S</w:t>
      </w:r>
      <w:r w:rsidR="00D86A11" w:rsidRPr="00B0639A">
        <w:rPr>
          <w:b w:val="0"/>
          <w:color w:val="auto"/>
          <w:sz w:val="22"/>
        </w:rPr>
        <w:t xml:space="preserve">ervices (CWS) and Juvenile Probation Department would like to thank the over </w:t>
      </w:r>
      <w:r w:rsidR="00F1013C" w:rsidRPr="00F1013C">
        <w:rPr>
          <w:b w:val="0"/>
          <w:color w:val="auto"/>
          <w:sz w:val="22"/>
        </w:rPr>
        <w:t xml:space="preserve">150 representatives from private, public and community organizations who assisted with the 2016 County Self-Assessment (CSA) process and especially the CSA Team members (Appendix C) for their hard work, commitment and contributions to this effort. This report would not have been possible without their expertise and dedication.  </w:t>
      </w:r>
    </w:p>
    <w:p w:rsidR="00D86A11" w:rsidRDefault="00F1013C" w:rsidP="00D86A11">
      <w:pPr>
        <w:pStyle w:val="Heading3"/>
        <w:spacing w:line="276" w:lineRule="auto"/>
        <w:rPr>
          <w:b w:val="0"/>
          <w:color w:val="auto"/>
          <w:sz w:val="22"/>
        </w:rPr>
      </w:pPr>
      <w:r w:rsidRPr="00F1013C">
        <w:rPr>
          <w:b w:val="0"/>
          <w:color w:val="auto"/>
          <w:sz w:val="22"/>
        </w:rPr>
        <w:t xml:space="preserve">The County hired Harder+Company Community Research to facilitate the CSA stakeholder forums and Peer Review process, conduct focus groups with youth and families, and analyze the information gathered from these activities. The County used a CSA Survey (Appendix E) to gather additional information from stakeholders. The survey was distributed online to stakeholders at the conclusion of the stakeholder forums. Survey results were collected and compiled by Harder+Company and the findings were incorporated into this report and are included in Appendix F. </w:t>
      </w:r>
    </w:p>
    <w:p w:rsidR="00D86A11" w:rsidRDefault="00F1013C" w:rsidP="00D86A11">
      <w:pPr>
        <w:pStyle w:val="Heading3"/>
        <w:spacing w:line="276" w:lineRule="auto"/>
        <w:rPr>
          <w:b w:val="0"/>
          <w:color w:val="auto"/>
          <w:sz w:val="22"/>
        </w:rPr>
      </w:pPr>
      <w:r w:rsidRPr="00F1013C">
        <w:rPr>
          <w:b w:val="0"/>
          <w:color w:val="auto"/>
          <w:sz w:val="22"/>
        </w:rPr>
        <w:t>Beginning in December 2015, the CSA Team met weekly for planning and discussion. During these meetings, the CSA Team developed a county-wide community and stakeholder engagement process to inform the writing of the CSA report. This engagement process involved four levels of input: CWS management staff, stakeholders, community focus groups, and Peer Review.</w:t>
      </w:r>
    </w:p>
    <w:p w:rsidR="00D86A11" w:rsidRPr="00506404" w:rsidRDefault="00D86A11" w:rsidP="00D86A11">
      <w:pPr>
        <w:pStyle w:val="Heading2"/>
        <w:rPr>
          <w:color w:val="F6872B"/>
        </w:rPr>
      </w:pPr>
      <w:r w:rsidRPr="00B0639A">
        <w:rPr>
          <w:rStyle w:val="Heading3Char"/>
          <w:b/>
          <w:color w:val="F6872B"/>
          <w:szCs w:val="28"/>
        </w:rPr>
        <w:t xml:space="preserve">CWS </w:t>
      </w:r>
      <w:r>
        <w:rPr>
          <w:rStyle w:val="Heading3Char"/>
          <w:b/>
          <w:color w:val="F6872B"/>
        </w:rPr>
        <w:t>Team</w:t>
      </w:r>
    </w:p>
    <w:p w:rsidR="00D86A11" w:rsidRPr="00C22D54" w:rsidRDefault="00D86A11" w:rsidP="00D86A11">
      <w:pPr>
        <w:pStyle w:val="Heading3"/>
        <w:spacing w:line="276" w:lineRule="auto"/>
        <w:rPr>
          <w:b w:val="0"/>
          <w:color w:val="auto"/>
          <w:sz w:val="22"/>
        </w:rPr>
      </w:pPr>
      <w:r w:rsidRPr="00C22D54">
        <w:rPr>
          <w:b w:val="0"/>
          <w:color w:val="auto"/>
          <w:sz w:val="22"/>
        </w:rPr>
        <w:t>To best determine the focus areas for the CSA, the CWS Data Unit gathered data regarding the seven CFSR measures for both Probation and</w:t>
      </w:r>
      <w:r w:rsidR="00F1013C" w:rsidRPr="00F1013C">
        <w:rPr>
          <w:b w:val="0"/>
          <w:color w:val="auto"/>
          <w:sz w:val="22"/>
        </w:rPr>
        <w:t xml:space="preserve"> CWS. The CWS data was reviewed within CWS, and the Probation data was reviewed within Probation. This process included taking the information to the executive level. After all levels in CWS and Probation reviewed the data, it was thought that both Probation and CWS would focus on reentry and that Probation would focus on Permanency from 12-23 months while CWS would focus on Permanency within 12 months. However, it was important that both CWS and Probation not make a final decision until after the stakeholder groups were held. The stakeholder groups agreed with both the CWS and Probation focus areas. It was further decided that both Probation and CWS would focus on the systemic factor:  Foster and Adoptive Parent Licensing, Recruitment and Retention. </w:t>
      </w:r>
    </w:p>
    <w:p w:rsidR="00D86A11" w:rsidRPr="00B0639A" w:rsidRDefault="00D86A11" w:rsidP="00D86A11">
      <w:pPr>
        <w:pStyle w:val="Heading2"/>
        <w:rPr>
          <w:color w:val="F6872B"/>
        </w:rPr>
      </w:pPr>
      <w:r w:rsidRPr="00B0639A">
        <w:rPr>
          <w:rStyle w:val="Heading1Char"/>
          <w:b/>
          <w:color w:val="F6872B"/>
          <w:sz w:val="24"/>
          <w:szCs w:val="28"/>
        </w:rPr>
        <w:t>Stakeholder Forums</w:t>
      </w:r>
    </w:p>
    <w:p w:rsidR="00D86A11" w:rsidRDefault="006D49F9" w:rsidP="00D86A11">
      <w:pPr>
        <w:pStyle w:val="Heading3"/>
        <w:spacing w:line="276" w:lineRule="auto"/>
        <w:rPr>
          <w:b w:val="0"/>
          <w:color w:val="auto"/>
          <w:sz w:val="22"/>
        </w:rPr>
      </w:pPr>
      <w:r>
        <w:rPr>
          <w:b w:val="0"/>
          <w:noProof/>
          <w:color w:val="auto"/>
          <w:sz w:val="22"/>
          <w:szCs w:val="28"/>
        </w:rPr>
        <w:lastRenderedPageBreak/>
        <w:drawing>
          <wp:anchor distT="0" distB="0" distL="114300" distR="114300" simplePos="0" relativeHeight="251896832" behindDoc="0" locked="0" layoutInCell="1" allowOverlap="1">
            <wp:simplePos x="0" y="0"/>
            <wp:positionH relativeFrom="column">
              <wp:posOffset>36195</wp:posOffset>
            </wp:positionH>
            <wp:positionV relativeFrom="paragraph">
              <wp:posOffset>908050</wp:posOffset>
            </wp:positionV>
            <wp:extent cx="5796915" cy="1734820"/>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96915" cy="1734820"/>
                    </a:xfrm>
                    <a:prstGeom prst="rect">
                      <a:avLst/>
                    </a:prstGeom>
                    <a:noFill/>
                    <a:ln>
                      <a:noFill/>
                    </a:ln>
                  </pic:spPr>
                </pic:pic>
              </a:graphicData>
            </a:graphic>
          </wp:anchor>
        </w:drawing>
      </w:r>
      <w:r w:rsidR="00D86A11" w:rsidRPr="00B0639A">
        <w:rPr>
          <w:b w:val="0"/>
          <w:color w:val="auto"/>
          <w:sz w:val="22"/>
        </w:rPr>
        <w:t xml:space="preserve">Invitations were emailed to </w:t>
      </w:r>
      <w:r w:rsidR="00D86A11">
        <w:rPr>
          <w:b w:val="0"/>
          <w:color w:val="auto"/>
          <w:sz w:val="22"/>
        </w:rPr>
        <w:t xml:space="preserve">over 100 </w:t>
      </w:r>
      <w:r w:rsidR="00D86A11" w:rsidRPr="00B0639A">
        <w:rPr>
          <w:b w:val="0"/>
          <w:color w:val="auto"/>
          <w:sz w:val="22"/>
        </w:rPr>
        <w:t xml:space="preserve">agency partners including but not limited to:  CWS staff, </w:t>
      </w:r>
      <w:r w:rsidR="00F1013C" w:rsidRPr="00F1013C">
        <w:rPr>
          <w:b w:val="0"/>
          <w:color w:val="auto"/>
          <w:sz w:val="22"/>
        </w:rPr>
        <w:t xml:space="preserve">Probation staff, contractors, juvenile court attorneys and staff, law enforcement, early childhood service providers, school districts including specialty Foster Youth Liaisons and </w:t>
      </w:r>
      <w:r w:rsidR="00E65BC8">
        <w:rPr>
          <w:b w:val="0"/>
          <w:color w:val="auto"/>
          <w:sz w:val="22"/>
        </w:rPr>
        <w:t>County Office of Education (</w:t>
      </w:r>
      <w:r w:rsidR="00F1013C" w:rsidRPr="00F1013C">
        <w:rPr>
          <w:b w:val="0"/>
          <w:color w:val="auto"/>
          <w:sz w:val="22"/>
        </w:rPr>
        <w:t>COE</w:t>
      </w:r>
      <w:r w:rsidR="00E65BC8">
        <w:rPr>
          <w:b w:val="0"/>
          <w:color w:val="auto"/>
          <w:sz w:val="22"/>
        </w:rPr>
        <w:t>)</w:t>
      </w:r>
      <w:r w:rsidR="00F1013C" w:rsidRPr="00F1013C">
        <w:rPr>
          <w:b w:val="0"/>
          <w:color w:val="auto"/>
          <w:sz w:val="22"/>
        </w:rPr>
        <w:t xml:space="preserve"> Foster Youth Services, Licensed Group home/FFA Forum chairperson, Independent Living Skills Service Providers (CWS and Probation), Public Health, Mental Health, Alcohol and Drug Services, Tribes, Public Child Welfare Training Academy, and Foster Parent Association (see Appendix D). Stakeholders were invited to attend three stakeholder meetings held from March 3, 2016 through March 14, 2016. </w:t>
      </w:r>
    </w:p>
    <w:p w:rsidR="00D86A11" w:rsidRDefault="00D86A11" w:rsidP="00D86A11">
      <w:pPr>
        <w:pStyle w:val="Heading3"/>
        <w:spacing w:line="276" w:lineRule="auto"/>
        <w:rPr>
          <w:b w:val="0"/>
          <w:color w:val="auto"/>
          <w:sz w:val="22"/>
        </w:rPr>
      </w:pPr>
      <w:r w:rsidRPr="00B0639A">
        <w:rPr>
          <w:b w:val="0"/>
          <w:color w:val="auto"/>
          <w:sz w:val="22"/>
        </w:rPr>
        <w:t>The stakeholder forums addres</w:t>
      </w:r>
      <w:r>
        <w:rPr>
          <w:b w:val="0"/>
          <w:color w:val="auto"/>
          <w:sz w:val="22"/>
        </w:rPr>
        <w:t>sed R</w:t>
      </w:r>
      <w:r w:rsidRPr="00B0639A">
        <w:rPr>
          <w:b w:val="0"/>
          <w:color w:val="auto"/>
          <w:sz w:val="22"/>
        </w:rPr>
        <w:t>eentry into care</w:t>
      </w:r>
      <w:r>
        <w:rPr>
          <w:b w:val="0"/>
          <w:color w:val="auto"/>
          <w:sz w:val="22"/>
        </w:rPr>
        <w:t>, Permanency within 12 months (CWS focus) and Permanency 12-23 months (Probation focus) and all seven systemic factors.  Exhibit 2 provides number of attendees per forum.</w:t>
      </w:r>
    </w:p>
    <w:p w:rsidR="00D86A11" w:rsidRPr="00D4243C" w:rsidRDefault="00D86A11" w:rsidP="00D86A11"/>
    <w:tbl>
      <w:tblPr>
        <w:tblW w:w="0" w:type="auto"/>
        <w:tblBorders>
          <w:top w:val="single" w:sz="12" w:space="0" w:color="F6872B"/>
          <w:bottom w:val="single" w:sz="12" w:space="0" w:color="F6872B"/>
          <w:insideH w:val="single" w:sz="2" w:space="0" w:color="FFFFFF"/>
          <w:insideV w:val="single" w:sz="2" w:space="0" w:color="FFFFFF"/>
        </w:tblBorders>
        <w:tblLook w:val="04A0" w:firstRow="1" w:lastRow="0" w:firstColumn="1" w:lastColumn="0" w:noHBand="0" w:noVBand="1"/>
      </w:tblPr>
      <w:tblGrid>
        <w:gridCol w:w="3258"/>
        <w:gridCol w:w="2070"/>
        <w:gridCol w:w="2160"/>
        <w:gridCol w:w="1800"/>
      </w:tblGrid>
      <w:tr w:rsidR="00D86A11">
        <w:trPr>
          <w:trHeight w:val="350"/>
        </w:trPr>
        <w:tc>
          <w:tcPr>
            <w:tcW w:w="9288" w:type="dxa"/>
            <w:gridSpan w:val="4"/>
            <w:tcBorders>
              <w:top w:val="single" w:sz="24" w:space="0" w:color="F6872B"/>
              <w:bottom w:val="single" w:sz="24" w:space="0" w:color="F6872B"/>
            </w:tcBorders>
            <w:shd w:val="clear" w:color="auto" w:fill="013161"/>
            <w:vAlign w:val="center"/>
          </w:tcPr>
          <w:p w:rsidR="00D86A11" w:rsidRPr="007A76C3" w:rsidRDefault="00D86A11" w:rsidP="00D86A11">
            <w:pPr>
              <w:pStyle w:val="BodyText"/>
              <w:spacing w:after="0"/>
              <w:jc w:val="center"/>
              <w:rPr>
                <w:b/>
                <w:color w:val="FFFFFF"/>
                <w:sz w:val="28"/>
              </w:rPr>
            </w:pPr>
            <w:r w:rsidRPr="007A76C3">
              <w:rPr>
                <w:b/>
                <w:color w:val="FFFFFF"/>
                <w:sz w:val="28"/>
              </w:rPr>
              <w:t>Exhibit 2. Stakeholder Forum Attendance</w:t>
            </w:r>
          </w:p>
        </w:tc>
      </w:tr>
      <w:tr w:rsidR="00D86A11">
        <w:trPr>
          <w:trHeight w:val="350"/>
        </w:trPr>
        <w:tc>
          <w:tcPr>
            <w:tcW w:w="3258" w:type="dxa"/>
            <w:vMerge w:val="restart"/>
            <w:tcBorders>
              <w:top w:val="single" w:sz="24" w:space="0" w:color="F6872B"/>
              <w:bottom w:val="single" w:sz="24" w:space="0" w:color="F6872B"/>
            </w:tcBorders>
            <w:shd w:val="clear" w:color="auto" w:fill="013161"/>
            <w:vAlign w:val="center"/>
          </w:tcPr>
          <w:p w:rsidR="00D86A11" w:rsidRPr="007A76C3" w:rsidRDefault="00D86A11" w:rsidP="00D86A11">
            <w:pPr>
              <w:pStyle w:val="BodyText"/>
              <w:spacing w:after="0"/>
              <w:jc w:val="center"/>
              <w:rPr>
                <w:b/>
                <w:color w:val="FFFFFF"/>
                <w:sz w:val="28"/>
              </w:rPr>
            </w:pPr>
            <w:r w:rsidRPr="007A76C3">
              <w:rPr>
                <w:b/>
                <w:color w:val="FFFFFF"/>
                <w:sz w:val="28"/>
              </w:rPr>
              <w:t>Number of attendees</w:t>
            </w:r>
          </w:p>
        </w:tc>
        <w:tc>
          <w:tcPr>
            <w:tcW w:w="6030" w:type="dxa"/>
            <w:gridSpan w:val="3"/>
            <w:tcBorders>
              <w:top w:val="single" w:sz="24" w:space="0" w:color="F6872B"/>
              <w:bottom w:val="nil"/>
            </w:tcBorders>
            <w:shd w:val="clear" w:color="auto" w:fill="013161"/>
            <w:vAlign w:val="center"/>
          </w:tcPr>
          <w:p w:rsidR="00D86A11" w:rsidRPr="007A76C3" w:rsidRDefault="00D86A11" w:rsidP="00D86A11">
            <w:pPr>
              <w:pStyle w:val="BodyText"/>
              <w:spacing w:after="0"/>
              <w:jc w:val="center"/>
              <w:rPr>
                <w:b/>
                <w:color w:val="FFFFFF"/>
                <w:sz w:val="28"/>
              </w:rPr>
            </w:pPr>
            <w:r w:rsidRPr="007A76C3">
              <w:rPr>
                <w:b/>
                <w:color w:val="FFFFFF"/>
                <w:sz w:val="28"/>
              </w:rPr>
              <w:t>Meeting Date</w:t>
            </w:r>
          </w:p>
        </w:tc>
      </w:tr>
      <w:tr w:rsidR="00D86A11">
        <w:trPr>
          <w:trHeight w:val="413"/>
        </w:trPr>
        <w:tc>
          <w:tcPr>
            <w:tcW w:w="3258" w:type="dxa"/>
            <w:vMerge/>
            <w:tcBorders>
              <w:top w:val="single" w:sz="12" w:space="0" w:color="F6872B"/>
              <w:bottom w:val="single" w:sz="24" w:space="0" w:color="F6872B"/>
            </w:tcBorders>
            <w:shd w:val="clear" w:color="auto" w:fill="013161"/>
          </w:tcPr>
          <w:p w:rsidR="00D86A11" w:rsidRPr="007A76C3" w:rsidRDefault="00D86A11" w:rsidP="00D86A11">
            <w:pPr>
              <w:pStyle w:val="BodyText"/>
              <w:spacing w:after="0"/>
              <w:rPr>
                <w:color w:val="013161"/>
                <w:sz w:val="28"/>
              </w:rPr>
            </w:pPr>
          </w:p>
        </w:tc>
        <w:tc>
          <w:tcPr>
            <w:tcW w:w="2070" w:type="dxa"/>
            <w:tcBorders>
              <w:top w:val="nil"/>
              <w:bottom w:val="single" w:sz="2" w:space="0" w:color="FFFFFF"/>
            </w:tcBorders>
            <w:shd w:val="clear" w:color="auto" w:fill="DBE5F1"/>
            <w:vAlign w:val="center"/>
          </w:tcPr>
          <w:p w:rsidR="00D86A11" w:rsidRPr="007A76C3" w:rsidRDefault="00F1013C" w:rsidP="00D86A11">
            <w:pPr>
              <w:pStyle w:val="BodyText"/>
              <w:spacing w:after="0"/>
              <w:jc w:val="center"/>
              <w:rPr>
                <w:color w:val="013161"/>
                <w:sz w:val="28"/>
              </w:rPr>
            </w:pPr>
            <w:r w:rsidRPr="00F1013C">
              <w:rPr>
                <w:color w:val="013161"/>
                <w:sz w:val="28"/>
              </w:rPr>
              <w:t>3/3/16</w:t>
            </w:r>
          </w:p>
        </w:tc>
        <w:tc>
          <w:tcPr>
            <w:tcW w:w="2160" w:type="dxa"/>
            <w:tcBorders>
              <w:top w:val="nil"/>
              <w:bottom w:val="single" w:sz="2" w:space="0" w:color="FFFFFF"/>
            </w:tcBorders>
            <w:shd w:val="clear" w:color="auto" w:fill="DBE5F1"/>
            <w:vAlign w:val="center"/>
          </w:tcPr>
          <w:p w:rsidR="00D86A11" w:rsidRPr="007A76C3" w:rsidRDefault="00F1013C" w:rsidP="00D86A11">
            <w:pPr>
              <w:pStyle w:val="BodyText"/>
              <w:spacing w:after="0"/>
              <w:jc w:val="center"/>
              <w:rPr>
                <w:color w:val="013161"/>
                <w:sz w:val="28"/>
              </w:rPr>
            </w:pPr>
            <w:r w:rsidRPr="00F1013C">
              <w:rPr>
                <w:color w:val="013161"/>
                <w:sz w:val="28"/>
              </w:rPr>
              <w:t>3/7/16</w:t>
            </w:r>
          </w:p>
        </w:tc>
        <w:tc>
          <w:tcPr>
            <w:tcW w:w="1800" w:type="dxa"/>
            <w:tcBorders>
              <w:top w:val="nil"/>
              <w:bottom w:val="single" w:sz="2" w:space="0" w:color="FFFFFF"/>
            </w:tcBorders>
            <w:shd w:val="clear" w:color="auto" w:fill="DBE5F1"/>
            <w:vAlign w:val="center"/>
          </w:tcPr>
          <w:p w:rsidR="00D86A11" w:rsidRPr="007A76C3" w:rsidRDefault="00F1013C" w:rsidP="00D86A11">
            <w:pPr>
              <w:pStyle w:val="BodyText"/>
              <w:spacing w:after="0"/>
              <w:jc w:val="center"/>
              <w:rPr>
                <w:color w:val="013161"/>
                <w:sz w:val="28"/>
              </w:rPr>
            </w:pPr>
            <w:r w:rsidRPr="00F1013C">
              <w:rPr>
                <w:color w:val="013161"/>
                <w:sz w:val="28"/>
              </w:rPr>
              <w:t>3/14/16</w:t>
            </w:r>
          </w:p>
        </w:tc>
      </w:tr>
      <w:tr w:rsidR="00D86A11">
        <w:trPr>
          <w:trHeight w:val="440"/>
        </w:trPr>
        <w:tc>
          <w:tcPr>
            <w:tcW w:w="3258" w:type="dxa"/>
            <w:vMerge/>
            <w:tcBorders>
              <w:top w:val="single" w:sz="12" w:space="0" w:color="F6872B"/>
              <w:bottom w:val="single" w:sz="24" w:space="0" w:color="F6872B"/>
            </w:tcBorders>
            <w:shd w:val="clear" w:color="auto" w:fill="013161"/>
          </w:tcPr>
          <w:p w:rsidR="00D86A11" w:rsidRPr="007A76C3" w:rsidRDefault="00D86A11" w:rsidP="00D86A11">
            <w:pPr>
              <w:pStyle w:val="BodyText"/>
              <w:spacing w:after="0"/>
              <w:rPr>
                <w:color w:val="013161"/>
                <w:sz w:val="28"/>
              </w:rPr>
            </w:pPr>
          </w:p>
        </w:tc>
        <w:tc>
          <w:tcPr>
            <w:tcW w:w="2070" w:type="dxa"/>
            <w:tcBorders>
              <w:top w:val="single" w:sz="2" w:space="0" w:color="FFFFFF"/>
              <w:bottom w:val="single" w:sz="24" w:space="0" w:color="F6872B"/>
            </w:tcBorders>
            <w:shd w:val="clear" w:color="auto" w:fill="FFFFFF"/>
            <w:vAlign w:val="center"/>
          </w:tcPr>
          <w:p w:rsidR="00D86A11" w:rsidRPr="007A76C3" w:rsidRDefault="00F1013C" w:rsidP="00D86A11">
            <w:pPr>
              <w:pStyle w:val="BodyText"/>
              <w:spacing w:after="0"/>
              <w:jc w:val="center"/>
              <w:rPr>
                <w:color w:val="013161"/>
                <w:sz w:val="28"/>
              </w:rPr>
            </w:pPr>
            <w:r w:rsidRPr="00F1013C">
              <w:rPr>
                <w:color w:val="013161"/>
                <w:sz w:val="28"/>
              </w:rPr>
              <w:t>59</w:t>
            </w:r>
          </w:p>
        </w:tc>
        <w:tc>
          <w:tcPr>
            <w:tcW w:w="2160" w:type="dxa"/>
            <w:tcBorders>
              <w:top w:val="single" w:sz="2" w:space="0" w:color="FFFFFF"/>
              <w:bottom w:val="single" w:sz="24" w:space="0" w:color="F6872B"/>
            </w:tcBorders>
            <w:shd w:val="clear" w:color="auto" w:fill="FFFFFF"/>
            <w:vAlign w:val="center"/>
          </w:tcPr>
          <w:p w:rsidR="00D86A11" w:rsidRPr="007A76C3" w:rsidRDefault="00F1013C" w:rsidP="00D86A11">
            <w:pPr>
              <w:pStyle w:val="BodyText"/>
              <w:spacing w:after="0"/>
              <w:jc w:val="center"/>
              <w:rPr>
                <w:color w:val="013161"/>
                <w:sz w:val="28"/>
              </w:rPr>
            </w:pPr>
            <w:r w:rsidRPr="00F1013C">
              <w:rPr>
                <w:color w:val="013161"/>
                <w:sz w:val="28"/>
              </w:rPr>
              <w:t>52</w:t>
            </w:r>
          </w:p>
        </w:tc>
        <w:tc>
          <w:tcPr>
            <w:tcW w:w="1800" w:type="dxa"/>
            <w:tcBorders>
              <w:top w:val="single" w:sz="2" w:space="0" w:color="FFFFFF"/>
              <w:bottom w:val="single" w:sz="24" w:space="0" w:color="F6872B"/>
            </w:tcBorders>
            <w:shd w:val="clear" w:color="auto" w:fill="FFFFFF"/>
            <w:vAlign w:val="center"/>
          </w:tcPr>
          <w:p w:rsidR="00D86A11" w:rsidRPr="007A76C3" w:rsidRDefault="00F1013C" w:rsidP="00D86A11">
            <w:pPr>
              <w:pStyle w:val="BodyText"/>
              <w:spacing w:after="0"/>
              <w:jc w:val="center"/>
              <w:rPr>
                <w:color w:val="013161"/>
                <w:sz w:val="28"/>
              </w:rPr>
            </w:pPr>
            <w:r w:rsidRPr="00F1013C">
              <w:rPr>
                <w:color w:val="013161"/>
                <w:sz w:val="28"/>
              </w:rPr>
              <w:t>44</w:t>
            </w:r>
          </w:p>
        </w:tc>
      </w:tr>
    </w:tbl>
    <w:p w:rsidR="00D86A11" w:rsidRDefault="00D86A11" w:rsidP="00D86A11"/>
    <w:p w:rsidR="00D86A11" w:rsidRPr="00CD3761" w:rsidRDefault="00D86A11" w:rsidP="00D86A11">
      <w:pPr>
        <w:rPr>
          <w:rFonts w:ascii="Franklin Gothic Book" w:hAnsi="Franklin Gothic Book"/>
          <w:color w:val="auto"/>
          <w:spacing w:val="20"/>
          <w:szCs w:val="28"/>
        </w:rPr>
      </w:pPr>
      <w:r w:rsidRPr="00CD3761">
        <w:rPr>
          <w:rFonts w:ascii="Franklin Gothic Book" w:hAnsi="Franklin Gothic Book"/>
          <w:color w:val="auto"/>
          <w:spacing w:val="20"/>
          <w:szCs w:val="28"/>
        </w:rPr>
        <w:t>Each stakeholder meeting followed a similar format:</w:t>
      </w:r>
    </w:p>
    <w:p w:rsidR="00D86A11" w:rsidRDefault="00D86A11" w:rsidP="00D86A11">
      <w:pPr>
        <w:numPr>
          <w:ilvl w:val="0"/>
          <w:numId w:val="15"/>
        </w:numPr>
        <w:rPr>
          <w:rFonts w:ascii="Franklin Gothic Book" w:hAnsi="Franklin Gothic Book"/>
          <w:color w:val="auto"/>
          <w:spacing w:val="20"/>
          <w:szCs w:val="28"/>
        </w:rPr>
      </w:pPr>
      <w:r w:rsidRPr="00CD3761">
        <w:rPr>
          <w:rFonts w:ascii="Franklin Gothic Book" w:hAnsi="Franklin Gothic Book"/>
          <w:b/>
          <w:color w:val="auto"/>
          <w:spacing w:val="20"/>
          <w:szCs w:val="28"/>
        </w:rPr>
        <w:t>Ground the discussion in data</w:t>
      </w:r>
      <w:r>
        <w:rPr>
          <w:rFonts w:ascii="Franklin Gothic Book" w:hAnsi="Franklin Gothic Book"/>
          <w:b/>
          <w:color w:val="auto"/>
          <w:spacing w:val="20"/>
          <w:szCs w:val="28"/>
        </w:rPr>
        <w:t xml:space="preserve">. </w:t>
      </w:r>
      <w:r w:rsidRPr="00CD3761">
        <w:rPr>
          <w:rFonts w:ascii="Franklin Gothic Book" w:hAnsi="Franklin Gothic Book"/>
          <w:color w:val="auto"/>
          <w:spacing w:val="20"/>
          <w:szCs w:val="28"/>
        </w:rPr>
        <w:t xml:space="preserve">Members of the CSA team presented current </w:t>
      </w:r>
      <w:r>
        <w:rPr>
          <w:rFonts w:ascii="Franklin Gothic Book" w:hAnsi="Franklin Gothic Book"/>
          <w:color w:val="auto"/>
          <w:spacing w:val="20"/>
          <w:szCs w:val="28"/>
        </w:rPr>
        <w:t xml:space="preserve">County of </w:t>
      </w:r>
      <w:r w:rsidRPr="00CD3761">
        <w:rPr>
          <w:rFonts w:ascii="Franklin Gothic Book" w:hAnsi="Franklin Gothic Book"/>
          <w:color w:val="auto"/>
          <w:spacing w:val="20"/>
          <w:szCs w:val="28"/>
        </w:rPr>
        <w:t>San Diego Child Welfare Services (CWS) and Probation data on trends and key initiatives in place to support children and families involved with child welfare services.</w:t>
      </w:r>
    </w:p>
    <w:p w:rsidR="00D86A11" w:rsidRDefault="00D86A11" w:rsidP="00D86A11">
      <w:pPr>
        <w:numPr>
          <w:ilvl w:val="0"/>
          <w:numId w:val="15"/>
        </w:numPr>
        <w:rPr>
          <w:rFonts w:ascii="Franklin Gothic Book" w:hAnsi="Franklin Gothic Book"/>
          <w:color w:val="auto"/>
          <w:spacing w:val="20"/>
          <w:szCs w:val="28"/>
        </w:rPr>
      </w:pPr>
      <w:r w:rsidRPr="00CD3761">
        <w:rPr>
          <w:rFonts w:ascii="Franklin Gothic Book" w:hAnsi="Franklin Gothic Book"/>
          <w:b/>
          <w:color w:val="auto"/>
          <w:spacing w:val="20"/>
          <w:szCs w:val="28"/>
        </w:rPr>
        <w:t>Provide key questions to target group feedback</w:t>
      </w:r>
      <w:r>
        <w:rPr>
          <w:rFonts w:ascii="Franklin Gothic Book" w:hAnsi="Franklin Gothic Book"/>
          <w:b/>
          <w:color w:val="auto"/>
          <w:spacing w:val="20"/>
          <w:szCs w:val="28"/>
        </w:rPr>
        <w:t xml:space="preserve">. </w:t>
      </w:r>
      <w:r w:rsidRPr="00CD3761">
        <w:rPr>
          <w:rFonts w:ascii="Franklin Gothic Book" w:hAnsi="Franklin Gothic Book"/>
          <w:color w:val="auto"/>
          <w:spacing w:val="20"/>
          <w:szCs w:val="28"/>
        </w:rPr>
        <w:t xml:space="preserve">Following the presentation, stakeholders were provided key questions related to the day’s topic (i.e. reentry into care, placement, and systemic factors). </w:t>
      </w:r>
    </w:p>
    <w:p w:rsidR="00D86A11" w:rsidRDefault="00042295" w:rsidP="00D86A11">
      <w:pPr>
        <w:numPr>
          <w:ilvl w:val="0"/>
          <w:numId w:val="15"/>
        </w:numPr>
        <w:rPr>
          <w:rFonts w:ascii="Franklin Gothic Book" w:hAnsi="Franklin Gothic Book"/>
          <w:color w:val="auto"/>
          <w:spacing w:val="20"/>
          <w:szCs w:val="28"/>
        </w:rPr>
      </w:pPr>
      <w:r>
        <w:rPr>
          <w:rFonts w:ascii="Franklin Gothic Book" w:hAnsi="Franklin Gothic Book"/>
          <w:noProof/>
          <w:color w:val="auto"/>
          <w:spacing w:val="20"/>
          <w:szCs w:val="28"/>
        </w:rPr>
        <w:lastRenderedPageBreak/>
        <w:drawing>
          <wp:anchor distT="0" distB="0" distL="114300" distR="114300" simplePos="0" relativeHeight="251826176" behindDoc="1" locked="0" layoutInCell="1" allowOverlap="1">
            <wp:simplePos x="0" y="0"/>
            <wp:positionH relativeFrom="column">
              <wp:posOffset>2321560</wp:posOffset>
            </wp:positionH>
            <wp:positionV relativeFrom="paragraph">
              <wp:posOffset>1333500</wp:posOffset>
            </wp:positionV>
            <wp:extent cx="3501390" cy="2025650"/>
            <wp:effectExtent l="0" t="0" r="3810"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1" cstate="print"/>
                    <a:srcRect/>
                    <a:stretch>
                      <a:fillRect/>
                    </a:stretch>
                  </pic:blipFill>
                  <pic:spPr bwMode="auto">
                    <a:xfrm>
                      <a:off x="0" y="0"/>
                      <a:ext cx="3501390" cy="2025650"/>
                    </a:xfrm>
                    <a:prstGeom prst="rect">
                      <a:avLst/>
                    </a:prstGeom>
                    <a:noFill/>
                    <a:ln w="9525">
                      <a:noFill/>
                      <a:miter lim="800000"/>
                      <a:headEnd/>
                      <a:tailEnd/>
                    </a:ln>
                  </pic:spPr>
                </pic:pic>
              </a:graphicData>
            </a:graphic>
          </wp:anchor>
        </w:drawing>
      </w:r>
      <w:r w:rsidR="00D86A11" w:rsidRPr="002B2E57">
        <w:rPr>
          <w:rFonts w:ascii="Franklin Gothic Book" w:hAnsi="Franklin Gothic Book"/>
          <w:b/>
          <w:color w:val="auto"/>
          <w:spacing w:val="20"/>
          <w:szCs w:val="28"/>
        </w:rPr>
        <w:t>Emphasize collaboration through conversation-based problem solving</w:t>
      </w:r>
      <w:r w:rsidR="00D86A11">
        <w:rPr>
          <w:rFonts w:ascii="Franklin Gothic Book" w:hAnsi="Franklin Gothic Book"/>
          <w:color w:val="auto"/>
          <w:spacing w:val="20"/>
          <w:szCs w:val="28"/>
        </w:rPr>
        <w:t xml:space="preserve">. </w:t>
      </w:r>
      <w:r w:rsidR="00D86A11" w:rsidRPr="00CD3761">
        <w:rPr>
          <w:rFonts w:ascii="Franklin Gothic Book" w:hAnsi="Franklin Gothic Book"/>
          <w:color w:val="auto"/>
          <w:spacing w:val="20"/>
          <w:szCs w:val="28"/>
        </w:rPr>
        <w:t xml:space="preserve">Participants were asked to work in small groups of six to eight members discussing key areas of strength (where services, supports, collaborations, and family engagement are having the desired impact on child and family outcomes) and areas to improve (identifying opportunities where services, supports, and collaboration need improvement to support child and family outcomes) related to the day’s topic. Each small group was supported by a facilitator and note taker. </w:t>
      </w:r>
    </w:p>
    <w:p w:rsidR="00D86A11" w:rsidRDefault="00D86A11" w:rsidP="00D86A11">
      <w:pPr>
        <w:numPr>
          <w:ilvl w:val="0"/>
          <w:numId w:val="15"/>
        </w:numPr>
        <w:rPr>
          <w:rFonts w:ascii="Franklin Gothic Book" w:hAnsi="Franklin Gothic Book"/>
          <w:color w:val="auto"/>
          <w:spacing w:val="20"/>
          <w:szCs w:val="28"/>
        </w:rPr>
      </w:pPr>
      <w:r w:rsidRPr="002B2E57">
        <w:rPr>
          <w:rFonts w:ascii="Franklin Gothic Book" w:hAnsi="Franklin Gothic Book"/>
          <w:b/>
          <w:color w:val="auto"/>
          <w:spacing w:val="20"/>
          <w:szCs w:val="28"/>
        </w:rPr>
        <w:t>Identify emerging themes.</w:t>
      </w:r>
      <w:r w:rsidRPr="002B2E57">
        <w:rPr>
          <w:rFonts w:ascii="Franklin Gothic Book" w:hAnsi="Franklin Gothic Book"/>
          <w:color w:val="auto"/>
          <w:spacing w:val="20"/>
          <w:szCs w:val="28"/>
        </w:rPr>
        <w:t xml:space="preserve"> The ideas generated during the small group discussion were written on 3x5 sticky notes and reported back to the group. Harder+Company facilitators assisted grouping sticky notes into common topics on wall paper.</w:t>
      </w:r>
    </w:p>
    <w:p w:rsidR="00D86A11" w:rsidRPr="00B0639A" w:rsidRDefault="00D86A11" w:rsidP="00D86A11">
      <w:pPr>
        <w:pStyle w:val="Heading2"/>
        <w:rPr>
          <w:color w:val="F6872B"/>
        </w:rPr>
      </w:pPr>
      <w:r w:rsidRPr="00B0639A">
        <w:rPr>
          <w:color w:val="F6872B"/>
        </w:rPr>
        <w:t>Focus Groups</w:t>
      </w:r>
    </w:p>
    <w:p w:rsidR="00D86A11" w:rsidRPr="00B0639A" w:rsidRDefault="00D86A11" w:rsidP="00D86A11">
      <w:pPr>
        <w:pStyle w:val="Heading3"/>
        <w:spacing w:line="276" w:lineRule="auto"/>
        <w:rPr>
          <w:b w:val="0"/>
          <w:color w:val="auto"/>
          <w:sz w:val="22"/>
        </w:rPr>
      </w:pPr>
      <w:r w:rsidRPr="00600A00">
        <w:rPr>
          <w:b w:val="0"/>
          <w:color w:val="auto"/>
          <w:sz w:val="22"/>
        </w:rPr>
        <w:t>Families and community partners were invited to participate in focus groups</w:t>
      </w:r>
      <w:r>
        <w:rPr>
          <w:b w:val="0"/>
          <w:color w:val="auto"/>
          <w:sz w:val="22"/>
        </w:rPr>
        <w:t xml:space="preserve"> held in April and May </w:t>
      </w:r>
      <w:r w:rsidRPr="00600A00">
        <w:rPr>
          <w:b w:val="0"/>
          <w:color w:val="auto"/>
          <w:sz w:val="22"/>
        </w:rPr>
        <w:t>focused on key populations of interest (youth</w:t>
      </w:r>
      <w:r w:rsidR="00F1013C" w:rsidRPr="00F1013C">
        <w:rPr>
          <w:b w:val="0"/>
          <w:color w:val="auto"/>
          <w:sz w:val="22"/>
        </w:rPr>
        <w:t>, families, and Tribal communities). Over 25 participants provided feedback at these focus groups.</w:t>
      </w:r>
    </w:p>
    <w:p w:rsidR="00D86A11" w:rsidRPr="00045DB7" w:rsidRDefault="00F1013C" w:rsidP="00D86A11">
      <w:pPr>
        <w:pStyle w:val="Heading2"/>
        <w:rPr>
          <w:color w:val="F6872B"/>
        </w:rPr>
      </w:pPr>
      <w:r w:rsidRPr="00F1013C">
        <w:rPr>
          <w:color w:val="F6872B"/>
        </w:rPr>
        <w:t>Peer Review</w:t>
      </w:r>
    </w:p>
    <w:p w:rsidR="00D86A11" w:rsidRPr="00BA46A6" w:rsidRDefault="00F1013C" w:rsidP="00D86A11">
      <w:pPr>
        <w:pStyle w:val="Heading3"/>
        <w:spacing w:line="276" w:lineRule="auto"/>
        <w:rPr>
          <w:b w:val="0"/>
          <w:color w:val="auto"/>
          <w:sz w:val="22"/>
        </w:rPr>
      </w:pPr>
      <w:r w:rsidRPr="00F1013C">
        <w:rPr>
          <w:b w:val="0"/>
          <w:color w:val="auto"/>
          <w:sz w:val="22"/>
        </w:rPr>
        <w:t xml:space="preserve">The Peer Review is a qualitative examination of the County’s Child Welfare Services and Probation practices. It is driven by the idea that social workers and probation officers have valuable insights on how the system works and how to affect change in the outcomes for youth and families. The San Diego 2016 Peer Review was conducted the week of June 6 - 10, 2016 and was a collaborative effort between the County’s Child Welfare Services and Probation’s Juvenile Field Services Division. Child Welfare peer reviewers represented four counties: Contra Costa, Orange, San Bernardino and Ventura while Probation peer reviewers represented three counties: Riverside, Sacramento, and San Bernardino. In addition to out-of-county reviewers, in-county reviewers included community partners representing the Cultural Brokers and Community Services for Families (CSF) programs. A total of 38 cases were reviewed during the Peer Review week and focused on reentry to care for CWS and permanency for Probation. </w:t>
      </w:r>
    </w:p>
    <w:p w:rsidR="00D86A11" w:rsidRDefault="00D86A11" w:rsidP="00D86A11">
      <w:pPr>
        <w:spacing w:after="0"/>
        <w:rPr>
          <w:sz w:val="24"/>
          <w:szCs w:val="24"/>
        </w:rPr>
      </w:pPr>
    </w:p>
    <w:tbl>
      <w:tblPr>
        <w:tblW w:w="9529" w:type="dxa"/>
        <w:jc w:val="center"/>
        <w:tblCellMar>
          <w:top w:w="144" w:type="dxa"/>
          <w:left w:w="0" w:type="dxa"/>
          <w:bottom w:w="144" w:type="dxa"/>
          <w:right w:w="0" w:type="dxa"/>
        </w:tblCellMar>
        <w:tblLook w:val="04A0" w:firstRow="1" w:lastRow="0" w:firstColumn="1" w:lastColumn="0" w:noHBand="0" w:noVBand="1"/>
      </w:tblPr>
      <w:tblGrid>
        <w:gridCol w:w="9529"/>
      </w:tblGrid>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r w:rsidR="00D86A11" w:rsidRPr="00002D1D">
        <w:trPr>
          <w:trHeight w:val="70"/>
          <w:jc w:val="center"/>
        </w:trPr>
        <w:tc>
          <w:tcPr>
            <w:tcW w:w="0" w:type="auto"/>
            <w:shd w:val="clear" w:color="auto" w:fill="013161"/>
            <w:vAlign w:val="center"/>
          </w:tcPr>
          <w:p w:rsidR="000B1863" w:rsidRDefault="00D86A11">
            <w:pPr>
              <w:pStyle w:val="MediumGrid21"/>
              <w:numPr>
                <w:ilvl w:val="0"/>
                <w:numId w:val="17"/>
              </w:numPr>
              <w:jc w:val="center"/>
              <w:rPr>
                <w:rFonts w:ascii="Franklin Gothic Book" w:eastAsia="HGGothicM" w:hAnsi="Franklin Gothic Book" w:cs="Tahoma"/>
                <w:color w:val="FFFFFF"/>
                <w:sz w:val="48"/>
                <w:szCs w:val="72"/>
              </w:rPr>
            </w:pPr>
            <w:r>
              <w:rPr>
                <w:rFonts w:eastAsia="HGGothicM" w:cs="Calibri"/>
                <w:color w:val="FFFFFF"/>
                <w:sz w:val="44"/>
                <w:szCs w:val="64"/>
              </w:rPr>
              <w:t>C-CFSR Planning Team &amp; Core Representatives</w:t>
            </w:r>
          </w:p>
        </w:tc>
      </w:tr>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bl>
    <w:p w:rsidR="00D86A11" w:rsidRPr="00063B02" w:rsidRDefault="00D86A11" w:rsidP="00D86A11">
      <w:pPr>
        <w:pStyle w:val="Heading1"/>
        <w:rPr>
          <w:color w:val="013161"/>
        </w:rPr>
      </w:pPr>
      <w:r w:rsidRPr="00063B02">
        <w:rPr>
          <w:color w:val="013161"/>
        </w:rPr>
        <w:lastRenderedPageBreak/>
        <w:t>C-CFSR Team</w:t>
      </w:r>
    </w:p>
    <w:p w:rsidR="00504413" w:rsidRDefault="00D86A11" w:rsidP="00D86A11">
      <w:pPr>
        <w:pStyle w:val="Heading3"/>
        <w:spacing w:line="276" w:lineRule="auto"/>
        <w:rPr>
          <w:b w:val="0"/>
          <w:color w:val="auto"/>
          <w:sz w:val="22"/>
        </w:rPr>
      </w:pPr>
      <w:r w:rsidRPr="00F104DF">
        <w:rPr>
          <w:b w:val="0"/>
          <w:color w:val="auto"/>
          <w:sz w:val="22"/>
        </w:rPr>
        <w:t>The County of San Diego team composition was based on the CDSS C-CFSR Instruction Manual (January 2014) list of required core and consulted member representatives</w:t>
      </w:r>
      <w:r>
        <w:rPr>
          <w:b w:val="0"/>
          <w:color w:val="auto"/>
          <w:sz w:val="22"/>
        </w:rPr>
        <w:t xml:space="preserve">. </w:t>
      </w:r>
      <w:r w:rsidRPr="00F104DF">
        <w:rPr>
          <w:b w:val="0"/>
          <w:color w:val="auto"/>
          <w:sz w:val="22"/>
        </w:rPr>
        <w:t xml:space="preserve">Required stakeholders included Child Welfare Services, Juvenile Probation, </w:t>
      </w:r>
      <w:r w:rsidR="00F1013C" w:rsidRPr="00F1013C">
        <w:rPr>
          <w:b w:val="0"/>
          <w:color w:val="auto"/>
          <w:sz w:val="22"/>
        </w:rPr>
        <w:t>Behavioral Health Services, Juvenile Court, Native American Tribes, service recipients including foster youth, parents and resource families, and county agency partners. The County of San Diego included other important although not required partners including law enforcement, Housing, and Regional Center.</w:t>
      </w:r>
    </w:p>
    <w:p w:rsidR="00504413" w:rsidRDefault="00504413">
      <w:pPr>
        <w:spacing w:after="0" w:line="240" w:lineRule="auto"/>
        <w:rPr>
          <w:rFonts w:ascii="Franklin Gothic Book" w:hAnsi="Franklin Gothic Book"/>
          <w:color w:val="auto"/>
          <w:spacing w:val="20"/>
          <w:szCs w:val="24"/>
        </w:rPr>
      </w:pPr>
      <w:r>
        <w:rPr>
          <w:b/>
          <w:color w:val="auto"/>
        </w:rPr>
        <w:br w:type="page"/>
      </w:r>
    </w:p>
    <w:tbl>
      <w:tblPr>
        <w:tblW w:w="9529" w:type="dxa"/>
        <w:jc w:val="center"/>
        <w:tblCellMar>
          <w:top w:w="144" w:type="dxa"/>
          <w:left w:w="0" w:type="dxa"/>
          <w:bottom w:w="144" w:type="dxa"/>
          <w:right w:w="0" w:type="dxa"/>
        </w:tblCellMar>
        <w:tblLook w:val="04A0" w:firstRow="1" w:lastRow="0" w:firstColumn="1" w:lastColumn="0" w:noHBand="0" w:noVBand="1"/>
      </w:tblPr>
      <w:tblGrid>
        <w:gridCol w:w="9529"/>
      </w:tblGrid>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r w:rsidR="00D86A11" w:rsidRPr="00002D1D">
        <w:trPr>
          <w:trHeight w:val="70"/>
          <w:jc w:val="center"/>
        </w:trPr>
        <w:tc>
          <w:tcPr>
            <w:tcW w:w="0" w:type="auto"/>
            <w:shd w:val="clear" w:color="auto" w:fill="013161"/>
            <w:vAlign w:val="center"/>
          </w:tcPr>
          <w:p w:rsidR="000B1863" w:rsidRDefault="00D86A11">
            <w:pPr>
              <w:pStyle w:val="MediumGrid21"/>
              <w:numPr>
                <w:ilvl w:val="0"/>
                <w:numId w:val="17"/>
              </w:numPr>
              <w:jc w:val="center"/>
              <w:rPr>
                <w:rFonts w:ascii="Franklin Gothic Book" w:eastAsia="HGGothicM" w:hAnsi="Franklin Gothic Book" w:cs="Tahoma"/>
                <w:color w:val="FFFFFF"/>
                <w:sz w:val="48"/>
                <w:szCs w:val="72"/>
              </w:rPr>
            </w:pPr>
            <w:r>
              <w:rPr>
                <w:rFonts w:eastAsia="HGGothicM" w:cs="Calibri"/>
                <w:color w:val="FFFFFF"/>
                <w:sz w:val="44"/>
                <w:szCs w:val="64"/>
              </w:rPr>
              <w:t>Demographic Profile</w:t>
            </w:r>
          </w:p>
        </w:tc>
      </w:tr>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bl>
    <w:p w:rsidR="00D86A11" w:rsidRPr="00DB2207" w:rsidRDefault="00D86A11" w:rsidP="00D86A11">
      <w:pPr>
        <w:pStyle w:val="Heading3"/>
        <w:spacing w:line="276" w:lineRule="auto"/>
        <w:rPr>
          <w:b w:val="0"/>
          <w:color w:val="auto"/>
          <w:sz w:val="22"/>
        </w:rPr>
      </w:pPr>
      <w:r w:rsidRPr="00387EE3">
        <w:rPr>
          <w:b w:val="0"/>
          <w:color w:val="auto"/>
          <w:sz w:val="22"/>
        </w:rPr>
        <w:t>This section of the CSA reviews the demographic profile of</w:t>
      </w:r>
      <w:r>
        <w:rPr>
          <w:b w:val="0"/>
          <w:color w:val="auto"/>
          <w:sz w:val="22"/>
        </w:rPr>
        <w:t xml:space="preserve"> the County of San Diego </w:t>
      </w:r>
      <w:r w:rsidRPr="00387EE3">
        <w:rPr>
          <w:b w:val="0"/>
          <w:color w:val="auto"/>
          <w:sz w:val="22"/>
        </w:rPr>
        <w:t>in four ways: 1) the general population, 2) Child Welfare Services participation rates, 3) Child Welfare Services Caseload Demographics, and 4) Probation participation rates</w:t>
      </w:r>
      <w:r w:rsidR="00121985" w:rsidRPr="00121985">
        <w:rPr>
          <w:b w:val="0"/>
          <w:color w:val="auto"/>
          <w:sz w:val="22"/>
        </w:rPr>
        <w:t>.</w:t>
      </w:r>
    </w:p>
    <w:p w:rsidR="00D86A11" w:rsidRPr="00D359E0" w:rsidRDefault="00F1013C" w:rsidP="00D86A11">
      <w:pPr>
        <w:pStyle w:val="Heading1"/>
        <w:rPr>
          <w:color w:val="013161"/>
        </w:rPr>
      </w:pPr>
      <w:r w:rsidRPr="00F1013C">
        <w:rPr>
          <w:color w:val="013161"/>
        </w:rPr>
        <w:t xml:space="preserve">4a. </w:t>
      </w:r>
      <w:r w:rsidR="00D86A11" w:rsidRPr="00063B02">
        <w:rPr>
          <w:color w:val="013161"/>
        </w:rPr>
        <w:t>General County Demographics</w:t>
      </w:r>
    </w:p>
    <w:p w:rsidR="00D86A11" w:rsidRPr="004A3C1F" w:rsidRDefault="00D86A11" w:rsidP="00D86A11">
      <w:pPr>
        <w:pStyle w:val="Heading2"/>
        <w:rPr>
          <w:rStyle w:val="Heading1Char"/>
          <w:b/>
          <w:color w:val="F6872B"/>
          <w:sz w:val="24"/>
          <w:szCs w:val="28"/>
        </w:rPr>
      </w:pPr>
      <w:r w:rsidRPr="004A3C1F">
        <w:rPr>
          <w:rStyle w:val="Heading1Char"/>
          <w:b/>
          <w:color w:val="F6872B"/>
          <w:sz w:val="24"/>
          <w:szCs w:val="28"/>
        </w:rPr>
        <w:t>Population</w:t>
      </w:r>
    </w:p>
    <w:p w:rsidR="00D86A11" w:rsidRDefault="00D86A11" w:rsidP="00D86A11">
      <w:pPr>
        <w:pStyle w:val="Heading1"/>
        <w:spacing w:line="276" w:lineRule="auto"/>
        <w:rPr>
          <w:b w:val="0"/>
          <w:color w:val="auto"/>
          <w:sz w:val="22"/>
        </w:rPr>
      </w:pPr>
      <w:r>
        <w:rPr>
          <w:b w:val="0"/>
          <w:color w:val="auto"/>
          <w:sz w:val="22"/>
        </w:rPr>
        <w:t>The County of San Diego</w:t>
      </w:r>
      <w:r w:rsidRPr="00387EE3">
        <w:rPr>
          <w:b w:val="0"/>
          <w:color w:val="auto"/>
          <w:sz w:val="22"/>
        </w:rPr>
        <w:t xml:space="preserve"> is a diverse region in both topography and population</w:t>
      </w:r>
      <w:r>
        <w:rPr>
          <w:b w:val="0"/>
          <w:color w:val="auto"/>
          <w:sz w:val="22"/>
        </w:rPr>
        <w:t xml:space="preserve">. </w:t>
      </w:r>
      <w:r w:rsidRPr="00387EE3">
        <w:rPr>
          <w:b w:val="0"/>
          <w:color w:val="auto"/>
          <w:sz w:val="22"/>
        </w:rPr>
        <w:t xml:space="preserve">The county consists of 4,261 square miles and is bordered by Mexico to the South, Camp Pendleton Marine Base to the north, mountains and deserts to the east, and the Pacific Ocean to the west. </w:t>
      </w:r>
      <w:r w:rsidR="00121985" w:rsidRPr="00121985">
        <w:rPr>
          <w:b w:val="0"/>
          <w:color w:val="auto"/>
          <w:sz w:val="22"/>
        </w:rPr>
        <w:t>The County of San Diego is a culturally and ethnically diverse community with White and Hispanic Latino persons making up the majority of the population. Our county is home to many immigrants and refugees and 23.4% of the population is foreign born. Amongst the 3,299,521 residents, 6.5% are under the age of 5 years old and 22.1% of the population is younger than 18 years old (Exhibit 3).</w:t>
      </w:r>
    </w:p>
    <w:p w:rsidR="00D86A11" w:rsidRPr="00822286" w:rsidRDefault="00D86A11" w:rsidP="00D86A11"/>
    <w:tbl>
      <w:tblPr>
        <w:tblW w:w="9578" w:type="dxa"/>
        <w:tblInd w:w="18" w:type="dxa"/>
        <w:tblBorders>
          <w:top w:val="single" w:sz="18" w:space="0" w:color="F6872B"/>
          <w:bottom w:val="single" w:sz="18" w:space="0" w:color="F6872B"/>
        </w:tblBorders>
        <w:tblLook w:val="01E0" w:firstRow="1" w:lastRow="1" w:firstColumn="1" w:lastColumn="1" w:noHBand="0" w:noVBand="0"/>
      </w:tblPr>
      <w:tblGrid>
        <w:gridCol w:w="4934"/>
        <w:gridCol w:w="2322"/>
        <w:gridCol w:w="2322"/>
      </w:tblGrid>
      <w:tr w:rsidR="00D86A11" w:rsidRPr="009A4D3F">
        <w:trPr>
          <w:trHeight w:val="280"/>
          <w:tblHeader/>
        </w:trPr>
        <w:tc>
          <w:tcPr>
            <w:tcW w:w="9578" w:type="dxa"/>
            <w:gridSpan w:val="3"/>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 w:val="24"/>
                <w:szCs w:val="22"/>
              </w:rPr>
              <w:t xml:space="preserve">Exhibit 3. County of San Diego </w:t>
            </w:r>
            <w:r w:rsidRPr="009A4D3F">
              <w:rPr>
                <w:rFonts w:ascii="Calibri" w:eastAsia="Calibri" w:hAnsi="Calibri" w:cs="Arial"/>
                <w:b/>
                <w:bCs/>
                <w:color w:val="FFFFFF"/>
                <w:sz w:val="24"/>
                <w:szCs w:val="22"/>
              </w:rPr>
              <w:t>Population by Age, Ethnicity, and Language Spoken</w:t>
            </w:r>
            <w:r w:rsidRPr="009A4D3F">
              <w:rPr>
                <w:rFonts w:ascii="Calibri" w:eastAsia="Calibri" w:hAnsi="Calibri" w:cs="Arial"/>
                <w:b/>
                <w:bCs/>
                <w:color w:val="FFFFFF"/>
                <w:sz w:val="24"/>
                <w:szCs w:val="22"/>
                <w:vertAlign w:val="superscript"/>
              </w:rPr>
              <w:endnoteReference w:id="1"/>
            </w:r>
          </w:p>
        </w:tc>
      </w:tr>
      <w:tr w:rsidR="00D86A11" w:rsidRPr="009A4D3F">
        <w:trPr>
          <w:trHeight w:val="280"/>
          <w:tblHeader/>
        </w:trPr>
        <w:tc>
          <w:tcPr>
            <w:tcW w:w="4934" w:type="dxa"/>
            <w:tcBorders>
              <w:bottom w:val="nil"/>
            </w:tcBorders>
            <w:shd w:val="clear" w:color="auto" w:fill="013161"/>
          </w:tcPr>
          <w:p w:rsidR="00D86A11" w:rsidRPr="009A4D3F" w:rsidRDefault="00D86A11" w:rsidP="00D86A11">
            <w:pPr>
              <w:spacing w:after="0" w:line="240" w:lineRule="auto"/>
              <w:rPr>
                <w:rFonts w:ascii="Calibri" w:eastAsia="Calibri" w:hAnsi="Calibri" w:cs="Arial"/>
                <w:b/>
                <w:bCs/>
                <w:color w:val="FFFFFF"/>
                <w:szCs w:val="22"/>
              </w:rPr>
            </w:pPr>
          </w:p>
        </w:tc>
        <w:tc>
          <w:tcPr>
            <w:tcW w:w="2322" w:type="dxa"/>
            <w:tcBorders>
              <w:bottom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sidRPr="009A4D3F">
              <w:rPr>
                <w:rFonts w:ascii="Calibri" w:eastAsia="Calibri" w:hAnsi="Calibri" w:cs="Arial"/>
                <w:b/>
                <w:bCs/>
                <w:color w:val="FFFFFF"/>
                <w:szCs w:val="22"/>
              </w:rPr>
              <w:t>2010</w:t>
            </w:r>
          </w:p>
        </w:tc>
        <w:tc>
          <w:tcPr>
            <w:tcW w:w="2322" w:type="dxa"/>
            <w:tcBorders>
              <w:bottom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sidRPr="009A4D3F">
              <w:rPr>
                <w:rFonts w:ascii="Calibri" w:eastAsia="Calibri" w:hAnsi="Calibri" w:cs="Arial"/>
                <w:b/>
                <w:bCs/>
                <w:color w:val="FFFFFF"/>
                <w:szCs w:val="22"/>
              </w:rPr>
              <w:t>2015</w:t>
            </w:r>
          </w:p>
        </w:tc>
      </w:tr>
      <w:tr w:rsidR="00D86A11" w:rsidRPr="009A4D3F">
        <w:trPr>
          <w:trHeight w:val="254"/>
        </w:trPr>
        <w:tc>
          <w:tcPr>
            <w:tcW w:w="4934"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County Population</w:t>
            </w:r>
          </w:p>
        </w:tc>
        <w:tc>
          <w:tcPr>
            <w:tcW w:w="2322" w:type="dxa"/>
            <w:tcBorders>
              <w:top w:val="nil"/>
              <w:bottom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3,095,308</w:t>
            </w:r>
          </w:p>
        </w:tc>
        <w:tc>
          <w:tcPr>
            <w:tcW w:w="2322"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3,299,521</w:t>
            </w:r>
          </w:p>
        </w:tc>
      </w:tr>
      <w:tr w:rsidR="00D86A11" w:rsidRPr="009A4D3F">
        <w:trPr>
          <w:trHeight w:val="267"/>
        </w:trPr>
        <w:tc>
          <w:tcPr>
            <w:tcW w:w="4934" w:type="dxa"/>
            <w:tcBorders>
              <w:top w:val="nil"/>
            </w:tcBorders>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Persons &lt; 5</w:t>
            </w:r>
          </w:p>
        </w:tc>
        <w:tc>
          <w:tcPr>
            <w:tcW w:w="2322" w:type="dxa"/>
            <w:tcBorders>
              <w:top w:val="nil"/>
              <w:left w:val="nil"/>
              <w:bottom w:val="nil"/>
              <w:right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6.6%</w:t>
            </w:r>
          </w:p>
        </w:tc>
        <w:tc>
          <w:tcPr>
            <w:tcW w:w="2322" w:type="dxa"/>
            <w:tcBorders>
              <w:top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6.5%</w:t>
            </w:r>
          </w:p>
        </w:tc>
      </w:tr>
      <w:tr w:rsidR="00D86A11" w:rsidRPr="009A4D3F">
        <w:trPr>
          <w:trHeight w:val="254"/>
        </w:trPr>
        <w:tc>
          <w:tcPr>
            <w:tcW w:w="4934"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Persons &lt; 18</w:t>
            </w:r>
          </w:p>
        </w:tc>
        <w:tc>
          <w:tcPr>
            <w:tcW w:w="2322" w:type="dxa"/>
            <w:tcBorders>
              <w:top w:val="nil"/>
              <w:bottom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23.4%</w:t>
            </w:r>
          </w:p>
        </w:tc>
        <w:tc>
          <w:tcPr>
            <w:tcW w:w="2322"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22.1%</w:t>
            </w:r>
          </w:p>
        </w:tc>
      </w:tr>
      <w:tr w:rsidR="00D86A11" w:rsidRPr="009A4D3F">
        <w:trPr>
          <w:trHeight w:val="267"/>
        </w:trPr>
        <w:tc>
          <w:tcPr>
            <w:tcW w:w="4934" w:type="dxa"/>
            <w:tcBorders>
              <w:top w:val="nil"/>
            </w:tcBorders>
            <w:shd w:val="clear" w:color="auto" w:fill="auto"/>
            <w:vAlign w:val="center"/>
          </w:tcPr>
          <w:p w:rsidR="00D86A11" w:rsidRPr="008A18B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8A18BF">
              <w:rPr>
                <w:rFonts w:ascii="Calibri" w:eastAsia="Calibri" w:hAnsi="Calibri" w:cs="Arial"/>
                <w:b/>
                <w:bCs/>
                <w:color w:val="013161"/>
                <w:sz w:val="20"/>
                <w:szCs w:val="22"/>
              </w:rPr>
              <w:t>Black or African American alone</w:t>
            </w:r>
          </w:p>
        </w:tc>
        <w:tc>
          <w:tcPr>
            <w:tcW w:w="2322" w:type="dxa"/>
            <w:tcBorders>
              <w:top w:val="nil"/>
              <w:bottom w:val="nil"/>
            </w:tcBorders>
            <w:shd w:val="clear" w:color="auto" w:fill="auto"/>
            <w:vAlign w:val="center"/>
          </w:tcPr>
          <w:p w:rsidR="00D86A11" w:rsidRPr="008A18B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8A18BF">
              <w:rPr>
                <w:rFonts w:ascii="Calibri" w:eastAsia="Calibri" w:hAnsi="Calibri" w:cs="Arial"/>
                <w:b/>
                <w:bCs/>
                <w:color w:val="013161"/>
                <w:sz w:val="20"/>
                <w:szCs w:val="22"/>
              </w:rPr>
              <w:t>5.1%</w:t>
            </w:r>
          </w:p>
        </w:tc>
        <w:tc>
          <w:tcPr>
            <w:tcW w:w="2322" w:type="dxa"/>
            <w:tcBorders>
              <w:top w:val="nil"/>
            </w:tcBorders>
            <w:shd w:val="clear" w:color="auto" w:fill="auto"/>
            <w:vAlign w:val="center"/>
          </w:tcPr>
          <w:p w:rsidR="00D86A11" w:rsidRPr="008A18B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8A18BF">
              <w:rPr>
                <w:rFonts w:ascii="Calibri" w:eastAsia="Calibri" w:hAnsi="Calibri" w:cs="Arial"/>
                <w:b/>
                <w:bCs/>
                <w:color w:val="013161"/>
                <w:sz w:val="20"/>
                <w:szCs w:val="22"/>
              </w:rPr>
              <w:t>5.6%</w:t>
            </w:r>
          </w:p>
        </w:tc>
      </w:tr>
      <w:tr w:rsidR="00D86A11" w:rsidRPr="009A4D3F">
        <w:trPr>
          <w:trHeight w:val="297"/>
        </w:trPr>
        <w:tc>
          <w:tcPr>
            <w:tcW w:w="4934"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American Indian and Alaska Native alone</w:t>
            </w:r>
          </w:p>
        </w:tc>
        <w:tc>
          <w:tcPr>
            <w:tcW w:w="2322" w:type="dxa"/>
            <w:tcBorders>
              <w:top w:val="nil"/>
              <w:left w:val="nil"/>
              <w:bottom w:val="nil"/>
              <w:right w:val="nil"/>
            </w:tcBorders>
            <w:shd w:val="clear" w:color="auto" w:fill="DBE5F1"/>
            <w:vAlign w:val="center"/>
          </w:tcPr>
          <w:p w:rsidR="00D86A11" w:rsidRPr="008A18B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8A18BF">
              <w:rPr>
                <w:rFonts w:ascii="Calibri" w:eastAsia="Calibri" w:hAnsi="Calibri" w:cs="Arial"/>
                <w:b/>
                <w:bCs/>
                <w:color w:val="013161"/>
                <w:sz w:val="20"/>
                <w:szCs w:val="22"/>
              </w:rPr>
              <w:t>0.9%</w:t>
            </w:r>
          </w:p>
        </w:tc>
        <w:tc>
          <w:tcPr>
            <w:tcW w:w="2322"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1.3%</w:t>
            </w:r>
          </w:p>
        </w:tc>
      </w:tr>
      <w:tr w:rsidR="00D86A11" w:rsidRPr="009A4D3F">
        <w:trPr>
          <w:trHeight w:val="267"/>
        </w:trPr>
        <w:tc>
          <w:tcPr>
            <w:tcW w:w="4934" w:type="dxa"/>
            <w:tcBorders>
              <w:top w:val="nil"/>
            </w:tcBorders>
            <w:shd w:val="clear" w:color="auto" w:fill="auto"/>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Asian alone</w:t>
            </w:r>
          </w:p>
        </w:tc>
        <w:tc>
          <w:tcPr>
            <w:tcW w:w="2322" w:type="dxa"/>
            <w:tcBorders>
              <w:top w:val="nil"/>
              <w:bottom w:val="nil"/>
            </w:tcBorders>
            <w:shd w:val="clear" w:color="auto" w:fill="auto"/>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10.9%</w:t>
            </w:r>
          </w:p>
        </w:tc>
        <w:tc>
          <w:tcPr>
            <w:tcW w:w="2322" w:type="dxa"/>
            <w:tcBorders>
              <w:top w:val="nil"/>
            </w:tcBorders>
            <w:shd w:val="clear" w:color="auto" w:fill="auto"/>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12.1%</w:t>
            </w:r>
          </w:p>
        </w:tc>
      </w:tr>
      <w:tr w:rsidR="00D86A11" w:rsidRPr="009A4D3F">
        <w:trPr>
          <w:trHeight w:val="315"/>
        </w:trPr>
        <w:tc>
          <w:tcPr>
            <w:tcW w:w="4934"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Native Hawaiian and Pacific Islander alone</w:t>
            </w:r>
          </w:p>
        </w:tc>
        <w:tc>
          <w:tcPr>
            <w:tcW w:w="2322" w:type="dxa"/>
            <w:tcBorders>
              <w:top w:val="nil"/>
              <w:left w:val="nil"/>
              <w:bottom w:val="nil"/>
              <w:right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0.5%</w:t>
            </w:r>
          </w:p>
        </w:tc>
        <w:tc>
          <w:tcPr>
            <w:tcW w:w="2322"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0.6%</w:t>
            </w:r>
          </w:p>
        </w:tc>
      </w:tr>
      <w:tr w:rsidR="00D86A11" w:rsidRPr="009A4D3F">
        <w:trPr>
          <w:trHeight w:val="306"/>
        </w:trPr>
        <w:tc>
          <w:tcPr>
            <w:tcW w:w="4934" w:type="dxa"/>
            <w:tcBorders>
              <w:top w:val="nil"/>
              <w:left w:val="nil"/>
              <w:bottom w:val="nil"/>
              <w:right w:val="nil"/>
            </w:tcBorders>
            <w:shd w:val="clear" w:color="auto" w:fill="auto"/>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Two or more races</w:t>
            </w:r>
          </w:p>
        </w:tc>
        <w:tc>
          <w:tcPr>
            <w:tcW w:w="2322" w:type="dxa"/>
            <w:tcBorders>
              <w:top w:val="nil"/>
              <w:left w:val="nil"/>
              <w:bottom w:val="nil"/>
              <w:right w:val="nil"/>
            </w:tcBorders>
            <w:shd w:val="clear" w:color="auto" w:fill="auto"/>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5.1%</w:t>
            </w:r>
          </w:p>
        </w:tc>
        <w:tc>
          <w:tcPr>
            <w:tcW w:w="2322" w:type="dxa"/>
            <w:tcBorders>
              <w:top w:val="nil"/>
              <w:left w:val="nil"/>
              <w:bottom w:val="nil"/>
              <w:right w:val="nil"/>
            </w:tcBorders>
            <w:shd w:val="clear" w:color="auto" w:fill="auto"/>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4.3%</w:t>
            </w:r>
          </w:p>
        </w:tc>
      </w:tr>
      <w:tr w:rsidR="00D86A11" w:rsidRPr="009A4D3F">
        <w:trPr>
          <w:trHeight w:val="310"/>
        </w:trPr>
        <w:tc>
          <w:tcPr>
            <w:tcW w:w="4934"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Hispanic or Latino</w:t>
            </w:r>
          </w:p>
        </w:tc>
        <w:tc>
          <w:tcPr>
            <w:tcW w:w="2322" w:type="dxa"/>
            <w:tcBorders>
              <w:top w:val="nil"/>
              <w:left w:val="nil"/>
              <w:bottom w:val="nil"/>
              <w:right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32.0%</w:t>
            </w:r>
          </w:p>
        </w:tc>
        <w:tc>
          <w:tcPr>
            <w:tcW w:w="2322"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33.4%</w:t>
            </w:r>
          </w:p>
        </w:tc>
      </w:tr>
      <w:tr w:rsidR="00D86A11" w:rsidRPr="009A4D3F">
        <w:trPr>
          <w:trHeight w:val="310"/>
        </w:trPr>
        <w:tc>
          <w:tcPr>
            <w:tcW w:w="4934" w:type="dxa"/>
            <w:tcBorders>
              <w:top w:val="nil"/>
            </w:tcBorders>
            <w:shd w:val="clear" w:color="auto" w:fill="auto"/>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White alone, not Hispanic or Latino</w:t>
            </w:r>
          </w:p>
        </w:tc>
        <w:tc>
          <w:tcPr>
            <w:tcW w:w="2322" w:type="dxa"/>
            <w:tcBorders>
              <w:top w:val="nil"/>
              <w:bottom w:val="nil"/>
            </w:tcBorders>
            <w:shd w:val="clear" w:color="auto" w:fill="auto"/>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48.5%</w:t>
            </w:r>
          </w:p>
        </w:tc>
        <w:tc>
          <w:tcPr>
            <w:tcW w:w="2322" w:type="dxa"/>
            <w:tcBorders>
              <w:top w:val="nil"/>
            </w:tcBorders>
            <w:shd w:val="clear" w:color="auto" w:fill="auto"/>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46.3%</w:t>
            </w:r>
          </w:p>
        </w:tc>
      </w:tr>
      <w:tr w:rsidR="00D86A11" w:rsidRPr="009A4D3F">
        <w:trPr>
          <w:trHeight w:val="328"/>
        </w:trPr>
        <w:tc>
          <w:tcPr>
            <w:tcW w:w="4934"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Foreign born (2010-2014)</w:t>
            </w:r>
          </w:p>
        </w:tc>
        <w:tc>
          <w:tcPr>
            <w:tcW w:w="2322" w:type="dxa"/>
            <w:tcBorders>
              <w:top w:val="nil"/>
              <w:left w:val="nil"/>
              <w:bottom w:val="nil"/>
              <w:right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23.4%</w:t>
            </w:r>
          </w:p>
        </w:tc>
        <w:tc>
          <w:tcPr>
            <w:tcW w:w="2322"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23.4%</w:t>
            </w:r>
          </w:p>
        </w:tc>
      </w:tr>
      <w:tr w:rsidR="00D86A11" w:rsidRPr="009A4D3F">
        <w:trPr>
          <w:trHeight w:val="254"/>
        </w:trPr>
        <w:tc>
          <w:tcPr>
            <w:tcW w:w="4934" w:type="dxa"/>
            <w:tcBorders>
              <w:top w:val="nil"/>
              <w:bottom w:val="single" w:sz="18" w:space="0" w:color="F6872B"/>
            </w:tcBorders>
            <w:shd w:val="clear" w:color="auto" w:fill="auto"/>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Language other than English spoken at home (age 5+) (2010-2014)</w:t>
            </w:r>
          </w:p>
        </w:tc>
        <w:tc>
          <w:tcPr>
            <w:tcW w:w="2322" w:type="dxa"/>
            <w:tcBorders>
              <w:top w:val="nil"/>
              <w:bottom w:val="single" w:sz="18" w:space="0" w:color="F6872B"/>
            </w:tcBorders>
            <w:shd w:val="clear" w:color="auto" w:fill="auto"/>
            <w:vAlign w:val="center"/>
          </w:tcPr>
          <w:p w:rsidR="00D86A11" w:rsidRPr="009A4D3F" w:rsidRDefault="00D44673" w:rsidP="00D44673">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3</w:t>
            </w:r>
            <w:r>
              <w:rPr>
                <w:rFonts w:ascii="Calibri" w:eastAsia="Calibri" w:hAnsi="Calibri" w:cs="Arial"/>
                <w:b/>
                <w:bCs/>
                <w:color w:val="013161"/>
                <w:sz w:val="20"/>
                <w:szCs w:val="22"/>
              </w:rPr>
              <w:t>6</w:t>
            </w:r>
            <w:r w:rsidR="00D86A11" w:rsidRPr="009A4D3F">
              <w:rPr>
                <w:rFonts w:ascii="Calibri" w:eastAsia="Calibri" w:hAnsi="Calibri" w:cs="Arial"/>
                <w:b/>
                <w:bCs/>
                <w:color w:val="013161"/>
                <w:sz w:val="20"/>
                <w:szCs w:val="22"/>
              </w:rPr>
              <w:t>.3%</w:t>
            </w:r>
          </w:p>
        </w:tc>
        <w:tc>
          <w:tcPr>
            <w:tcW w:w="2322" w:type="dxa"/>
            <w:tcBorders>
              <w:top w:val="nil"/>
              <w:bottom w:val="single" w:sz="18" w:space="0" w:color="F6872B"/>
            </w:tcBorders>
            <w:shd w:val="clear" w:color="auto" w:fill="auto"/>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37.3%</w:t>
            </w:r>
          </w:p>
        </w:tc>
      </w:tr>
    </w:tbl>
    <w:p w:rsidR="00D86A11" w:rsidRDefault="00D86A11" w:rsidP="00D86A11"/>
    <w:p w:rsidR="001806A9" w:rsidRPr="00D44673" w:rsidRDefault="001806A9" w:rsidP="001806A9">
      <w:pPr>
        <w:rPr>
          <w:rFonts w:ascii="Franklin Gothic Book" w:hAnsi="Franklin Gothic Book"/>
          <w:spacing w:val="20"/>
        </w:rPr>
      </w:pPr>
      <w:r w:rsidRPr="00D44673">
        <w:rPr>
          <w:rFonts w:ascii="Franklin Gothic Book" w:hAnsi="Franklin Gothic Book"/>
          <w:spacing w:val="20"/>
        </w:rPr>
        <w:t xml:space="preserve">For the 37.3% in 2014 the two largest language groups are 24.6% are Spanish and 8% Asian/Pacific Islander. For the 36.3% in 2010 the two largest groups are Spanish at 24.4% and 7.7% Asian/PI. The changes for this measure are pretty small and </w:t>
      </w:r>
      <w:r w:rsidR="00D44673" w:rsidRPr="00D44673">
        <w:rPr>
          <w:rFonts w:ascii="Franklin Gothic Book" w:hAnsi="Franklin Gothic Book"/>
          <w:spacing w:val="20"/>
        </w:rPr>
        <w:t xml:space="preserve">we do not believe there is </w:t>
      </w:r>
      <w:r w:rsidRPr="00D44673">
        <w:rPr>
          <w:rFonts w:ascii="Franklin Gothic Book" w:hAnsi="Franklin Gothic Book"/>
          <w:spacing w:val="20"/>
        </w:rPr>
        <w:t>an impact on the need for bilingual workers/services.</w:t>
      </w:r>
      <w:r w:rsidR="00D44673" w:rsidRPr="00D44673">
        <w:rPr>
          <w:rFonts w:ascii="Franklin Gothic Book" w:hAnsi="Franklin Gothic Book"/>
          <w:spacing w:val="20"/>
        </w:rPr>
        <w:t xml:space="preserve">  </w:t>
      </w:r>
    </w:p>
    <w:p w:rsidR="005F5327" w:rsidRDefault="001806A9" w:rsidP="00D86A11">
      <w:pPr>
        <w:pStyle w:val="Heading2"/>
      </w:pPr>
      <w:r w:rsidRPr="00D44673">
        <w:lastRenderedPageBreak/>
        <w:t xml:space="preserve">The 2011 CSA used UCB population forecast for youth 0-17.  Hispanics were at 45.6% in 2010. The percentage has declined year over year to 44.5% in 2016. The </w:t>
      </w:r>
      <w:r w:rsidR="00D44673">
        <w:t>percentage</w:t>
      </w:r>
      <w:r w:rsidRPr="00D44673">
        <w:t xml:space="preserve"> of the Asian/PI has a slight decline over the period. Neither the language (spoken other than English) or the child population indicate an increased need for more bilingual CWS staff from 20</w:t>
      </w:r>
      <w:r w:rsidR="00D44673">
        <w:t xml:space="preserve">10 to 2015. It is possible </w:t>
      </w:r>
      <w:r w:rsidRPr="00D44673">
        <w:t>the impact may be felt more in delivery of contracted services where there could be a wait list or higher level of drop-out due to lack of services for Spanish only speaking or Asian/PI populations</w:t>
      </w:r>
      <w:r w:rsidR="00D44673">
        <w:t xml:space="preserve"> but this was not mentioned as a service gap in any of the CSA stakeholder meetings.</w:t>
      </w:r>
    </w:p>
    <w:p w:rsidR="00D86A11" w:rsidRPr="004A3C1F" w:rsidRDefault="00D86A11" w:rsidP="00D86A11">
      <w:pPr>
        <w:pStyle w:val="Heading2"/>
        <w:rPr>
          <w:rStyle w:val="Heading1Char"/>
          <w:b/>
          <w:color w:val="F6872B"/>
          <w:sz w:val="24"/>
          <w:szCs w:val="28"/>
        </w:rPr>
      </w:pPr>
      <w:r w:rsidRPr="004A3C1F">
        <w:rPr>
          <w:rStyle w:val="Heading1Char"/>
          <w:b/>
          <w:color w:val="F6872B"/>
          <w:sz w:val="24"/>
          <w:szCs w:val="28"/>
        </w:rPr>
        <w:t>Education</w:t>
      </w:r>
    </w:p>
    <w:p w:rsidR="00D86A11" w:rsidRDefault="00D86A11" w:rsidP="00D86A11">
      <w:pPr>
        <w:pStyle w:val="Heading1"/>
        <w:spacing w:line="276" w:lineRule="auto"/>
        <w:rPr>
          <w:b w:val="0"/>
          <w:color w:val="auto"/>
          <w:sz w:val="22"/>
        </w:rPr>
      </w:pPr>
      <w:r w:rsidRPr="00894FF2">
        <w:rPr>
          <w:b w:val="0"/>
          <w:color w:val="auto"/>
          <w:sz w:val="22"/>
        </w:rPr>
        <w:t xml:space="preserve">Education rates are improving and the percent of the population, age 25 or older, that have attained a high school diploma or higher increased from 85.3% in 2010 to 89.2% in 2014. </w:t>
      </w:r>
    </w:p>
    <w:p w:rsidR="00D86A11" w:rsidRPr="00714703" w:rsidRDefault="00D86A11" w:rsidP="00D86A11"/>
    <w:tbl>
      <w:tblPr>
        <w:tblW w:w="9578" w:type="dxa"/>
        <w:tblInd w:w="18" w:type="dxa"/>
        <w:tblBorders>
          <w:top w:val="single" w:sz="8" w:space="0" w:color="4F81BD"/>
          <w:bottom w:val="single" w:sz="8" w:space="0" w:color="4F81BD"/>
        </w:tblBorders>
        <w:tblLook w:val="01E0" w:firstRow="1" w:lastRow="1" w:firstColumn="1" w:lastColumn="1" w:noHBand="0" w:noVBand="0"/>
      </w:tblPr>
      <w:tblGrid>
        <w:gridCol w:w="4934"/>
        <w:gridCol w:w="2322"/>
        <w:gridCol w:w="2322"/>
      </w:tblGrid>
      <w:tr w:rsidR="00D86A11" w:rsidRPr="009A4D3F">
        <w:trPr>
          <w:trHeight w:val="280"/>
          <w:tblHeader/>
        </w:trPr>
        <w:tc>
          <w:tcPr>
            <w:tcW w:w="9578" w:type="dxa"/>
            <w:gridSpan w:val="3"/>
            <w:tcBorders>
              <w:top w:val="single" w:sz="18" w:space="0" w:color="F6872B"/>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 w:val="24"/>
                <w:szCs w:val="22"/>
              </w:rPr>
              <w:t xml:space="preserve">Exhibit 4. County of San Diego </w:t>
            </w:r>
            <w:r w:rsidRPr="009A4D3F">
              <w:rPr>
                <w:rFonts w:ascii="Calibri" w:eastAsia="Calibri" w:hAnsi="Calibri" w:cs="Arial"/>
                <w:b/>
                <w:bCs/>
                <w:color w:val="FFFFFF"/>
                <w:sz w:val="24"/>
                <w:szCs w:val="22"/>
              </w:rPr>
              <w:t>Educati</w:t>
            </w:r>
            <w:r>
              <w:rPr>
                <w:rFonts w:ascii="Calibri" w:eastAsia="Calibri" w:hAnsi="Calibri" w:cs="Arial"/>
                <w:b/>
                <w:bCs/>
                <w:color w:val="FFFFFF"/>
                <w:sz w:val="24"/>
                <w:szCs w:val="22"/>
              </w:rPr>
              <w:t>onal Attainment</w:t>
            </w:r>
            <w:r w:rsidRPr="009A4D3F">
              <w:rPr>
                <w:rFonts w:ascii="Calibri" w:eastAsia="Calibri" w:hAnsi="Calibri" w:cs="Arial"/>
                <w:b/>
                <w:bCs/>
                <w:color w:val="FFFFFF"/>
                <w:sz w:val="24"/>
                <w:szCs w:val="22"/>
                <w:vertAlign w:val="superscript"/>
              </w:rPr>
              <w:endnoteReference w:id="2"/>
            </w:r>
          </w:p>
        </w:tc>
      </w:tr>
      <w:tr w:rsidR="00D86A11" w:rsidRPr="009A4D3F">
        <w:trPr>
          <w:trHeight w:val="280"/>
          <w:tblHeader/>
        </w:trPr>
        <w:tc>
          <w:tcPr>
            <w:tcW w:w="4934" w:type="dxa"/>
            <w:tcBorders>
              <w:top w:val="nil"/>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p>
        </w:tc>
        <w:tc>
          <w:tcPr>
            <w:tcW w:w="2322" w:type="dxa"/>
            <w:tcBorders>
              <w:top w:val="nil"/>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sidRPr="009A4D3F">
              <w:rPr>
                <w:rFonts w:ascii="Calibri" w:eastAsia="Calibri" w:hAnsi="Calibri" w:cs="Arial"/>
                <w:b/>
                <w:bCs/>
                <w:color w:val="FFFFFF"/>
                <w:szCs w:val="22"/>
              </w:rPr>
              <w:t>2010</w:t>
            </w:r>
          </w:p>
        </w:tc>
        <w:tc>
          <w:tcPr>
            <w:tcW w:w="2322" w:type="dxa"/>
            <w:tcBorders>
              <w:top w:val="nil"/>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sidRPr="009A4D3F">
              <w:rPr>
                <w:rFonts w:ascii="Calibri" w:eastAsia="Calibri" w:hAnsi="Calibri" w:cs="Arial"/>
                <w:b/>
                <w:bCs/>
                <w:color w:val="FFFFFF"/>
                <w:szCs w:val="22"/>
              </w:rPr>
              <w:t>2014</w:t>
            </w:r>
          </w:p>
        </w:tc>
      </w:tr>
      <w:tr w:rsidR="00D86A11" w:rsidRPr="009A4D3F">
        <w:trPr>
          <w:trHeight w:val="254"/>
        </w:trPr>
        <w:tc>
          <w:tcPr>
            <w:tcW w:w="4934" w:type="dxa"/>
            <w:tcBorders>
              <w:top w:val="nil"/>
              <w:left w:val="nil"/>
              <w:bottom w:val="nil"/>
              <w:right w:val="nil"/>
            </w:tcBorders>
            <w:shd w:val="clear" w:color="auto" w:fill="D3DFEE"/>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Population 25 years and over</w:t>
            </w:r>
          </w:p>
        </w:tc>
        <w:tc>
          <w:tcPr>
            <w:tcW w:w="2322" w:type="dxa"/>
            <w:tcBorders>
              <w:top w:val="nil"/>
              <w:left w:val="nil"/>
              <w:bottom w:val="nil"/>
              <w:right w:val="nil"/>
            </w:tcBorders>
            <w:shd w:val="clear" w:color="auto" w:fill="D3DFEE"/>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1,946,525</w:t>
            </w:r>
          </w:p>
        </w:tc>
        <w:tc>
          <w:tcPr>
            <w:tcW w:w="2322" w:type="dxa"/>
            <w:tcBorders>
              <w:top w:val="nil"/>
              <w:left w:val="nil"/>
              <w:bottom w:val="nil"/>
              <w:right w:val="nil"/>
            </w:tcBorders>
            <w:shd w:val="clear" w:color="auto" w:fill="D3DFEE"/>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2,088,134</w:t>
            </w:r>
          </w:p>
        </w:tc>
      </w:tr>
      <w:tr w:rsidR="00D86A11" w:rsidRPr="009A4D3F">
        <w:trPr>
          <w:trHeight w:val="267"/>
        </w:trPr>
        <w:tc>
          <w:tcPr>
            <w:tcW w:w="4934" w:type="dxa"/>
            <w:tcBorders>
              <w:top w:val="nil"/>
              <w:bottom w:val="nil"/>
              <w:right w:val="nil"/>
            </w:tcBorders>
            <w:shd w:val="clear" w:color="auto" w:fill="auto"/>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Less than 9</w:t>
            </w:r>
            <w:r w:rsidRPr="009A4D3F">
              <w:rPr>
                <w:rFonts w:ascii="Calibri" w:eastAsia="Calibri" w:hAnsi="Calibri" w:cs="Arial"/>
                <w:b/>
                <w:bCs/>
                <w:color w:val="013161"/>
                <w:sz w:val="20"/>
                <w:szCs w:val="22"/>
                <w:vertAlign w:val="superscript"/>
              </w:rPr>
              <w:t>th</w:t>
            </w:r>
            <w:r w:rsidRPr="009A4D3F">
              <w:rPr>
                <w:rFonts w:ascii="Calibri" w:eastAsia="Calibri" w:hAnsi="Calibri" w:cs="Arial"/>
                <w:b/>
                <w:bCs/>
                <w:color w:val="013161"/>
                <w:sz w:val="20"/>
                <w:szCs w:val="22"/>
              </w:rPr>
              <w:t xml:space="preserve"> grade</w:t>
            </w:r>
          </w:p>
        </w:tc>
        <w:tc>
          <w:tcPr>
            <w:tcW w:w="2322" w:type="dxa"/>
            <w:tcBorders>
              <w:top w:val="nil"/>
              <w:left w:val="nil"/>
              <w:bottom w:val="nil"/>
              <w:right w:val="nil"/>
            </w:tcBorders>
            <w:shd w:val="clear" w:color="auto" w:fill="auto"/>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7.4%</w:t>
            </w:r>
          </w:p>
        </w:tc>
        <w:tc>
          <w:tcPr>
            <w:tcW w:w="2322" w:type="dxa"/>
            <w:tcBorders>
              <w:top w:val="nil"/>
              <w:left w:val="nil"/>
              <w:bottom w:val="nil"/>
            </w:tcBorders>
            <w:shd w:val="clear" w:color="auto" w:fill="auto"/>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7.3%</w:t>
            </w:r>
          </w:p>
        </w:tc>
      </w:tr>
      <w:tr w:rsidR="00D86A11" w:rsidRPr="009A4D3F">
        <w:trPr>
          <w:trHeight w:val="63"/>
        </w:trPr>
        <w:tc>
          <w:tcPr>
            <w:tcW w:w="4934" w:type="dxa"/>
            <w:tcBorders>
              <w:top w:val="nil"/>
              <w:left w:val="nil"/>
              <w:bottom w:val="nil"/>
              <w:right w:val="nil"/>
            </w:tcBorders>
            <w:shd w:val="clear" w:color="auto" w:fill="D3DFEE"/>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9</w:t>
            </w:r>
            <w:r w:rsidRPr="009A4D3F">
              <w:rPr>
                <w:rFonts w:ascii="Calibri" w:eastAsia="Calibri" w:hAnsi="Calibri" w:cs="Arial"/>
                <w:b/>
                <w:bCs/>
                <w:color w:val="013161"/>
                <w:sz w:val="20"/>
                <w:szCs w:val="22"/>
                <w:vertAlign w:val="superscript"/>
              </w:rPr>
              <w:t>th</w:t>
            </w:r>
            <w:r w:rsidRPr="009A4D3F">
              <w:rPr>
                <w:rFonts w:ascii="Calibri" w:eastAsia="Calibri" w:hAnsi="Calibri" w:cs="Arial"/>
                <w:b/>
                <w:bCs/>
                <w:color w:val="013161"/>
                <w:sz w:val="20"/>
                <w:szCs w:val="22"/>
              </w:rPr>
              <w:t>-12</w:t>
            </w:r>
            <w:r w:rsidRPr="009A4D3F">
              <w:rPr>
                <w:rFonts w:ascii="Calibri" w:eastAsia="Calibri" w:hAnsi="Calibri" w:cs="Arial"/>
                <w:b/>
                <w:bCs/>
                <w:color w:val="013161"/>
                <w:sz w:val="20"/>
                <w:szCs w:val="22"/>
                <w:vertAlign w:val="superscript"/>
              </w:rPr>
              <w:t>th</w:t>
            </w:r>
            <w:r w:rsidRPr="009A4D3F">
              <w:rPr>
                <w:rFonts w:ascii="Calibri" w:eastAsia="Calibri" w:hAnsi="Calibri" w:cs="Arial"/>
                <w:b/>
                <w:bCs/>
                <w:color w:val="013161"/>
                <w:sz w:val="20"/>
                <w:szCs w:val="22"/>
              </w:rPr>
              <w:t xml:space="preserve"> grade, no diploma</w:t>
            </w:r>
          </w:p>
        </w:tc>
        <w:tc>
          <w:tcPr>
            <w:tcW w:w="2322" w:type="dxa"/>
            <w:tcBorders>
              <w:top w:val="nil"/>
              <w:left w:val="nil"/>
              <w:bottom w:val="nil"/>
              <w:right w:val="nil"/>
            </w:tcBorders>
            <w:shd w:val="clear" w:color="auto" w:fill="D3DFEE"/>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7.3%</w:t>
            </w:r>
          </w:p>
        </w:tc>
        <w:tc>
          <w:tcPr>
            <w:tcW w:w="2322" w:type="dxa"/>
            <w:tcBorders>
              <w:top w:val="nil"/>
              <w:left w:val="nil"/>
              <w:bottom w:val="nil"/>
              <w:right w:val="nil"/>
            </w:tcBorders>
            <w:shd w:val="clear" w:color="auto" w:fill="D3DFEE"/>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6.9%</w:t>
            </w:r>
          </w:p>
        </w:tc>
      </w:tr>
      <w:tr w:rsidR="00D86A11" w:rsidRPr="009A4D3F">
        <w:trPr>
          <w:trHeight w:val="288"/>
        </w:trPr>
        <w:tc>
          <w:tcPr>
            <w:tcW w:w="4934" w:type="dxa"/>
            <w:tcBorders>
              <w:top w:val="nil"/>
              <w:bottom w:val="nil"/>
              <w:right w:val="nil"/>
            </w:tcBorders>
            <w:shd w:val="clear" w:color="auto" w:fill="auto"/>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High school graduate (includes equivalency)</w:t>
            </w:r>
          </w:p>
        </w:tc>
        <w:tc>
          <w:tcPr>
            <w:tcW w:w="2322" w:type="dxa"/>
            <w:tcBorders>
              <w:top w:val="nil"/>
              <w:left w:val="nil"/>
              <w:bottom w:val="nil"/>
              <w:right w:val="nil"/>
            </w:tcBorders>
            <w:shd w:val="clear" w:color="auto" w:fill="auto"/>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19.8%</w:t>
            </w:r>
          </w:p>
        </w:tc>
        <w:tc>
          <w:tcPr>
            <w:tcW w:w="2322" w:type="dxa"/>
            <w:tcBorders>
              <w:top w:val="nil"/>
              <w:left w:val="nil"/>
              <w:bottom w:val="nil"/>
            </w:tcBorders>
            <w:shd w:val="clear" w:color="auto" w:fill="auto"/>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19.0%</w:t>
            </w:r>
          </w:p>
        </w:tc>
      </w:tr>
      <w:tr w:rsidR="00D86A11" w:rsidRPr="009A4D3F">
        <w:trPr>
          <w:trHeight w:val="267"/>
        </w:trPr>
        <w:tc>
          <w:tcPr>
            <w:tcW w:w="4934" w:type="dxa"/>
            <w:tcBorders>
              <w:top w:val="nil"/>
              <w:left w:val="nil"/>
              <w:bottom w:val="nil"/>
              <w:right w:val="nil"/>
            </w:tcBorders>
            <w:shd w:val="clear" w:color="auto" w:fill="D3DFEE"/>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highlight w:val="yellow"/>
              </w:rPr>
            </w:pPr>
            <w:r w:rsidRPr="009A4D3F">
              <w:rPr>
                <w:rFonts w:ascii="Calibri" w:eastAsia="Calibri" w:hAnsi="Calibri" w:cs="Arial"/>
                <w:b/>
                <w:bCs/>
                <w:color w:val="013161"/>
                <w:sz w:val="20"/>
                <w:szCs w:val="22"/>
              </w:rPr>
              <w:t>Some college, no degree</w:t>
            </w:r>
          </w:p>
        </w:tc>
        <w:tc>
          <w:tcPr>
            <w:tcW w:w="2322" w:type="dxa"/>
            <w:tcBorders>
              <w:top w:val="nil"/>
              <w:left w:val="nil"/>
              <w:bottom w:val="nil"/>
              <w:right w:val="nil"/>
            </w:tcBorders>
            <w:shd w:val="clear" w:color="auto" w:fill="D3DFEE"/>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23.1%</w:t>
            </w:r>
          </w:p>
        </w:tc>
        <w:tc>
          <w:tcPr>
            <w:tcW w:w="2322" w:type="dxa"/>
            <w:tcBorders>
              <w:top w:val="nil"/>
              <w:left w:val="nil"/>
              <w:bottom w:val="nil"/>
              <w:right w:val="nil"/>
            </w:tcBorders>
            <w:shd w:val="clear" w:color="auto" w:fill="D3DFEE"/>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22.5%</w:t>
            </w:r>
          </w:p>
        </w:tc>
      </w:tr>
      <w:tr w:rsidR="00D86A11" w:rsidRPr="009A4D3F">
        <w:trPr>
          <w:trHeight w:val="297"/>
        </w:trPr>
        <w:tc>
          <w:tcPr>
            <w:tcW w:w="4934" w:type="dxa"/>
            <w:tcBorders>
              <w:top w:val="nil"/>
              <w:bottom w:val="nil"/>
              <w:right w:val="nil"/>
            </w:tcBorders>
            <w:shd w:val="clear" w:color="auto" w:fill="auto"/>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Associate’s degree</w:t>
            </w:r>
          </w:p>
        </w:tc>
        <w:tc>
          <w:tcPr>
            <w:tcW w:w="2322" w:type="dxa"/>
            <w:tcBorders>
              <w:top w:val="nil"/>
              <w:left w:val="nil"/>
              <w:bottom w:val="nil"/>
              <w:right w:val="nil"/>
            </w:tcBorders>
            <w:shd w:val="clear" w:color="auto" w:fill="auto"/>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8.3%</w:t>
            </w:r>
          </w:p>
        </w:tc>
        <w:tc>
          <w:tcPr>
            <w:tcW w:w="2322" w:type="dxa"/>
            <w:tcBorders>
              <w:top w:val="nil"/>
              <w:left w:val="nil"/>
              <w:bottom w:val="nil"/>
            </w:tcBorders>
            <w:shd w:val="clear" w:color="auto" w:fill="auto"/>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9.2%</w:t>
            </w:r>
          </w:p>
        </w:tc>
      </w:tr>
      <w:tr w:rsidR="00D86A11" w:rsidRPr="009A4D3F">
        <w:trPr>
          <w:trHeight w:val="267"/>
        </w:trPr>
        <w:tc>
          <w:tcPr>
            <w:tcW w:w="4934" w:type="dxa"/>
            <w:tcBorders>
              <w:top w:val="nil"/>
              <w:left w:val="nil"/>
              <w:bottom w:val="nil"/>
              <w:right w:val="nil"/>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Bachelor’s degree</w:t>
            </w:r>
          </w:p>
        </w:tc>
        <w:tc>
          <w:tcPr>
            <w:tcW w:w="2322" w:type="dxa"/>
            <w:tcBorders>
              <w:top w:val="nil"/>
              <w:left w:val="nil"/>
              <w:bottom w:val="nil"/>
              <w:right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21.3%</w:t>
            </w:r>
          </w:p>
        </w:tc>
        <w:tc>
          <w:tcPr>
            <w:tcW w:w="2322" w:type="dxa"/>
            <w:tcBorders>
              <w:top w:val="nil"/>
              <w:left w:val="nil"/>
              <w:bottom w:val="nil"/>
              <w:right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21.8%</w:t>
            </w:r>
          </w:p>
        </w:tc>
      </w:tr>
      <w:tr w:rsidR="00D86A11" w:rsidRPr="009A4D3F">
        <w:trPr>
          <w:trHeight w:val="267"/>
        </w:trPr>
        <w:tc>
          <w:tcPr>
            <w:tcW w:w="4934" w:type="dxa"/>
            <w:tcBorders>
              <w:top w:val="nil"/>
              <w:bottom w:val="nil"/>
              <w:right w:val="nil"/>
            </w:tcBorders>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Graduate or professional degree</w:t>
            </w:r>
          </w:p>
        </w:tc>
        <w:tc>
          <w:tcPr>
            <w:tcW w:w="2322" w:type="dxa"/>
            <w:tcBorders>
              <w:top w:val="nil"/>
              <w:left w:val="nil"/>
              <w:bottom w:val="nil"/>
              <w:right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12.7%</w:t>
            </w:r>
          </w:p>
        </w:tc>
        <w:tc>
          <w:tcPr>
            <w:tcW w:w="2322" w:type="dxa"/>
            <w:tcBorders>
              <w:top w:val="nil"/>
              <w:left w:val="nil"/>
              <w:bottom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13.3%</w:t>
            </w:r>
          </w:p>
        </w:tc>
      </w:tr>
      <w:tr w:rsidR="00D86A11" w:rsidRPr="009A4D3F">
        <w:trPr>
          <w:trHeight w:val="267"/>
        </w:trPr>
        <w:tc>
          <w:tcPr>
            <w:tcW w:w="4934" w:type="dxa"/>
            <w:tcBorders>
              <w:top w:val="nil"/>
              <w:left w:val="nil"/>
              <w:bottom w:val="nil"/>
              <w:right w:val="nil"/>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Percent high school graduate or higher</w:t>
            </w:r>
          </w:p>
        </w:tc>
        <w:tc>
          <w:tcPr>
            <w:tcW w:w="2322" w:type="dxa"/>
            <w:tcBorders>
              <w:top w:val="nil"/>
              <w:left w:val="nil"/>
              <w:bottom w:val="nil"/>
              <w:right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85.3%</w:t>
            </w:r>
          </w:p>
        </w:tc>
        <w:tc>
          <w:tcPr>
            <w:tcW w:w="2322" w:type="dxa"/>
            <w:tcBorders>
              <w:top w:val="nil"/>
              <w:left w:val="nil"/>
              <w:bottom w:val="nil"/>
              <w:right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89.2%</w:t>
            </w:r>
          </w:p>
        </w:tc>
      </w:tr>
      <w:tr w:rsidR="00D86A11" w:rsidRPr="009A4D3F">
        <w:trPr>
          <w:trHeight w:val="267"/>
        </w:trPr>
        <w:tc>
          <w:tcPr>
            <w:tcW w:w="4934" w:type="dxa"/>
            <w:tcBorders>
              <w:top w:val="nil"/>
              <w:left w:val="nil"/>
              <w:bottom w:val="single" w:sz="18" w:space="0" w:color="F6872B"/>
              <w:right w:val="nil"/>
            </w:tcBorders>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Percent Bachelor’s degree or higher</w:t>
            </w:r>
          </w:p>
        </w:tc>
        <w:tc>
          <w:tcPr>
            <w:tcW w:w="2322" w:type="dxa"/>
            <w:tcBorders>
              <w:top w:val="nil"/>
              <w:left w:val="nil"/>
              <w:bottom w:val="single" w:sz="18" w:space="0" w:color="F6872B"/>
              <w:right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34.1%</w:t>
            </w:r>
          </w:p>
        </w:tc>
        <w:tc>
          <w:tcPr>
            <w:tcW w:w="2322" w:type="dxa"/>
            <w:tcBorders>
              <w:top w:val="nil"/>
              <w:left w:val="nil"/>
              <w:bottom w:val="single" w:sz="18" w:space="0" w:color="F6872B"/>
              <w:right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35.9%</w:t>
            </w:r>
          </w:p>
        </w:tc>
      </w:tr>
    </w:tbl>
    <w:p w:rsidR="00D86A11" w:rsidRDefault="00D86A11" w:rsidP="00D86A11">
      <w:pPr>
        <w:rPr>
          <w:rFonts w:ascii="Franklin Gothic Book" w:hAnsi="Franklin Gothic Book"/>
          <w:color w:val="auto"/>
          <w:spacing w:val="20"/>
          <w:szCs w:val="28"/>
        </w:rPr>
      </w:pPr>
    </w:p>
    <w:p w:rsidR="00D86A11" w:rsidRDefault="00D86A11" w:rsidP="00D86A11">
      <w:pPr>
        <w:pStyle w:val="Heading2"/>
        <w:rPr>
          <w:rStyle w:val="Heading1Char"/>
          <w:b/>
          <w:color w:val="F6872B"/>
          <w:sz w:val="24"/>
        </w:rPr>
      </w:pPr>
      <w:r w:rsidRPr="00AA79A7">
        <w:rPr>
          <w:rStyle w:val="Heading1Char"/>
          <w:b/>
          <w:color w:val="F6872B"/>
          <w:sz w:val="24"/>
          <w:szCs w:val="28"/>
        </w:rPr>
        <w:t>Unempl</w:t>
      </w:r>
      <w:r>
        <w:rPr>
          <w:rStyle w:val="Heading1Char"/>
          <w:b/>
          <w:color w:val="F6872B"/>
          <w:sz w:val="24"/>
          <w:szCs w:val="28"/>
        </w:rPr>
        <w:t xml:space="preserve">oyment, </w:t>
      </w:r>
      <w:r>
        <w:rPr>
          <w:rStyle w:val="Heading1Char"/>
          <w:b/>
          <w:color w:val="F6872B"/>
          <w:sz w:val="24"/>
        </w:rPr>
        <w:t xml:space="preserve">Income &amp; Poverty </w:t>
      </w:r>
      <w:r w:rsidRPr="00AA79A7">
        <w:rPr>
          <w:rStyle w:val="Heading1Char"/>
          <w:b/>
          <w:color w:val="F6872B"/>
          <w:sz w:val="24"/>
          <w:szCs w:val="28"/>
        </w:rPr>
        <w:t>Data</w:t>
      </w:r>
    </w:p>
    <w:tbl>
      <w:tblPr>
        <w:tblpPr w:leftFromText="180" w:rightFromText="180" w:vertAnchor="text" w:horzAnchor="margin" w:tblpXSpec="right" w:tblpY="374"/>
        <w:tblW w:w="3258" w:type="dxa"/>
        <w:tblLayout w:type="fixed"/>
        <w:tblLook w:val="01E0" w:firstRow="1" w:lastRow="1" w:firstColumn="1" w:lastColumn="1" w:noHBand="0" w:noVBand="0"/>
      </w:tblPr>
      <w:tblGrid>
        <w:gridCol w:w="2070"/>
        <w:gridCol w:w="1188"/>
      </w:tblGrid>
      <w:tr w:rsidR="00D86A11" w:rsidRPr="009A4D3F">
        <w:trPr>
          <w:trHeight w:val="280"/>
          <w:tblHeader/>
        </w:trPr>
        <w:tc>
          <w:tcPr>
            <w:tcW w:w="3258" w:type="dxa"/>
            <w:gridSpan w:val="2"/>
            <w:tcBorders>
              <w:top w:val="single" w:sz="18" w:space="0" w:color="F6872B"/>
            </w:tcBorders>
            <w:shd w:val="clear" w:color="auto" w:fill="013161"/>
          </w:tcPr>
          <w:p w:rsidR="00D86A11" w:rsidRDefault="00D86A11" w:rsidP="00D86A11">
            <w:pPr>
              <w:spacing w:after="0" w:line="240" w:lineRule="auto"/>
              <w:jc w:val="center"/>
              <w:rPr>
                <w:rFonts w:ascii="Calibri" w:eastAsia="Calibri" w:hAnsi="Calibri" w:cs="Arial"/>
                <w:b/>
                <w:bCs/>
                <w:color w:val="FFFFFF"/>
                <w:sz w:val="24"/>
                <w:szCs w:val="22"/>
              </w:rPr>
            </w:pPr>
            <w:r>
              <w:rPr>
                <w:rFonts w:ascii="Calibri" w:eastAsia="Calibri" w:hAnsi="Calibri" w:cs="Arial"/>
                <w:b/>
                <w:bCs/>
                <w:color w:val="FFFFFF"/>
                <w:sz w:val="24"/>
                <w:szCs w:val="22"/>
              </w:rPr>
              <w:t xml:space="preserve">Exhibit 5. County of San Diego  </w:t>
            </w:r>
          </w:p>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 w:val="24"/>
                <w:szCs w:val="22"/>
              </w:rPr>
              <w:t>Unemployment Rate</w:t>
            </w:r>
            <w:r>
              <w:rPr>
                <w:rStyle w:val="EndnoteReference"/>
                <w:rFonts w:ascii="Calibri" w:eastAsia="Calibri" w:hAnsi="Calibri" w:cs="Arial"/>
                <w:b/>
                <w:bCs/>
                <w:color w:val="FFFFFF"/>
                <w:sz w:val="24"/>
                <w:szCs w:val="22"/>
              </w:rPr>
              <w:endnoteReference w:id="3"/>
            </w:r>
          </w:p>
        </w:tc>
      </w:tr>
      <w:tr w:rsidR="00D86A11" w:rsidRPr="009A4D3F">
        <w:trPr>
          <w:trHeight w:val="267"/>
        </w:trPr>
        <w:tc>
          <w:tcPr>
            <w:tcW w:w="2070" w:type="dxa"/>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May 2011</w:t>
            </w:r>
          </w:p>
        </w:tc>
        <w:tc>
          <w:tcPr>
            <w:tcW w:w="1188" w:type="dxa"/>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9.6</w:t>
            </w:r>
            <w:r w:rsidRPr="009A4D3F">
              <w:rPr>
                <w:rFonts w:ascii="Calibri" w:eastAsia="Calibri" w:hAnsi="Calibri" w:cs="Arial"/>
                <w:b/>
                <w:bCs/>
                <w:color w:val="013161"/>
                <w:sz w:val="20"/>
                <w:szCs w:val="22"/>
              </w:rPr>
              <w:t>%</w:t>
            </w:r>
          </w:p>
        </w:tc>
      </w:tr>
      <w:tr w:rsidR="00D86A11" w:rsidRPr="009A4D3F">
        <w:trPr>
          <w:trHeight w:val="267"/>
        </w:trPr>
        <w:tc>
          <w:tcPr>
            <w:tcW w:w="2070" w:type="dxa"/>
            <w:tcBorders>
              <w:bottom w:val="single" w:sz="18" w:space="0" w:color="F6872B"/>
            </w:tcBorders>
            <w:shd w:val="clear" w:color="auto" w:fill="auto"/>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May 2016</w:t>
            </w:r>
          </w:p>
        </w:tc>
        <w:tc>
          <w:tcPr>
            <w:tcW w:w="1188" w:type="dxa"/>
            <w:tcBorders>
              <w:bottom w:val="single" w:sz="18" w:space="0" w:color="F6872B"/>
            </w:tcBorders>
            <w:shd w:val="clear" w:color="auto" w:fill="auto"/>
            <w:vAlign w:val="center"/>
          </w:tcPr>
          <w:p w:rsidR="00D86A11"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4.2</w:t>
            </w:r>
            <w:r w:rsidRPr="009A4D3F">
              <w:rPr>
                <w:rFonts w:ascii="Calibri" w:eastAsia="Calibri" w:hAnsi="Calibri" w:cs="Arial"/>
                <w:b/>
                <w:bCs/>
                <w:color w:val="013161"/>
                <w:sz w:val="20"/>
                <w:szCs w:val="22"/>
              </w:rPr>
              <w:t>%</w:t>
            </w:r>
          </w:p>
        </w:tc>
      </w:tr>
    </w:tbl>
    <w:p w:rsidR="00D86A11" w:rsidRDefault="00C44866" w:rsidP="00D86A11">
      <w:pPr>
        <w:pStyle w:val="Heading1"/>
        <w:spacing w:line="276" w:lineRule="auto"/>
        <w:rPr>
          <w:b w:val="0"/>
          <w:color w:val="auto"/>
          <w:sz w:val="22"/>
        </w:rPr>
      </w:pPr>
      <w:r>
        <w:rPr>
          <w:b w:val="0"/>
          <w:color w:val="auto"/>
          <w:sz w:val="22"/>
        </w:rPr>
        <w:t xml:space="preserve">Exhibits 5 to </w:t>
      </w:r>
      <w:r w:rsidR="00D86A11" w:rsidRPr="00D056C7">
        <w:rPr>
          <w:b w:val="0"/>
          <w:color w:val="auto"/>
          <w:sz w:val="22"/>
        </w:rPr>
        <w:t>7</w:t>
      </w:r>
      <w:r>
        <w:rPr>
          <w:b w:val="0"/>
          <w:color w:val="auto"/>
          <w:sz w:val="22"/>
        </w:rPr>
        <w:t xml:space="preserve"> </w:t>
      </w:r>
      <w:r w:rsidR="00D86A11" w:rsidRPr="00D056C7">
        <w:rPr>
          <w:b w:val="0"/>
          <w:color w:val="auto"/>
          <w:sz w:val="22"/>
        </w:rPr>
        <w:t xml:space="preserve">detail key unemployment, income, and poverty data. The unemployment rate in </w:t>
      </w:r>
      <w:r w:rsidR="00D86A11">
        <w:rPr>
          <w:b w:val="0"/>
          <w:color w:val="auto"/>
          <w:sz w:val="22"/>
        </w:rPr>
        <w:t>the County of San Diego</w:t>
      </w:r>
      <w:r w:rsidR="00121985" w:rsidRPr="00121985">
        <w:rPr>
          <w:b w:val="0"/>
          <w:color w:val="auto"/>
          <w:sz w:val="22"/>
        </w:rPr>
        <w:t xml:space="preserve"> has improved since the recession and is now at 4.2%. Yet, many families have not recovered fully from the recession and many adults are underemployed, are working multiple low paying jobs or have quit looking for work.</w:t>
      </w:r>
    </w:p>
    <w:p w:rsidR="009103E6" w:rsidRDefault="009103E6" w:rsidP="009103E6"/>
    <w:p w:rsidR="009103E6" w:rsidRDefault="009103E6" w:rsidP="009103E6"/>
    <w:p w:rsidR="009103E6" w:rsidRDefault="009103E6" w:rsidP="009103E6"/>
    <w:p w:rsidR="009103E6" w:rsidRDefault="009103E6" w:rsidP="009103E6"/>
    <w:p w:rsidR="009103E6" w:rsidRPr="009103E6" w:rsidRDefault="009103E6" w:rsidP="009103E6"/>
    <w:tbl>
      <w:tblPr>
        <w:tblpPr w:leftFromText="180" w:rightFromText="180" w:vertAnchor="text" w:horzAnchor="margin" w:tblpXSpec="right" w:tblpY="628"/>
        <w:tblW w:w="5688" w:type="dxa"/>
        <w:tblLook w:val="01E0" w:firstRow="1" w:lastRow="1" w:firstColumn="1" w:lastColumn="1" w:noHBand="0" w:noVBand="0"/>
      </w:tblPr>
      <w:tblGrid>
        <w:gridCol w:w="2178"/>
        <w:gridCol w:w="1620"/>
        <w:gridCol w:w="1890"/>
      </w:tblGrid>
      <w:tr w:rsidR="00D86A11" w:rsidRPr="009A4D3F">
        <w:trPr>
          <w:trHeight w:val="313"/>
          <w:tblHeader/>
        </w:trPr>
        <w:tc>
          <w:tcPr>
            <w:tcW w:w="5688" w:type="dxa"/>
            <w:gridSpan w:val="3"/>
            <w:tcBorders>
              <w:top w:val="single" w:sz="18" w:space="0" w:color="F6872B"/>
              <w:left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 w:val="24"/>
                <w:szCs w:val="22"/>
              </w:rPr>
              <w:lastRenderedPageBreak/>
              <w:t>Exhibit 6. County of San Diego Household Income</w:t>
            </w:r>
            <w:r w:rsidRPr="009A4D3F">
              <w:rPr>
                <w:rFonts w:ascii="Calibri" w:eastAsia="Calibri" w:hAnsi="Calibri" w:cs="Arial"/>
                <w:b/>
                <w:bCs/>
                <w:color w:val="FFFFFF"/>
                <w:sz w:val="24"/>
                <w:szCs w:val="22"/>
                <w:vertAlign w:val="superscript"/>
              </w:rPr>
              <w:endnoteReference w:id="4"/>
            </w:r>
          </w:p>
        </w:tc>
      </w:tr>
      <w:tr w:rsidR="00D86A11" w:rsidRPr="009A4D3F">
        <w:trPr>
          <w:trHeight w:val="313"/>
          <w:tblHeader/>
        </w:trPr>
        <w:tc>
          <w:tcPr>
            <w:tcW w:w="2178" w:type="dxa"/>
            <w:tcBorders>
              <w:left w:val="nil"/>
              <w:right w:val="nil"/>
            </w:tcBorders>
            <w:shd w:val="clear" w:color="auto" w:fill="013161"/>
          </w:tcPr>
          <w:p w:rsidR="00D86A11" w:rsidRPr="009A4D3F" w:rsidRDefault="00D86A11" w:rsidP="00D86A11">
            <w:pPr>
              <w:spacing w:after="0" w:line="240" w:lineRule="auto"/>
              <w:rPr>
                <w:rFonts w:ascii="Calibri" w:eastAsia="Calibri" w:hAnsi="Calibri" w:cs="Arial"/>
                <w:b/>
                <w:bCs/>
                <w:color w:val="FFFFFF"/>
                <w:szCs w:val="22"/>
              </w:rPr>
            </w:pPr>
            <w:r w:rsidRPr="009A4D3F">
              <w:rPr>
                <w:rFonts w:ascii="Calibri" w:eastAsia="Calibri" w:hAnsi="Calibri" w:cs="Arial"/>
                <w:b/>
                <w:bCs/>
                <w:color w:val="FFFFFF"/>
                <w:szCs w:val="22"/>
              </w:rPr>
              <w:t>Total Households</w:t>
            </w:r>
          </w:p>
        </w:tc>
        <w:tc>
          <w:tcPr>
            <w:tcW w:w="1620" w:type="dxa"/>
            <w:tcBorders>
              <w:left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sidRPr="009A4D3F">
              <w:rPr>
                <w:rFonts w:ascii="Calibri" w:eastAsia="Calibri" w:hAnsi="Calibri" w:cs="Arial"/>
                <w:b/>
                <w:bCs/>
                <w:color w:val="FFFFFF"/>
                <w:szCs w:val="22"/>
              </w:rPr>
              <w:t>2010</w:t>
            </w:r>
          </w:p>
        </w:tc>
        <w:tc>
          <w:tcPr>
            <w:tcW w:w="1890" w:type="dxa"/>
            <w:tcBorders>
              <w:left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sidRPr="009A4D3F">
              <w:rPr>
                <w:rFonts w:ascii="Calibri" w:eastAsia="Calibri" w:hAnsi="Calibri" w:cs="Arial"/>
                <w:b/>
                <w:bCs/>
                <w:color w:val="FFFFFF"/>
                <w:szCs w:val="22"/>
              </w:rPr>
              <w:t>2014</w:t>
            </w:r>
          </w:p>
        </w:tc>
      </w:tr>
      <w:tr w:rsidR="00D86A11" w:rsidRPr="009A4D3F">
        <w:trPr>
          <w:trHeight w:val="284"/>
        </w:trPr>
        <w:tc>
          <w:tcPr>
            <w:tcW w:w="2178" w:type="dxa"/>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Median Income</w:t>
            </w:r>
          </w:p>
        </w:tc>
        <w:tc>
          <w:tcPr>
            <w:tcW w:w="1620" w:type="dxa"/>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$63,069</w:t>
            </w:r>
          </w:p>
        </w:tc>
        <w:tc>
          <w:tcPr>
            <w:tcW w:w="1890" w:type="dxa"/>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$63,996</w:t>
            </w:r>
          </w:p>
        </w:tc>
      </w:tr>
      <w:tr w:rsidR="00D86A11" w:rsidRPr="009A4D3F">
        <w:trPr>
          <w:trHeight w:val="299"/>
        </w:trPr>
        <w:tc>
          <w:tcPr>
            <w:tcW w:w="2178" w:type="dxa"/>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Less than $10,000</w:t>
            </w:r>
          </w:p>
        </w:tc>
        <w:tc>
          <w:tcPr>
            <w:tcW w:w="1620" w:type="dxa"/>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4.9%</w:t>
            </w:r>
          </w:p>
        </w:tc>
        <w:tc>
          <w:tcPr>
            <w:tcW w:w="1890" w:type="dxa"/>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6.2%</w:t>
            </w:r>
          </w:p>
        </w:tc>
      </w:tr>
      <w:tr w:rsidR="00D86A11" w:rsidRPr="009A4D3F">
        <w:trPr>
          <w:trHeight w:val="284"/>
        </w:trPr>
        <w:tc>
          <w:tcPr>
            <w:tcW w:w="2178" w:type="dxa"/>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$10,000 to $14,999</w:t>
            </w:r>
          </w:p>
        </w:tc>
        <w:tc>
          <w:tcPr>
            <w:tcW w:w="1620" w:type="dxa"/>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4.4%</w:t>
            </w:r>
          </w:p>
        </w:tc>
        <w:tc>
          <w:tcPr>
            <w:tcW w:w="1890" w:type="dxa"/>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4.3%</w:t>
            </w:r>
          </w:p>
        </w:tc>
      </w:tr>
      <w:tr w:rsidR="00D86A11" w:rsidRPr="009A4D3F">
        <w:trPr>
          <w:trHeight w:val="322"/>
        </w:trPr>
        <w:tc>
          <w:tcPr>
            <w:tcW w:w="2178" w:type="dxa"/>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$15,000 to $24,999</w:t>
            </w:r>
          </w:p>
        </w:tc>
        <w:tc>
          <w:tcPr>
            <w:tcW w:w="1620" w:type="dxa"/>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8.6%</w:t>
            </w:r>
          </w:p>
        </w:tc>
        <w:tc>
          <w:tcPr>
            <w:tcW w:w="1890" w:type="dxa"/>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8.4%</w:t>
            </w:r>
          </w:p>
        </w:tc>
      </w:tr>
      <w:tr w:rsidR="00D86A11" w:rsidRPr="009A4D3F">
        <w:trPr>
          <w:trHeight w:val="299"/>
        </w:trPr>
        <w:tc>
          <w:tcPr>
            <w:tcW w:w="2178" w:type="dxa"/>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highlight w:val="yellow"/>
              </w:rPr>
            </w:pPr>
            <w:r w:rsidRPr="009A4D3F">
              <w:rPr>
                <w:rFonts w:ascii="Calibri" w:eastAsia="Calibri" w:hAnsi="Calibri" w:cs="Arial"/>
                <w:b/>
                <w:bCs/>
                <w:color w:val="013161"/>
                <w:sz w:val="20"/>
                <w:szCs w:val="22"/>
              </w:rPr>
              <w:t>$25,000 to $34,999</w:t>
            </w:r>
          </w:p>
        </w:tc>
        <w:tc>
          <w:tcPr>
            <w:tcW w:w="1620" w:type="dxa"/>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8.9%</w:t>
            </w:r>
          </w:p>
        </w:tc>
        <w:tc>
          <w:tcPr>
            <w:tcW w:w="1890" w:type="dxa"/>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8.8%</w:t>
            </w:r>
          </w:p>
        </w:tc>
      </w:tr>
      <w:tr w:rsidR="00D86A11" w:rsidRPr="009A4D3F">
        <w:trPr>
          <w:trHeight w:val="331"/>
        </w:trPr>
        <w:tc>
          <w:tcPr>
            <w:tcW w:w="2178" w:type="dxa"/>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$35,000 to $49,999</w:t>
            </w:r>
          </w:p>
        </w:tc>
        <w:tc>
          <w:tcPr>
            <w:tcW w:w="1620" w:type="dxa"/>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13.1%</w:t>
            </w:r>
          </w:p>
        </w:tc>
        <w:tc>
          <w:tcPr>
            <w:tcW w:w="1890" w:type="dxa"/>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12.2%</w:t>
            </w:r>
          </w:p>
        </w:tc>
      </w:tr>
      <w:tr w:rsidR="00D86A11" w:rsidRPr="009A4D3F">
        <w:trPr>
          <w:trHeight w:val="299"/>
        </w:trPr>
        <w:tc>
          <w:tcPr>
            <w:tcW w:w="2178" w:type="dxa"/>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$50,000 to $74,999</w:t>
            </w:r>
          </w:p>
        </w:tc>
        <w:tc>
          <w:tcPr>
            <w:tcW w:w="1620" w:type="dxa"/>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17.7%</w:t>
            </w:r>
          </w:p>
        </w:tc>
        <w:tc>
          <w:tcPr>
            <w:tcW w:w="1890" w:type="dxa"/>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16.9%</w:t>
            </w:r>
          </w:p>
        </w:tc>
      </w:tr>
      <w:tr w:rsidR="00D86A11" w:rsidRPr="009A4D3F">
        <w:trPr>
          <w:trHeight w:val="353"/>
        </w:trPr>
        <w:tc>
          <w:tcPr>
            <w:tcW w:w="2178" w:type="dxa"/>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$75,000 to $99,999</w:t>
            </w:r>
          </w:p>
        </w:tc>
        <w:tc>
          <w:tcPr>
            <w:tcW w:w="1620" w:type="dxa"/>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13.8%</w:t>
            </w:r>
          </w:p>
        </w:tc>
        <w:tc>
          <w:tcPr>
            <w:tcW w:w="1890" w:type="dxa"/>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13.0%</w:t>
            </w:r>
          </w:p>
        </w:tc>
      </w:tr>
      <w:tr w:rsidR="00D86A11" w:rsidRPr="009A4D3F">
        <w:trPr>
          <w:trHeight w:val="299"/>
        </w:trPr>
        <w:tc>
          <w:tcPr>
            <w:tcW w:w="2178" w:type="dxa"/>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$100,000 to $149,999</w:t>
            </w:r>
          </w:p>
        </w:tc>
        <w:tc>
          <w:tcPr>
            <w:tcW w:w="1620" w:type="dxa"/>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15.6%</w:t>
            </w:r>
          </w:p>
        </w:tc>
        <w:tc>
          <w:tcPr>
            <w:tcW w:w="1890" w:type="dxa"/>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15.7%</w:t>
            </w:r>
          </w:p>
        </w:tc>
      </w:tr>
      <w:tr w:rsidR="00D86A11" w:rsidRPr="009A4D3F">
        <w:trPr>
          <w:trHeight w:val="284"/>
        </w:trPr>
        <w:tc>
          <w:tcPr>
            <w:tcW w:w="2178" w:type="dxa"/>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$150,000 to $199,999</w:t>
            </w:r>
          </w:p>
        </w:tc>
        <w:tc>
          <w:tcPr>
            <w:tcW w:w="1620" w:type="dxa"/>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6.7%</w:t>
            </w:r>
          </w:p>
        </w:tc>
        <w:tc>
          <w:tcPr>
            <w:tcW w:w="1890" w:type="dxa"/>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7.3%</w:t>
            </w:r>
          </w:p>
        </w:tc>
      </w:tr>
      <w:tr w:rsidR="00D86A11" w:rsidRPr="009A4D3F">
        <w:trPr>
          <w:trHeight w:val="284"/>
        </w:trPr>
        <w:tc>
          <w:tcPr>
            <w:tcW w:w="2178" w:type="dxa"/>
            <w:tcBorders>
              <w:bottom w:val="single" w:sz="18" w:space="0" w:color="F6872B"/>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$200,000 or more</w:t>
            </w:r>
          </w:p>
        </w:tc>
        <w:tc>
          <w:tcPr>
            <w:tcW w:w="1620" w:type="dxa"/>
            <w:tcBorders>
              <w:bottom w:val="single" w:sz="18" w:space="0" w:color="F6872B"/>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6.2%</w:t>
            </w:r>
          </w:p>
        </w:tc>
        <w:tc>
          <w:tcPr>
            <w:tcW w:w="1890" w:type="dxa"/>
            <w:tcBorders>
              <w:bottom w:val="single" w:sz="18" w:space="0" w:color="F6872B"/>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7.2%</w:t>
            </w:r>
          </w:p>
        </w:tc>
      </w:tr>
    </w:tbl>
    <w:p w:rsidR="00D86A11" w:rsidRDefault="00D86A11" w:rsidP="00D86A11">
      <w:pPr>
        <w:pStyle w:val="Heading1"/>
        <w:spacing w:line="276" w:lineRule="auto"/>
        <w:rPr>
          <w:b w:val="0"/>
          <w:color w:val="auto"/>
          <w:sz w:val="22"/>
        </w:rPr>
      </w:pPr>
      <w:r w:rsidRPr="00D056C7">
        <w:rPr>
          <w:b w:val="0"/>
          <w:color w:val="auto"/>
          <w:sz w:val="22"/>
        </w:rPr>
        <w:t>Poverty rates have risen since 2010 and 18.8% of children are now living in poverty. In addition, the rate of highly-concentrated poverty (those living in poverty in neighborhoods with at least a 20% poverty rate) has increased across the county from 42.1% in 2000 to 45.6% in the period between 2010 and 2014</w:t>
      </w:r>
      <w:r>
        <w:rPr>
          <w:b w:val="0"/>
          <w:color w:val="auto"/>
          <w:sz w:val="22"/>
        </w:rPr>
        <w:t>.</w:t>
      </w:r>
      <w:r>
        <w:rPr>
          <w:rStyle w:val="EndnoteReference"/>
          <w:b w:val="0"/>
          <w:color w:val="auto"/>
          <w:sz w:val="22"/>
        </w:rPr>
        <w:endnoteReference w:id="5"/>
      </w:r>
      <w:r w:rsidRPr="00D056C7">
        <w:rPr>
          <w:b w:val="0"/>
          <w:color w:val="auto"/>
          <w:sz w:val="22"/>
        </w:rPr>
        <w:t xml:space="preserve"> Nearly half (49%) of these resi</w:t>
      </w:r>
      <w:r w:rsidR="00121985" w:rsidRPr="00121985">
        <w:rPr>
          <w:b w:val="0"/>
          <w:color w:val="auto"/>
          <w:sz w:val="22"/>
        </w:rPr>
        <w:t xml:space="preserve">dents live outside of the City of San Diego in communities such as El Cajon in the east, National City in the south and Vista in the north. </w:t>
      </w:r>
    </w:p>
    <w:p w:rsidR="00D86A11" w:rsidRDefault="00121985" w:rsidP="00D86A11">
      <w:pPr>
        <w:pStyle w:val="Heading1"/>
        <w:spacing w:line="276" w:lineRule="auto"/>
        <w:rPr>
          <w:b w:val="0"/>
          <w:color w:val="auto"/>
          <w:sz w:val="22"/>
        </w:rPr>
      </w:pPr>
      <w:r w:rsidRPr="00121985">
        <w:rPr>
          <w:b w:val="0"/>
          <w:color w:val="auto"/>
          <w:sz w:val="22"/>
        </w:rPr>
        <w:t xml:space="preserve">Low income individuals living in low income neighborhoods often face many challenges including higher crime rates, lack of employment opportunities, substandard housing, poor performing schools and unhealthy environments. These factors, in turn, can increase family stress, exacerbate physical and mental health problems and lead to increased risks for family violence, substance abuse, and child abuse and neglect. Improved economic indicators have not led to a decrease in the number of children in the county with allegations of abuse or neglect, which increased from 50,329 in 2010 to 50,802 in 2015. </w:t>
      </w:r>
    </w:p>
    <w:p w:rsidR="00D86A11" w:rsidRPr="00651019" w:rsidRDefault="00D86A11" w:rsidP="00D86A11">
      <w:pPr>
        <w:rPr>
          <w:rFonts w:ascii="Franklin Gothic Book" w:hAnsi="Franklin Gothic Book"/>
          <w:color w:val="auto"/>
          <w:spacing w:val="20"/>
          <w:sz w:val="14"/>
          <w:szCs w:val="28"/>
        </w:rPr>
      </w:pPr>
    </w:p>
    <w:tbl>
      <w:tblPr>
        <w:tblW w:w="9738" w:type="dxa"/>
        <w:tblBorders>
          <w:top w:val="single" w:sz="8" w:space="0" w:color="4F81BD"/>
          <w:bottom w:val="single" w:sz="8" w:space="0" w:color="4F81BD"/>
        </w:tblBorders>
        <w:tblLook w:val="01E0" w:firstRow="1" w:lastRow="1" w:firstColumn="1" w:lastColumn="1" w:noHBand="0" w:noVBand="0"/>
      </w:tblPr>
      <w:tblGrid>
        <w:gridCol w:w="5500"/>
        <w:gridCol w:w="2074"/>
        <w:gridCol w:w="2164"/>
      </w:tblGrid>
      <w:tr w:rsidR="00D86A11" w:rsidRPr="009A4D3F">
        <w:trPr>
          <w:trHeight w:val="280"/>
          <w:tblHeader/>
        </w:trPr>
        <w:tc>
          <w:tcPr>
            <w:tcW w:w="9738" w:type="dxa"/>
            <w:gridSpan w:val="3"/>
            <w:tcBorders>
              <w:top w:val="single" w:sz="18" w:space="0" w:color="F6872B"/>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 w:val="24"/>
                <w:szCs w:val="22"/>
              </w:rPr>
              <w:t xml:space="preserve">Exhibit 7. County of San Diego Residents </w:t>
            </w:r>
            <w:r w:rsidRPr="009A4D3F">
              <w:rPr>
                <w:rFonts w:ascii="Calibri" w:eastAsia="Calibri" w:hAnsi="Calibri" w:cs="Arial"/>
                <w:b/>
                <w:bCs/>
                <w:color w:val="FFFFFF"/>
                <w:sz w:val="24"/>
                <w:szCs w:val="22"/>
              </w:rPr>
              <w:t>Living in Poverty</w:t>
            </w:r>
          </w:p>
        </w:tc>
      </w:tr>
      <w:tr w:rsidR="00D86A11" w:rsidRPr="009A4D3F">
        <w:trPr>
          <w:trHeight w:val="280"/>
          <w:tblHeader/>
        </w:trPr>
        <w:tc>
          <w:tcPr>
            <w:tcW w:w="5500" w:type="dxa"/>
            <w:tcBorders>
              <w:top w:val="nil"/>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p>
        </w:tc>
        <w:tc>
          <w:tcPr>
            <w:tcW w:w="2074" w:type="dxa"/>
            <w:tcBorders>
              <w:top w:val="nil"/>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sidRPr="009A4D3F">
              <w:rPr>
                <w:rFonts w:ascii="Calibri" w:eastAsia="Calibri" w:hAnsi="Calibri" w:cs="Arial"/>
                <w:b/>
                <w:bCs/>
                <w:color w:val="FFFFFF"/>
                <w:szCs w:val="22"/>
              </w:rPr>
              <w:t>2010</w:t>
            </w:r>
            <w:r w:rsidRPr="009A4D3F">
              <w:rPr>
                <w:rFonts w:ascii="Calibri" w:eastAsia="Calibri" w:hAnsi="Calibri" w:cs="Arial"/>
                <w:b/>
                <w:bCs/>
                <w:color w:val="FFFFFF"/>
                <w:szCs w:val="22"/>
                <w:vertAlign w:val="superscript"/>
              </w:rPr>
              <w:endnoteReference w:id="6"/>
            </w:r>
          </w:p>
        </w:tc>
        <w:tc>
          <w:tcPr>
            <w:tcW w:w="2164" w:type="dxa"/>
            <w:tcBorders>
              <w:top w:val="nil"/>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sidRPr="009A4D3F">
              <w:rPr>
                <w:rFonts w:ascii="Calibri" w:eastAsia="Calibri" w:hAnsi="Calibri" w:cs="Arial"/>
                <w:b/>
                <w:bCs/>
                <w:color w:val="FFFFFF"/>
                <w:szCs w:val="22"/>
              </w:rPr>
              <w:t>2014</w:t>
            </w:r>
            <w:r w:rsidRPr="009A4D3F">
              <w:rPr>
                <w:rFonts w:ascii="Calibri" w:eastAsia="Calibri" w:hAnsi="Calibri" w:cs="Arial"/>
                <w:b/>
                <w:bCs/>
                <w:color w:val="FFFFFF"/>
                <w:szCs w:val="22"/>
                <w:vertAlign w:val="superscript"/>
              </w:rPr>
              <w:endnoteReference w:id="7"/>
            </w:r>
          </w:p>
        </w:tc>
      </w:tr>
      <w:tr w:rsidR="00D86A11" w:rsidRPr="009A4D3F">
        <w:trPr>
          <w:trHeight w:val="267"/>
        </w:trPr>
        <w:tc>
          <w:tcPr>
            <w:tcW w:w="5500" w:type="dxa"/>
            <w:tcBorders>
              <w:top w:val="nil"/>
            </w:tcBorders>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All ages</w:t>
            </w:r>
          </w:p>
        </w:tc>
        <w:tc>
          <w:tcPr>
            <w:tcW w:w="2074" w:type="dxa"/>
            <w:tcBorders>
              <w:top w:val="nil"/>
              <w:bottom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13.2%</w:t>
            </w:r>
          </w:p>
        </w:tc>
        <w:tc>
          <w:tcPr>
            <w:tcW w:w="2164" w:type="dxa"/>
            <w:tcBorders>
              <w:top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14.7%</w:t>
            </w:r>
          </w:p>
        </w:tc>
      </w:tr>
      <w:tr w:rsidR="00D86A11" w:rsidRPr="009A4D3F">
        <w:trPr>
          <w:trHeight w:val="267"/>
        </w:trPr>
        <w:tc>
          <w:tcPr>
            <w:tcW w:w="5500"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Under 18 years</w:t>
            </w:r>
          </w:p>
        </w:tc>
        <w:tc>
          <w:tcPr>
            <w:tcW w:w="2074" w:type="dxa"/>
            <w:tcBorders>
              <w:top w:val="nil"/>
              <w:bottom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17.4%</w:t>
            </w:r>
          </w:p>
        </w:tc>
        <w:tc>
          <w:tcPr>
            <w:tcW w:w="2164"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18.8%</w:t>
            </w:r>
          </w:p>
        </w:tc>
      </w:tr>
      <w:tr w:rsidR="00D86A11" w:rsidRPr="009A4D3F">
        <w:trPr>
          <w:trHeight w:val="254"/>
        </w:trPr>
        <w:tc>
          <w:tcPr>
            <w:tcW w:w="5500" w:type="dxa"/>
            <w:tcBorders>
              <w:top w:val="nil"/>
            </w:tcBorders>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 xml:space="preserve">     Related children under 18 years</w:t>
            </w:r>
          </w:p>
        </w:tc>
        <w:tc>
          <w:tcPr>
            <w:tcW w:w="2074" w:type="dxa"/>
            <w:tcBorders>
              <w:top w:val="nil"/>
              <w:left w:val="nil"/>
              <w:bottom w:val="nil"/>
              <w:right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17.0%</w:t>
            </w:r>
          </w:p>
        </w:tc>
        <w:tc>
          <w:tcPr>
            <w:tcW w:w="2164" w:type="dxa"/>
            <w:tcBorders>
              <w:top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18.5%</w:t>
            </w:r>
          </w:p>
        </w:tc>
      </w:tr>
      <w:tr w:rsidR="00D86A11" w:rsidRPr="009A4D3F">
        <w:trPr>
          <w:trHeight w:val="288"/>
        </w:trPr>
        <w:tc>
          <w:tcPr>
            <w:tcW w:w="5500"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18-64 years</w:t>
            </w:r>
          </w:p>
        </w:tc>
        <w:tc>
          <w:tcPr>
            <w:tcW w:w="2074" w:type="dxa"/>
            <w:tcBorders>
              <w:top w:val="nil"/>
              <w:bottom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12.6%</w:t>
            </w:r>
          </w:p>
        </w:tc>
        <w:tc>
          <w:tcPr>
            <w:tcW w:w="2164"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14.3%</w:t>
            </w:r>
          </w:p>
        </w:tc>
      </w:tr>
      <w:tr w:rsidR="00D86A11" w:rsidRPr="009A4D3F">
        <w:trPr>
          <w:trHeight w:val="267"/>
        </w:trPr>
        <w:tc>
          <w:tcPr>
            <w:tcW w:w="5500" w:type="dxa"/>
            <w:tcBorders>
              <w:top w:val="nil"/>
            </w:tcBorders>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65 years and over</w:t>
            </w:r>
          </w:p>
        </w:tc>
        <w:tc>
          <w:tcPr>
            <w:tcW w:w="2074" w:type="dxa"/>
            <w:tcBorders>
              <w:top w:val="nil"/>
              <w:left w:val="nil"/>
              <w:bottom w:val="nil"/>
              <w:right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8.0%</w:t>
            </w:r>
          </w:p>
        </w:tc>
        <w:tc>
          <w:tcPr>
            <w:tcW w:w="2164" w:type="dxa"/>
            <w:tcBorders>
              <w:top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9.1%</w:t>
            </w:r>
          </w:p>
        </w:tc>
      </w:tr>
      <w:tr w:rsidR="00D86A11" w:rsidRPr="009A4D3F">
        <w:trPr>
          <w:trHeight w:val="297"/>
        </w:trPr>
        <w:tc>
          <w:tcPr>
            <w:tcW w:w="5500"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50% below poverty level</w:t>
            </w:r>
          </w:p>
        </w:tc>
        <w:tc>
          <w:tcPr>
            <w:tcW w:w="2074" w:type="dxa"/>
            <w:tcBorders>
              <w:top w:val="nil"/>
              <w:bottom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180,597</w:t>
            </w:r>
          </w:p>
        </w:tc>
        <w:tc>
          <w:tcPr>
            <w:tcW w:w="2164"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223,951</w:t>
            </w:r>
          </w:p>
        </w:tc>
      </w:tr>
      <w:tr w:rsidR="00D86A11" w:rsidRPr="009A4D3F">
        <w:trPr>
          <w:trHeight w:val="267"/>
        </w:trPr>
        <w:tc>
          <w:tcPr>
            <w:tcW w:w="5500" w:type="dxa"/>
            <w:tcBorders>
              <w:top w:val="nil"/>
            </w:tcBorders>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125% below poverty level</w:t>
            </w:r>
          </w:p>
        </w:tc>
        <w:tc>
          <w:tcPr>
            <w:tcW w:w="2074" w:type="dxa"/>
            <w:tcBorders>
              <w:top w:val="nil"/>
              <w:left w:val="nil"/>
              <w:bottom w:val="nil"/>
              <w:right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523,540</w:t>
            </w:r>
          </w:p>
        </w:tc>
        <w:tc>
          <w:tcPr>
            <w:tcW w:w="2164" w:type="dxa"/>
            <w:tcBorders>
              <w:top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597,270</w:t>
            </w:r>
          </w:p>
        </w:tc>
      </w:tr>
      <w:tr w:rsidR="00D86A11" w:rsidRPr="009A4D3F">
        <w:trPr>
          <w:trHeight w:val="267"/>
        </w:trPr>
        <w:tc>
          <w:tcPr>
            <w:tcW w:w="5500"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150% below poverty level</w:t>
            </w:r>
          </w:p>
        </w:tc>
        <w:tc>
          <w:tcPr>
            <w:tcW w:w="2074" w:type="dxa"/>
            <w:tcBorders>
              <w:top w:val="nil"/>
              <w:bottom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650,139</w:t>
            </w:r>
          </w:p>
        </w:tc>
        <w:tc>
          <w:tcPr>
            <w:tcW w:w="2164"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743,830</w:t>
            </w:r>
          </w:p>
        </w:tc>
      </w:tr>
      <w:tr w:rsidR="00D86A11" w:rsidRPr="009A4D3F">
        <w:trPr>
          <w:trHeight w:val="267"/>
        </w:trPr>
        <w:tc>
          <w:tcPr>
            <w:tcW w:w="5500" w:type="dxa"/>
            <w:tcBorders>
              <w:top w:val="nil"/>
            </w:tcBorders>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185% below poverty level</w:t>
            </w:r>
          </w:p>
        </w:tc>
        <w:tc>
          <w:tcPr>
            <w:tcW w:w="2074" w:type="dxa"/>
            <w:tcBorders>
              <w:top w:val="nil"/>
              <w:left w:val="nil"/>
              <w:bottom w:val="nil"/>
              <w:right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841,877</w:t>
            </w:r>
          </w:p>
        </w:tc>
        <w:tc>
          <w:tcPr>
            <w:tcW w:w="2164" w:type="dxa"/>
            <w:tcBorders>
              <w:top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944,873</w:t>
            </w:r>
          </w:p>
        </w:tc>
      </w:tr>
      <w:tr w:rsidR="00D86A11" w:rsidRPr="009A4D3F">
        <w:trPr>
          <w:trHeight w:val="267"/>
        </w:trPr>
        <w:tc>
          <w:tcPr>
            <w:tcW w:w="5500"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200% below poverty level</w:t>
            </w:r>
          </w:p>
        </w:tc>
        <w:tc>
          <w:tcPr>
            <w:tcW w:w="2074" w:type="dxa"/>
            <w:tcBorders>
              <w:top w:val="nil"/>
              <w:bottom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914,486</w:t>
            </w:r>
          </w:p>
        </w:tc>
        <w:tc>
          <w:tcPr>
            <w:tcW w:w="2164" w:type="dxa"/>
            <w:tcBorders>
              <w:top w:val="nil"/>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1,026,386</w:t>
            </w:r>
          </w:p>
        </w:tc>
      </w:tr>
      <w:tr w:rsidR="00D86A11" w:rsidRPr="009A4D3F">
        <w:trPr>
          <w:trHeight w:val="267"/>
        </w:trPr>
        <w:tc>
          <w:tcPr>
            <w:tcW w:w="5500" w:type="dxa"/>
            <w:tcBorders>
              <w:top w:val="nil"/>
            </w:tcBorders>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Worked full time, year round in the past 12 months</w:t>
            </w:r>
          </w:p>
        </w:tc>
        <w:tc>
          <w:tcPr>
            <w:tcW w:w="2074" w:type="dxa"/>
            <w:tcBorders>
              <w:top w:val="nil"/>
              <w:left w:val="nil"/>
              <w:bottom w:val="nil"/>
              <w:right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2.1%</w:t>
            </w:r>
          </w:p>
        </w:tc>
        <w:tc>
          <w:tcPr>
            <w:tcW w:w="2164" w:type="dxa"/>
            <w:tcBorders>
              <w:top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2.7%</w:t>
            </w:r>
          </w:p>
        </w:tc>
      </w:tr>
      <w:tr w:rsidR="00D86A11" w:rsidRPr="009A4D3F">
        <w:trPr>
          <w:trHeight w:val="267"/>
        </w:trPr>
        <w:tc>
          <w:tcPr>
            <w:tcW w:w="5500" w:type="dxa"/>
            <w:tcBorders>
              <w:top w:val="nil"/>
              <w:bottom w:val="single" w:sz="18" w:space="0" w:color="F6872B"/>
            </w:tcBorders>
            <w:shd w:val="clear" w:color="auto" w:fill="DBE5F1"/>
            <w:vAlign w:val="center"/>
          </w:tcPr>
          <w:p w:rsidR="00D86A11" w:rsidRPr="009A4D3F" w:rsidRDefault="00D86A11" w:rsidP="00BC2B06">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Worke</w:t>
            </w:r>
            <w:r w:rsidR="00BC2B06">
              <w:rPr>
                <w:rFonts w:ascii="Calibri" w:eastAsia="Calibri" w:hAnsi="Calibri" w:cs="Arial"/>
                <w:b/>
                <w:bCs/>
                <w:color w:val="013161"/>
                <w:sz w:val="20"/>
                <w:szCs w:val="22"/>
              </w:rPr>
              <w:t>d</w:t>
            </w:r>
            <w:r w:rsidRPr="009A4D3F">
              <w:rPr>
                <w:rFonts w:ascii="Calibri" w:eastAsia="Calibri" w:hAnsi="Calibri" w:cs="Arial"/>
                <w:b/>
                <w:bCs/>
                <w:color w:val="013161"/>
                <w:sz w:val="20"/>
                <w:szCs w:val="22"/>
              </w:rPr>
              <w:t xml:space="preserve"> less than full time, year round in the past 12 months</w:t>
            </w:r>
          </w:p>
        </w:tc>
        <w:tc>
          <w:tcPr>
            <w:tcW w:w="2074" w:type="dxa"/>
            <w:tcBorders>
              <w:top w:val="nil"/>
              <w:bottom w:val="single" w:sz="18" w:space="0" w:color="F6872B"/>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34.5%</w:t>
            </w:r>
          </w:p>
        </w:tc>
        <w:tc>
          <w:tcPr>
            <w:tcW w:w="2164" w:type="dxa"/>
            <w:tcBorders>
              <w:top w:val="nil"/>
              <w:bottom w:val="single" w:sz="18" w:space="0" w:color="F6872B"/>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36.0%</w:t>
            </w:r>
          </w:p>
        </w:tc>
      </w:tr>
    </w:tbl>
    <w:p w:rsidR="00D86A11" w:rsidRDefault="00D86A11" w:rsidP="00D86A11">
      <w:pPr>
        <w:spacing w:after="0"/>
        <w:rPr>
          <w:vanish/>
        </w:rPr>
      </w:pPr>
    </w:p>
    <w:p w:rsidR="009103E6" w:rsidRDefault="009103E6" w:rsidP="00D86A11">
      <w:pPr>
        <w:spacing w:after="0"/>
        <w:rPr>
          <w:vanish/>
        </w:rPr>
      </w:pPr>
    </w:p>
    <w:p w:rsidR="009103E6" w:rsidRDefault="009103E6" w:rsidP="00D86A11">
      <w:pPr>
        <w:spacing w:after="0"/>
        <w:rPr>
          <w:vanish/>
        </w:rPr>
      </w:pPr>
    </w:p>
    <w:p w:rsidR="009103E6" w:rsidRDefault="009103E6" w:rsidP="00D86A11">
      <w:pPr>
        <w:spacing w:after="0"/>
        <w:rPr>
          <w:vanish/>
        </w:rPr>
      </w:pPr>
    </w:p>
    <w:p w:rsidR="009103E6" w:rsidRDefault="009103E6" w:rsidP="00D86A11">
      <w:pPr>
        <w:spacing w:after="0"/>
        <w:rPr>
          <w:vanish/>
        </w:rPr>
      </w:pPr>
    </w:p>
    <w:p w:rsidR="009103E6" w:rsidRPr="006040F3" w:rsidRDefault="009103E6" w:rsidP="00D86A11">
      <w:pPr>
        <w:spacing w:after="0"/>
        <w:rPr>
          <w:vanish/>
        </w:rPr>
      </w:pPr>
    </w:p>
    <w:tbl>
      <w:tblPr>
        <w:tblpPr w:leftFromText="180" w:rightFromText="180" w:vertAnchor="text" w:horzAnchor="margin" w:tblpXSpec="right" w:tblpY="2338"/>
        <w:tblW w:w="6768" w:type="dxa"/>
        <w:tblBorders>
          <w:top w:val="single" w:sz="18" w:space="0" w:color="F6872B"/>
          <w:bottom w:val="single" w:sz="18" w:space="0" w:color="F6872B"/>
        </w:tblBorders>
        <w:tblLook w:val="04A0" w:firstRow="1" w:lastRow="0" w:firstColumn="1" w:lastColumn="0" w:noHBand="0" w:noVBand="1"/>
      </w:tblPr>
      <w:tblGrid>
        <w:gridCol w:w="3708"/>
        <w:gridCol w:w="1350"/>
        <w:gridCol w:w="1710"/>
      </w:tblGrid>
      <w:tr w:rsidR="00D86A11">
        <w:trPr>
          <w:trHeight w:val="324"/>
        </w:trPr>
        <w:tc>
          <w:tcPr>
            <w:tcW w:w="6768" w:type="dxa"/>
            <w:gridSpan w:val="3"/>
            <w:shd w:val="clear" w:color="auto" w:fill="013161"/>
            <w:vAlign w:val="center"/>
          </w:tcPr>
          <w:p w:rsidR="00D86A11" w:rsidRPr="00721EF1" w:rsidRDefault="00D86A11" w:rsidP="00D86A11">
            <w:pPr>
              <w:spacing w:after="0" w:line="240" w:lineRule="auto"/>
              <w:jc w:val="center"/>
              <w:rPr>
                <w:rFonts w:ascii="Calibri" w:hAnsi="Calibri"/>
                <w:b/>
                <w:color w:val="FFFFFF"/>
                <w:szCs w:val="22"/>
              </w:rPr>
            </w:pPr>
            <w:r w:rsidRPr="00FD21E7">
              <w:rPr>
                <w:rFonts w:ascii="Calibri" w:eastAsia="Calibri" w:hAnsi="Calibri" w:cs="Arial"/>
                <w:b/>
                <w:bCs/>
                <w:color w:val="FFFFFF"/>
                <w:sz w:val="24"/>
                <w:szCs w:val="22"/>
              </w:rPr>
              <w:lastRenderedPageBreak/>
              <w:t>Exhibit 8. Disparities between</w:t>
            </w:r>
            <w:r>
              <w:rPr>
                <w:rFonts w:ascii="Calibri" w:eastAsia="Calibri" w:hAnsi="Calibri" w:cs="Arial"/>
                <w:b/>
                <w:bCs/>
                <w:color w:val="FFFFFF"/>
                <w:sz w:val="24"/>
                <w:szCs w:val="22"/>
              </w:rPr>
              <w:t xml:space="preserve"> County of </w:t>
            </w:r>
            <w:r w:rsidRPr="00FD21E7">
              <w:rPr>
                <w:rFonts w:ascii="Calibri" w:eastAsia="Calibri" w:hAnsi="Calibri" w:cs="Arial"/>
                <w:b/>
                <w:bCs/>
                <w:color w:val="FFFFFF"/>
                <w:sz w:val="24"/>
                <w:szCs w:val="22"/>
              </w:rPr>
              <w:t xml:space="preserve"> San Diego Populations</w:t>
            </w:r>
          </w:p>
        </w:tc>
      </w:tr>
      <w:tr w:rsidR="00D86A11">
        <w:trPr>
          <w:trHeight w:val="464"/>
        </w:trPr>
        <w:tc>
          <w:tcPr>
            <w:tcW w:w="3708" w:type="dxa"/>
            <w:shd w:val="clear" w:color="auto" w:fill="013161"/>
          </w:tcPr>
          <w:p w:rsidR="00D86A11" w:rsidRPr="00721EF1" w:rsidRDefault="00D86A11" w:rsidP="00D86A11">
            <w:pPr>
              <w:rPr>
                <w:rFonts w:ascii="Calibri" w:hAnsi="Calibri"/>
                <w:b/>
                <w:color w:val="FFFFFF"/>
                <w:szCs w:val="22"/>
              </w:rPr>
            </w:pPr>
          </w:p>
        </w:tc>
        <w:tc>
          <w:tcPr>
            <w:tcW w:w="1350" w:type="dxa"/>
            <w:shd w:val="clear" w:color="auto" w:fill="013161"/>
            <w:vAlign w:val="center"/>
          </w:tcPr>
          <w:p w:rsidR="00D86A11" w:rsidRPr="00721EF1" w:rsidRDefault="00D86A11" w:rsidP="00D86A11">
            <w:pPr>
              <w:jc w:val="center"/>
              <w:rPr>
                <w:rFonts w:ascii="Calibri" w:hAnsi="Calibri"/>
                <w:b/>
                <w:color w:val="FFFFFF"/>
                <w:szCs w:val="22"/>
              </w:rPr>
            </w:pPr>
            <w:r w:rsidRPr="00721EF1">
              <w:rPr>
                <w:rFonts w:ascii="Calibri" w:hAnsi="Calibri"/>
                <w:b/>
                <w:color w:val="FFFFFF"/>
                <w:szCs w:val="22"/>
              </w:rPr>
              <w:t>Low Income</w:t>
            </w:r>
          </w:p>
        </w:tc>
        <w:tc>
          <w:tcPr>
            <w:tcW w:w="1710" w:type="dxa"/>
            <w:shd w:val="clear" w:color="auto" w:fill="013161"/>
            <w:vAlign w:val="center"/>
          </w:tcPr>
          <w:p w:rsidR="00D86A11" w:rsidRPr="00721EF1" w:rsidRDefault="00D86A11" w:rsidP="00D86A11">
            <w:pPr>
              <w:jc w:val="center"/>
              <w:rPr>
                <w:rFonts w:ascii="Calibri" w:hAnsi="Calibri"/>
                <w:b/>
                <w:color w:val="FFFFFF"/>
                <w:szCs w:val="22"/>
              </w:rPr>
            </w:pPr>
            <w:r w:rsidRPr="00721EF1">
              <w:rPr>
                <w:rFonts w:ascii="Calibri" w:hAnsi="Calibri"/>
                <w:b/>
                <w:color w:val="FFFFFF"/>
                <w:szCs w:val="22"/>
              </w:rPr>
              <w:t>Lowest Income</w:t>
            </w:r>
          </w:p>
        </w:tc>
      </w:tr>
      <w:tr w:rsidR="00D86A11">
        <w:trPr>
          <w:trHeight w:val="306"/>
        </w:trPr>
        <w:tc>
          <w:tcPr>
            <w:tcW w:w="3708" w:type="dxa"/>
            <w:shd w:val="clear" w:color="auto" w:fill="auto"/>
            <w:vAlign w:val="center"/>
          </w:tcPr>
          <w:p w:rsidR="00D86A11" w:rsidRPr="00793FC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793FCF">
              <w:rPr>
                <w:rFonts w:ascii="Calibri" w:eastAsia="Calibri" w:hAnsi="Calibri" w:cs="Arial"/>
                <w:b/>
                <w:bCs/>
                <w:color w:val="013161"/>
                <w:sz w:val="20"/>
                <w:szCs w:val="22"/>
              </w:rPr>
              <w:t>Unemployed</w:t>
            </w:r>
          </w:p>
        </w:tc>
        <w:tc>
          <w:tcPr>
            <w:tcW w:w="1350" w:type="dxa"/>
            <w:shd w:val="clear" w:color="auto" w:fill="auto"/>
            <w:vAlign w:val="center"/>
          </w:tcPr>
          <w:p w:rsidR="00D86A11" w:rsidRPr="00793FC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793FCF">
              <w:rPr>
                <w:rFonts w:ascii="Calibri" w:eastAsia="Calibri" w:hAnsi="Calibri" w:cs="Arial"/>
                <w:b/>
                <w:color w:val="013161"/>
                <w:sz w:val="20"/>
                <w:szCs w:val="22"/>
              </w:rPr>
              <w:t>10%</w:t>
            </w:r>
          </w:p>
        </w:tc>
        <w:tc>
          <w:tcPr>
            <w:tcW w:w="1710" w:type="dxa"/>
            <w:shd w:val="clear" w:color="auto" w:fill="auto"/>
            <w:vAlign w:val="center"/>
          </w:tcPr>
          <w:p w:rsidR="00D86A11" w:rsidRPr="00793FC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793FCF">
              <w:rPr>
                <w:rFonts w:ascii="Calibri" w:eastAsia="Calibri" w:hAnsi="Calibri" w:cs="Arial"/>
                <w:b/>
                <w:color w:val="013161"/>
                <w:sz w:val="20"/>
                <w:szCs w:val="22"/>
              </w:rPr>
              <w:t>11%</w:t>
            </w:r>
          </w:p>
        </w:tc>
      </w:tr>
      <w:tr w:rsidR="00D86A11">
        <w:trPr>
          <w:trHeight w:val="252"/>
        </w:trPr>
        <w:tc>
          <w:tcPr>
            <w:tcW w:w="3708" w:type="dxa"/>
            <w:shd w:val="clear" w:color="auto" w:fill="DBE5F1"/>
            <w:vAlign w:val="center"/>
          </w:tcPr>
          <w:p w:rsidR="00D86A11" w:rsidRPr="00793FC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793FCF">
              <w:rPr>
                <w:rFonts w:ascii="Calibri" w:eastAsia="Calibri" w:hAnsi="Calibri" w:cs="Arial"/>
                <w:b/>
                <w:bCs/>
                <w:color w:val="013161"/>
                <w:sz w:val="20"/>
                <w:szCs w:val="22"/>
              </w:rPr>
              <w:t>Minority</w:t>
            </w:r>
          </w:p>
        </w:tc>
        <w:tc>
          <w:tcPr>
            <w:tcW w:w="1350" w:type="dxa"/>
            <w:shd w:val="clear" w:color="auto" w:fill="DBE5F1"/>
            <w:vAlign w:val="center"/>
          </w:tcPr>
          <w:p w:rsidR="00D86A11" w:rsidRPr="00793FC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793FCF">
              <w:rPr>
                <w:rFonts w:ascii="Calibri" w:eastAsia="Calibri" w:hAnsi="Calibri" w:cs="Arial"/>
                <w:b/>
                <w:color w:val="013161"/>
                <w:sz w:val="20"/>
                <w:szCs w:val="22"/>
              </w:rPr>
              <w:t>62%</w:t>
            </w:r>
          </w:p>
        </w:tc>
        <w:tc>
          <w:tcPr>
            <w:tcW w:w="1710" w:type="dxa"/>
            <w:shd w:val="clear" w:color="auto" w:fill="DBE5F1"/>
            <w:vAlign w:val="center"/>
          </w:tcPr>
          <w:p w:rsidR="00D86A11" w:rsidRPr="00793FC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793FCF">
              <w:rPr>
                <w:rFonts w:ascii="Calibri" w:eastAsia="Calibri" w:hAnsi="Calibri" w:cs="Arial"/>
                <w:b/>
                <w:color w:val="013161"/>
                <w:sz w:val="20"/>
                <w:szCs w:val="22"/>
              </w:rPr>
              <w:t>78%</w:t>
            </w:r>
          </w:p>
        </w:tc>
      </w:tr>
      <w:tr w:rsidR="00D86A11">
        <w:trPr>
          <w:trHeight w:val="270"/>
        </w:trPr>
        <w:tc>
          <w:tcPr>
            <w:tcW w:w="3708" w:type="dxa"/>
            <w:shd w:val="clear" w:color="auto" w:fill="auto"/>
            <w:vAlign w:val="center"/>
          </w:tcPr>
          <w:p w:rsidR="00D86A11" w:rsidRPr="00793FC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793FCF">
              <w:rPr>
                <w:rFonts w:ascii="Calibri" w:eastAsia="Calibri" w:hAnsi="Calibri" w:cs="Arial"/>
                <w:b/>
                <w:bCs/>
                <w:color w:val="013161"/>
                <w:sz w:val="20"/>
                <w:szCs w:val="22"/>
              </w:rPr>
              <w:t>Less than high school diploma</w:t>
            </w:r>
          </w:p>
        </w:tc>
        <w:tc>
          <w:tcPr>
            <w:tcW w:w="1350" w:type="dxa"/>
            <w:shd w:val="clear" w:color="auto" w:fill="auto"/>
            <w:vAlign w:val="center"/>
          </w:tcPr>
          <w:p w:rsidR="00D86A11" w:rsidRPr="00793FC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793FCF">
              <w:rPr>
                <w:rFonts w:ascii="Calibri" w:eastAsia="Calibri" w:hAnsi="Calibri" w:cs="Arial"/>
                <w:b/>
                <w:color w:val="013161"/>
                <w:sz w:val="20"/>
                <w:szCs w:val="22"/>
              </w:rPr>
              <w:t>22%</w:t>
            </w:r>
          </w:p>
        </w:tc>
        <w:tc>
          <w:tcPr>
            <w:tcW w:w="1710" w:type="dxa"/>
            <w:shd w:val="clear" w:color="auto" w:fill="auto"/>
            <w:vAlign w:val="center"/>
          </w:tcPr>
          <w:p w:rsidR="00D86A11" w:rsidRPr="00793FC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793FCF">
              <w:rPr>
                <w:rFonts w:ascii="Calibri" w:eastAsia="Calibri" w:hAnsi="Calibri" w:cs="Arial"/>
                <w:b/>
                <w:color w:val="013161"/>
                <w:sz w:val="20"/>
                <w:szCs w:val="22"/>
              </w:rPr>
              <w:t>28%</w:t>
            </w:r>
          </w:p>
        </w:tc>
      </w:tr>
      <w:tr w:rsidR="00D86A11">
        <w:trPr>
          <w:trHeight w:val="279"/>
        </w:trPr>
        <w:tc>
          <w:tcPr>
            <w:tcW w:w="3708" w:type="dxa"/>
            <w:shd w:val="clear" w:color="auto" w:fill="DBE5F1"/>
            <w:vAlign w:val="center"/>
          </w:tcPr>
          <w:p w:rsidR="00D86A11" w:rsidRPr="00793FC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793FCF">
              <w:rPr>
                <w:rFonts w:ascii="Calibri" w:eastAsia="Calibri" w:hAnsi="Calibri" w:cs="Arial"/>
                <w:b/>
                <w:bCs/>
                <w:color w:val="013161"/>
                <w:sz w:val="20"/>
                <w:szCs w:val="22"/>
              </w:rPr>
              <w:t>Rent their homes</w:t>
            </w:r>
          </w:p>
        </w:tc>
        <w:tc>
          <w:tcPr>
            <w:tcW w:w="1350" w:type="dxa"/>
            <w:shd w:val="clear" w:color="auto" w:fill="DBE5F1"/>
            <w:vAlign w:val="center"/>
          </w:tcPr>
          <w:p w:rsidR="00D86A11" w:rsidRPr="00793FC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793FCF">
              <w:rPr>
                <w:rFonts w:ascii="Calibri" w:eastAsia="Calibri" w:hAnsi="Calibri" w:cs="Arial"/>
                <w:b/>
                <w:color w:val="013161"/>
                <w:sz w:val="20"/>
                <w:szCs w:val="22"/>
              </w:rPr>
              <w:t>54%</w:t>
            </w:r>
          </w:p>
        </w:tc>
        <w:tc>
          <w:tcPr>
            <w:tcW w:w="1710" w:type="dxa"/>
            <w:shd w:val="clear" w:color="auto" w:fill="DBE5F1"/>
            <w:vAlign w:val="center"/>
          </w:tcPr>
          <w:p w:rsidR="00D86A11" w:rsidRPr="00793FC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793FCF">
              <w:rPr>
                <w:rFonts w:ascii="Calibri" w:eastAsia="Calibri" w:hAnsi="Calibri" w:cs="Arial"/>
                <w:b/>
                <w:color w:val="013161"/>
                <w:sz w:val="20"/>
                <w:szCs w:val="22"/>
              </w:rPr>
              <w:t>61%</w:t>
            </w:r>
          </w:p>
        </w:tc>
      </w:tr>
      <w:tr w:rsidR="00D86A11">
        <w:trPr>
          <w:trHeight w:val="360"/>
        </w:trPr>
        <w:tc>
          <w:tcPr>
            <w:tcW w:w="3708" w:type="dxa"/>
            <w:shd w:val="clear" w:color="auto" w:fill="auto"/>
            <w:vAlign w:val="center"/>
          </w:tcPr>
          <w:p w:rsidR="00D86A11" w:rsidRPr="00793FC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793FCF">
              <w:rPr>
                <w:rFonts w:ascii="Calibri" w:eastAsia="Calibri" w:hAnsi="Calibri" w:cs="Arial"/>
                <w:b/>
                <w:bCs/>
                <w:color w:val="013161"/>
                <w:sz w:val="20"/>
                <w:szCs w:val="22"/>
              </w:rPr>
              <w:t>Spent less than 30% of income on housing</w:t>
            </w:r>
          </w:p>
        </w:tc>
        <w:tc>
          <w:tcPr>
            <w:tcW w:w="1350" w:type="dxa"/>
            <w:shd w:val="clear" w:color="auto" w:fill="auto"/>
            <w:vAlign w:val="center"/>
          </w:tcPr>
          <w:p w:rsidR="00D86A11" w:rsidRPr="00793FC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793FCF">
              <w:rPr>
                <w:rFonts w:ascii="Calibri" w:eastAsia="Calibri" w:hAnsi="Calibri" w:cs="Arial"/>
                <w:b/>
                <w:color w:val="013161"/>
                <w:sz w:val="20"/>
                <w:szCs w:val="22"/>
              </w:rPr>
              <w:t>47%</w:t>
            </w:r>
          </w:p>
        </w:tc>
        <w:tc>
          <w:tcPr>
            <w:tcW w:w="1710" w:type="dxa"/>
            <w:shd w:val="clear" w:color="auto" w:fill="auto"/>
            <w:vAlign w:val="center"/>
          </w:tcPr>
          <w:p w:rsidR="00D86A11" w:rsidRPr="00793FC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793FCF">
              <w:rPr>
                <w:rFonts w:ascii="Calibri" w:eastAsia="Calibri" w:hAnsi="Calibri" w:cs="Arial"/>
                <w:b/>
                <w:color w:val="013161"/>
                <w:sz w:val="20"/>
                <w:szCs w:val="22"/>
              </w:rPr>
              <w:t>50%</w:t>
            </w:r>
          </w:p>
        </w:tc>
      </w:tr>
    </w:tbl>
    <w:p w:rsidR="00D86A11" w:rsidRDefault="00D86A11" w:rsidP="00D86A11">
      <w:pPr>
        <w:pStyle w:val="Heading1"/>
        <w:spacing w:line="276" w:lineRule="auto"/>
        <w:rPr>
          <w:b w:val="0"/>
          <w:color w:val="auto"/>
          <w:sz w:val="22"/>
        </w:rPr>
      </w:pPr>
      <w:r w:rsidRPr="00C35B61">
        <w:rPr>
          <w:b w:val="0"/>
          <w:color w:val="auto"/>
          <w:sz w:val="22"/>
        </w:rPr>
        <w:t>In 2016, the County of San Diego, Health and Human Services Agency published a report, “</w:t>
      </w:r>
      <w:r w:rsidRPr="00980F01">
        <w:rPr>
          <w:b w:val="0"/>
          <w:i/>
          <w:color w:val="auto"/>
          <w:sz w:val="22"/>
        </w:rPr>
        <w:t>Identifying Health Disparities to Achieve Health Equity in San Diego County: Socioeconomic Status</w:t>
      </w:r>
      <w:r w:rsidRPr="00C35B61">
        <w:rPr>
          <w:b w:val="0"/>
          <w:color w:val="auto"/>
          <w:sz w:val="22"/>
        </w:rPr>
        <w:t>,” that analyzes the health disparities among communities of varying income levels. Based on 2011 median household income, the 41 Subregional Areas (SRAs) of the county were divided into six socioeconomic groups– lowest, low, moderately low, moderately high, high, and highest incomes. The lowe</w:t>
      </w:r>
      <w:r w:rsidR="00121985" w:rsidRPr="00121985">
        <w:rPr>
          <w:b w:val="0"/>
          <w:color w:val="auto"/>
          <w:sz w:val="22"/>
        </w:rPr>
        <w:t xml:space="preserve">st income communities included: Anza-Borrego Springs, Chula Vista, Mid City, and National City. In 2011, the population of these communities was approximately 342,000, making up 11% of the County’s total population. </w:t>
      </w:r>
    </w:p>
    <w:p w:rsidR="00F70F72" w:rsidRDefault="00121985" w:rsidP="00D86A11">
      <w:pPr>
        <w:pStyle w:val="Heading1"/>
        <w:spacing w:line="276" w:lineRule="auto"/>
        <w:rPr>
          <w:b w:val="0"/>
          <w:color w:val="auto"/>
          <w:sz w:val="22"/>
        </w:rPr>
      </w:pPr>
      <w:r w:rsidRPr="00121985">
        <w:rPr>
          <w:b w:val="0"/>
          <w:color w:val="auto"/>
          <w:sz w:val="22"/>
        </w:rPr>
        <w:t xml:space="preserve">The median household income of residents within the lowest income communities was $45,316 per year. </w:t>
      </w:r>
    </w:p>
    <w:p w:rsidR="00D86A11" w:rsidRDefault="00121985" w:rsidP="00D86A11">
      <w:pPr>
        <w:pStyle w:val="Heading1"/>
        <w:spacing w:line="276" w:lineRule="auto"/>
        <w:rPr>
          <w:b w:val="0"/>
          <w:color w:val="auto"/>
          <w:sz w:val="22"/>
        </w:rPr>
      </w:pPr>
      <w:r w:rsidRPr="00121985">
        <w:rPr>
          <w:b w:val="0"/>
          <w:color w:val="auto"/>
          <w:sz w:val="22"/>
        </w:rPr>
        <w:t>The communities in the low income status category included: Central San Diego, Southeastern San Diego, South Bay, Lemon Grove, La Mesa, El Cajon, Vista, Palomar-Julian, and Mountain Empire. In 2011, the population of these communities was about 873,000, making up 28% of the County’s total population. The median household income of residents within the low income communities was $56,199 per year. Both urban and rural communities were included among the low income and lowest income groups.  Exhibits 8 and 9 demonstrate how the lowest and low income groups in the County of San Diego are disproportionately affected by chronic disease, communicable disease, poor maternal and child health outcomes, injury, and behavioral health outcomes.</w:t>
      </w:r>
      <w:r>
        <w:rPr>
          <w:rStyle w:val="EndnoteReference"/>
          <w:b w:val="0"/>
          <w:color w:val="auto"/>
          <w:sz w:val="22"/>
        </w:rPr>
        <w:endnoteReference w:id="8"/>
      </w:r>
      <w:r w:rsidR="00F1013C" w:rsidRPr="00F1013C">
        <w:rPr>
          <w:b w:val="0"/>
          <w:color w:val="auto"/>
          <w:sz w:val="22"/>
        </w:rPr>
        <w:t xml:space="preserve"> </w:t>
      </w:r>
    </w:p>
    <w:p w:rsidR="00D86A11" w:rsidRPr="00884DCC" w:rsidRDefault="00D86A11" w:rsidP="00D86A11">
      <w:pPr>
        <w:rPr>
          <w:sz w:val="18"/>
        </w:rPr>
      </w:pPr>
    </w:p>
    <w:p w:rsidR="009103E6" w:rsidRDefault="009103E6">
      <w:pPr>
        <w:pStyle w:val="ColorfulList-Accent11"/>
        <w:ind w:left="0"/>
        <w:rPr>
          <w:rFonts w:ascii="Calibri" w:hAnsi="Calibri"/>
          <w:b/>
          <w:color w:val="17365D"/>
          <w:spacing w:val="20"/>
          <w:sz w:val="24"/>
          <w:szCs w:val="22"/>
        </w:rPr>
      </w:pPr>
    </w:p>
    <w:p w:rsidR="009103E6" w:rsidRDefault="009103E6">
      <w:pPr>
        <w:pStyle w:val="ColorfulList-Accent11"/>
        <w:ind w:left="0"/>
        <w:rPr>
          <w:rFonts w:ascii="Calibri" w:hAnsi="Calibri"/>
          <w:b/>
          <w:color w:val="17365D"/>
          <w:spacing w:val="20"/>
          <w:sz w:val="24"/>
          <w:szCs w:val="22"/>
        </w:rPr>
      </w:pPr>
    </w:p>
    <w:p w:rsidR="009103E6" w:rsidRDefault="009103E6">
      <w:pPr>
        <w:pStyle w:val="ColorfulList-Accent11"/>
        <w:ind w:left="0"/>
        <w:rPr>
          <w:rFonts w:ascii="Calibri" w:hAnsi="Calibri"/>
          <w:b/>
          <w:color w:val="17365D"/>
          <w:spacing w:val="20"/>
          <w:sz w:val="24"/>
          <w:szCs w:val="22"/>
        </w:rPr>
      </w:pPr>
    </w:p>
    <w:p w:rsidR="009103E6" w:rsidRDefault="009103E6">
      <w:pPr>
        <w:pStyle w:val="ColorfulList-Accent11"/>
        <w:ind w:left="0"/>
        <w:rPr>
          <w:rFonts w:ascii="Calibri" w:hAnsi="Calibri"/>
          <w:b/>
          <w:color w:val="17365D"/>
          <w:spacing w:val="20"/>
          <w:sz w:val="24"/>
          <w:szCs w:val="22"/>
        </w:rPr>
      </w:pPr>
    </w:p>
    <w:p w:rsidR="009103E6" w:rsidRDefault="009103E6">
      <w:pPr>
        <w:pStyle w:val="ColorfulList-Accent11"/>
        <w:ind w:left="0"/>
        <w:rPr>
          <w:rFonts w:ascii="Calibri" w:hAnsi="Calibri"/>
          <w:b/>
          <w:color w:val="17365D"/>
          <w:spacing w:val="20"/>
          <w:sz w:val="24"/>
          <w:szCs w:val="22"/>
        </w:rPr>
      </w:pPr>
    </w:p>
    <w:p w:rsidR="009103E6" w:rsidRDefault="009103E6">
      <w:pPr>
        <w:pStyle w:val="ColorfulList-Accent11"/>
        <w:ind w:left="0"/>
        <w:rPr>
          <w:rFonts w:ascii="Calibri" w:hAnsi="Calibri"/>
          <w:b/>
          <w:color w:val="17365D"/>
          <w:spacing w:val="20"/>
          <w:sz w:val="24"/>
          <w:szCs w:val="22"/>
        </w:rPr>
      </w:pPr>
    </w:p>
    <w:p w:rsidR="009103E6" w:rsidRDefault="009103E6">
      <w:pPr>
        <w:pStyle w:val="ColorfulList-Accent11"/>
        <w:ind w:left="0"/>
        <w:rPr>
          <w:rFonts w:ascii="Calibri" w:hAnsi="Calibri"/>
          <w:b/>
          <w:color w:val="17365D"/>
          <w:spacing w:val="20"/>
          <w:sz w:val="24"/>
          <w:szCs w:val="22"/>
        </w:rPr>
      </w:pPr>
    </w:p>
    <w:p w:rsidR="009103E6" w:rsidRDefault="009103E6">
      <w:pPr>
        <w:pStyle w:val="ColorfulList-Accent11"/>
        <w:ind w:left="0"/>
        <w:rPr>
          <w:rFonts w:ascii="Calibri" w:hAnsi="Calibri"/>
          <w:b/>
          <w:color w:val="17365D"/>
          <w:spacing w:val="20"/>
          <w:sz w:val="24"/>
          <w:szCs w:val="22"/>
        </w:rPr>
      </w:pPr>
    </w:p>
    <w:p w:rsidR="009103E6" w:rsidRDefault="009103E6">
      <w:pPr>
        <w:pStyle w:val="ColorfulList-Accent11"/>
        <w:ind w:left="0"/>
        <w:rPr>
          <w:rFonts w:ascii="Calibri" w:hAnsi="Calibri"/>
          <w:b/>
          <w:color w:val="17365D"/>
          <w:spacing w:val="20"/>
          <w:sz w:val="24"/>
          <w:szCs w:val="22"/>
        </w:rPr>
      </w:pPr>
    </w:p>
    <w:p w:rsidR="009103E6" w:rsidRDefault="009103E6">
      <w:pPr>
        <w:pStyle w:val="ColorfulList-Accent11"/>
        <w:ind w:left="0"/>
        <w:rPr>
          <w:rFonts w:ascii="Calibri" w:hAnsi="Calibri"/>
          <w:b/>
          <w:color w:val="17365D"/>
          <w:spacing w:val="20"/>
          <w:sz w:val="24"/>
          <w:szCs w:val="22"/>
        </w:rPr>
      </w:pPr>
    </w:p>
    <w:p w:rsidR="009103E6" w:rsidRDefault="009103E6">
      <w:pPr>
        <w:pStyle w:val="ColorfulList-Accent11"/>
        <w:ind w:left="0"/>
        <w:rPr>
          <w:rFonts w:ascii="Calibri" w:hAnsi="Calibri"/>
          <w:b/>
          <w:color w:val="17365D"/>
          <w:spacing w:val="20"/>
          <w:sz w:val="24"/>
          <w:szCs w:val="22"/>
        </w:rPr>
      </w:pPr>
    </w:p>
    <w:p w:rsidR="009103E6" w:rsidRDefault="009103E6">
      <w:pPr>
        <w:pStyle w:val="ColorfulList-Accent11"/>
        <w:ind w:left="0"/>
        <w:rPr>
          <w:rFonts w:ascii="Calibri" w:hAnsi="Calibri"/>
          <w:b/>
          <w:color w:val="17365D"/>
          <w:spacing w:val="20"/>
          <w:sz w:val="24"/>
          <w:szCs w:val="22"/>
        </w:rPr>
      </w:pPr>
    </w:p>
    <w:p w:rsidR="009103E6" w:rsidRDefault="009103E6">
      <w:pPr>
        <w:pStyle w:val="ColorfulList-Accent11"/>
        <w:ind w:left="0"/>
        <w:rPr>
          <w:rFonts w:ascii="Calibri" w:hAnsi="Calibri"/>
          <w:b/>
          <w:color w:val="17365D"/>
          <w:spacing w:val="20"/>
          <w:sz w:val="24"/>
          <w:szCs w:val="22"/>
        </w:rPr>
      </w:pPr>
    </w:p>
    <w:p w:rsidR="000B1863" w:rsidRDefault="00D86A11">
      <w:pPr>
        <w:pStyle w:val="ColorfulList-Accent11"/>
        <w:ind w:left="0"/>
        <w:rPr>
          <w:rFonts w:ascii="Calibri" w:hAnsi="Calibri"/>
          <w:b/>
          <w:color w:val="17365D"/>
          <w:spacing w:val="20"/>
          <w:sz w:val="24"/>
          <w:szCs w:val="22"/>
        </w:rPr>
      </w:pPr>
      <w:r w:rsidRPr="006040F3">
        <w:rPr>
          <w:rFonts w:ascii="Calibri" w:hAnsi="Calibri"/>
          <w:b/>
          <w:color w:val="17365D"/>
          <w:spacing w:val="20"/>
          <w:sz w:val="24"/>
          <w:szCs w:val="22"/>
        </w:rPr>
        <w:lastRenderedPageBreak/>
        <w:t>Exhibit 9. Disparities in Health Outcomes</w:t>
      </w:r>
      <w:r w:rsidRPr="006040F3">
        <w:rPr>
          <w:rStyle w:val="FootnoteReference"/>
          <w:rFonts w:ascii="Calibri" w:hAnsi="Calibri"/>
          <w:b/>
          <w:color w:val="17365D"/>
          <w:spacing w:val="20"/>
          <w:sz w:val="24"/>
          <w:szCs w:val="22"/>
        </w:rPr>
        <w:footnoteReference w:id="1"/>
      </w:r>
    </w:p>
    <w:p w:rsidR="000B1863" w:rsidRDefault="000B1863">
      <w:pPr>
        <w:pStyle w:val="ColorfulList-Accent11"/>
        <w:ind w:left="0"/>
        <w:rPr>
          <w:rFonts w:ascii="Calibri" w:hAnsi="Calibri"/>
          <w:b/>
          <w:color w:val="17365D"/>
          <w:spacing w:val="20"/>
          <w:sz w:val="14"/>
          <w:szCs w:val="22"/>
        </w:rPr>
      </w:pPr>
    </w:p>
    <w:p w:rsidR="00D86A11" w:rsidRDefault="00D86A11" w:rsidP="00D86A11">
      <w:pPr>
        <w:pStyle w:val="ColorfulList-Accent11"/>
        <w:ind w:left="0"/>
        <w:rPr>
          <w:rFonts w:ascii="Franklin Gothic Book" w:hAnsi="Franklin Gothic Book"/>
          <w:spacing w:val="20"/>
          <w:sz w:val="22"/>
          <w:szCs w:val="22"/>
        </w:rPr>
      </w:pPr>
    </w:p>
    <w:p w:rsidR="000B1863" w:rsidRDefault="00C17026">
      <w:pPr>
        <w:pStyle w:val="ColorfulList-Accent11"/>
        <w:ind w:left="0"/>
        <w:rPr>
          <w:rFonts w:ascii="Franklin Gothic Book" w:hAnsi="Franklin Gothic Book"/>
          <w:spacing w:val="20"/>
        </w:rPr>
      </w:pPr>
      <w:r>
        <w:rPr>
          <w:noProof/>
          <w:color w:val="1F497D"/>
        </w:rPr>
        <w:drawing>
          <wp:inline distT="0" distB="0" distL="0" distR="0">
            <wp:extent cx="5105400" cy="2414905"/>
            <wp:effectExtent l="0" t="0" r="0" b="444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t="3586" r="1642" b="5557"/>
                    <a:stretch>
                      <a:fillRect/>
                    </a:stretch>
                  </pic:blipFill>
                  <pic:spPr bwMode="auto">
                    <a:xfrm>
                      <a:off x="0" y="0"/>
                      <a:ext cx="5105400" cy="2414905"/>
                    </a:xfrm>
                    <a:prstGeom prst="rect">
                      <a:avLst/>
                    </a:prstGeom>
                    <a:noFill/>
                    <a:ln>
                      <a:noFill/>
                    </a:ln>
                  </pic:spPr>
                </pic:pic>
              </a:graphicData>
            </a:graphic>
          </wp:inline>
        </w:drawing>
      </w:r>
    </w:p>
    <w:p w:rsidR="00D86A11" w:rsidRDefault="00D86A11" w:rsidP="00D86A11">
      <w:pPr>
        <w:pStyle w:val="Heading2"/>
        <w:rPr>
          <w:rStyle w:val="Heading1Char"/>
          <w:b/>
          <w:color w:val="F6872B"/>
          <w:sz w:val="24"/>
        </w:rPr>
      </w:pPr>
    </w:p>
    <w:p w:rsidR="00D86A11" w:rsidRPr="007D69E4" w:rsidRDefault="00D86A11" w:rsidP="00D86A11">
      <w:pPr>
        <w:pStyle w:val="Heading2"/>
        <w:rPr>
          <w:rStyle w:val="Heading1Char"/>
          <w:b/>
          <w:color w:val="FF0000"/>
          <w:sz w:val="24"/>
        </w:rPr>
      </w:pPr>
      <w:r w:rsidRPr="000351FA">
        <w:rPr>
          <w:rStyle w:val="Heading1Char"/>
          <w:b/>
          <w:color w:val="F6872B"/>
          <w:sz w:val="24"/>
          <w:szCs w:val="28"/>
        </w:rPr>
        <w:t>Average Housing Costs</w:t>
      </w:r>
      <w:r>
        <w:rPr>
          <w:rStyle w:val="Heading1Char"/>
          <w:b/>
          <w:color w:val="F6872B"/>
          <w:sz w:val="24"/>
        </w:rPr>
        <w:t xml:space="preserve"> </w:t>
      </w:r>
    </w:p>
    <w:p w:rsidR="00D86A11" w:rsidRDefault="00763E81" w:rsidP="00D86A11">
      <w:pPr>
        <w:pStyle w:val="Heading2"/>
        <w:spacing w:after="0" w:line="276" w:lineRule="auto"/>
        <w:rPr>
          <w:b w:val="0"/>
          <w:color w:val="auto"/>
          <w:sz w:val="22"/>
        </w:rPr>
      </w:pPr>
      <w:r>
        <w:rPr>
          <w:b w:val="0"/>
          <w:noProof/>
          <w:color w:val="auto"/>
          <w:sz w:val="22"/>
        </w:rPr>
        <mc:AlternateContent>
          <mc:Choice Requires="wps">
            <w:drawing>
              <wp:anchor distT="91440" distB="91440" distL="182880" distR="182880" simplePos="0" relativeHeight="251652096" behindDoc="1" locked="0" layoutInCell="0" allowOverlap="1">
                <wp:simplePos x="0" y="0"/>
                <wp:positionH relativeFrom="margin">
                  <wp:posOffset>2667000</wp:posOffset>
                </wp:positionH>
                <wp:positionV relativeFrom="margin">
                  <wp:posOffset>5681980</wp:posOffset>
                </wp:positionV>
                <wp:extent cx="3345180" cy="1272540"/>
                <wp:effectExtent l="0" t="0" r="0" b="0"/>
                <wp:wrapSquare wrapText="bothSides"/>
                <wp:docPr id="3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5180" cy="1272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103E6" w:rsidRPr="00C2217E" w:rsidRDefault="009103E6" w:rsidP="00D86A11">
                            <w:pPr>
                              <w:pBdr>
                                <w:top w:val="single" w:sz="4" w:space="1" w:color="A7BFDE"/>
                                <w:bottom w:val="single" w:sz="4" w:space="10" w:color="A7BFDE"/>
                              </w:pBdr>
                              <w:spacing w:after="0"/>
                              <w:jc w:val="center"/>
                              <w:rPr>
                                <w:b/>
                                <w:i/>
                                <w:iCs/>
                                <w:color w:val="2E7029"/>
                                <w:sz w:val="16"/>
                                <w:szCs w:val="28"/>
                              </w:rPr>
                            </w:pPr>
                          </w:p>
                          <w:p w:rsidR="009103E6" w:rsidRDefault="009103E6" w:rsidP="00D86A11">
                            <w:pPr>
                              <w:pBdr>
                                <w:top w:val="single" w:sz="4" w:space="1" w:color="A7BFDE"/>
                                <w:bottom w:val="single" w:sz="4" w:space="10" w:color="A7BFDE"/>
                              </w:pBdr>
                              <w:spacing w:after="0"/>
                              <w:jc w:val="center"/>
                              <w:rPr>
                                <w:b/>
                                <w:i/>
                                <w:iCs/>
                                <w:color w:val="2E7029"/>
                                <w:sz w:val="28"/>
                                <w:szCs w:val="28"/>
                              </w:rPr>
                            </w:pPr>
                            <w:r>
                              <w:rPr>
                                <w:b/>
                                <w:i/>
                                <w:iCs/>
                                <w:color w:val="2E7029"/>
                                <w:sz w:val="28"/>
                                <w:szCs w:val="28"/>
                              </w:rPr>
                              <w:t>“</w:t>
                            </w:r>
                            <w:r w:rsidRPr="0025348C">
                              <w:rPr>
                                <w:b/>
                                <w:i/>
                                <w:iCs/>
                                <w:color w:val="2E7029"/>
                                <w:sz w:val="28"/>
                                <w:szCs w:val="28"/>
                              </w:rPr>
                              <w:t>Housing is huge; rents are expensive and a big barrier to a lot of our families</w:t>
                            </w:r>
                            <w:r>
                              <w:rPr>
                                <w:b/>
                                <w:i/>
                                <w:iCs/>
                                <w:color w:val="2E7029"/>
                                <w:sz w:val="28"/>
                                <w:szCs w:val="28"/>
                              </w:rPr>
                              <w:t>…l</w:t>
                            </w:r>
                            <w:r w:rsidRPr="0025348C">
                              <w:rPr>
                                <w:b/>
                                <w:i/>
                                <w:iCs/>
                                <w:color w:val="2E7029"/>
                                <w:sz w:val="28"/>
                                <w:szCs w:val="28"/>
                              </w:rPr>
                              <w:t>eads to a lot of s</w:t>
                            </w:r>
                            <w:r>
                              <w:rPr>
                                <w:b/>
                                <w:i/>
                                <w:iCs/>
                                <w:color w:val="2E7029"/>
                                <w:sz w:val="28"/>
                                <w:szCs w:val="28"/>
                              </w:rPr>
                              <w:t>tress due to money”</w:t>
                            </w:r>
                          </w:p>
                          <w:p w:rsidR="009103E6" w:rsidRPr="0025348C" w:rsidRDefault="009103E6" w:rsidP="00D86A11">
                            <w:pPr>
                              <w:pBdr>
                                <w:top w:val="single" w:sz="4" w:space="1" w:color="A7BFDE"/>
                                <w:bottom w:val="single" w:sz="4" w:space="10" w:color="A7BFDE"/>
                              </w:pBdr>
                              <w:spacing w:after="0" w:line="240" w:lineRule="auto"/>
                              <w:jc w:val="center"/>
                              <w:rPr>
                                <w:b/>
                                <w:i/>
                                <w:iCs/>
                                <w:color w:val="2E7029"/>
                                <w:szCs w:val="22"/>
                              </w:rPr>
                            </w:pPr>
                            <w:r w:rsidRPr="004D2A28">
                              <w:rPr>
                                <w:b/>
                                <w:i/>
                                <w:iCs/>
                                <w:color w:val="F6872B"/>
                                <w:sz w:val="28"/>
                                <w:szCs w:val="28"/>
                              </w:rPr>
                              <w:t xml:space="preserve">- </w:t>
                            </w:r>
                            <w:r>
                              <w:rPr>
                                <w:b/>
                                <w:i/>
                                <w:iCs/>
                                <w:color w:val="F6872B"/>
                                <w:sz w:val="28"/>
                                <w:szCs w:val="28"/>
                              </w:rPr>
                              <w:t>Peer Review Interviewee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8" o:spid="_x0000_s1031" style="position:absolute;margin-left:210pt;margin-top:447.4pt;width:263.4pt;height:100.2pt;z-index:-251664384;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" o:allowincell="f" filled="f" stroked="f" strokecolor="#90b5e3" strokeweight="6pt">
                <v:textbox inset="0,0,0,0">
                  <w:txbxContent>
                    <w:p w:rsidR="009103E6" w:rsidRPr="00C2217E" w:rsidRDefault="009103E6" w:rsidP="00D86A11">
                      <w:pPr>
                        <w:pBdr>
                          <w:top w:val="single" w:sz="4" w:space="1" w:color="A7BFDE"/>
                          <w:bottom w:val="single" w:sz="4" w:space="10" w:color="A7BFDE"/>
                        </w:pBdr>
                        <w:spacing w:after="0"/>
                        <w:jc w:val="center"/>
                        <w:rPr>
                          <w:b/>
                          <w:i/>
                          <w:iCs/>
                          <w:color w:val="2E7029"/>
                          <w:sz w:val="16"/>
                          <w:szCs w:val="28"/>
                        </w:rPr>
                      </w:pPr>
                    </w:p>
                    <w:p w:rsidR="009103E6" w:rsidRDefault="009103E6" w:rsidP="00D86A11">
                      <w:pPr>
                        <w:pBdr>
                          <w:top w:val="single" w:sz="4" w:space="1" w:color="A7BFDE"/>
                          <w:bottom w:val="single" w:sz="4" w:space="10" w:color="A7BFDE"/>
                        </w:pBdr>
                        <w:spacing w:after="0"/>
                        <w:jc w:val="center"/>
                        <w:rPr>
                          <w:b/>
                          <w:i/>
                          <w:iCs/>
                          <w:color w:val="2E7029"/>
                          <w:sz w:val="28"/>
                          <w:szCs w:val="28"/>
                        </w:rPr>
                      </w:pPr>
                      <w:r>
                        <w:rPr>
                          <w:b/>
                          <w:i/>
                          <w:iCs/>
                          <w:color w:val="2E7029"/>
                          <w:sz w:val="28"/>
                          <w:szCs w:val="28"/>
                        </w:rPr>
                        <w:t>“</w:t>
                      </w:r>
                      <w:r w:rsidRPr="0025348C">
                        <w:rPr>
                          <w:b/>
                          <w:i/>
                          <w:iCs/>
                          <w:color w:val="2E7029"/>
                          <w:sz w:val="28"/>
                          <w:szCs w:val="28"/>
                        </w:rPr>
                        <w:t>Housing is huge; rents are expensive and a big barrier to a lot of our families</w:t>
                      </w:r>
                      <w:r>
                        <w:rPr>
                          <w:b/>
                          <w:i/>
                          <w:iCs/>
                          <w:color w:val="2E7029"/>
                          <w:sz w:val="28"/>
                          <w:szCs w:val="28"/>
                        </w:rPr>
                        <w:t>…l</w:t>
                      </w:r>
                      <w:r w:rsidRPr="0025348C">
                        <w:rPr>
                          <w:b/>
                          <w:i/>
                          <w:iCs/>
                          <w:color w:val="2E7029"/>
                          <w:sz w:val="28"/>
                          <w:szCs w:val="28"/>
                        </w:rPr>
                        <w:t>eads to a lot of s</w:t>
                      </w:r>
                      <w:r>
                        <w:rPr>
                          <w:b/>
                          <w:i/>
                          <w:iCs/>
                          <w:color w:val="2E7029"/>
                          <w:sz w:val="28"/>
                          <w:szCs w:val="28"/>
                        </w:rPr>
                        <w:t>tress due to money”</w:t>
                      </w:r>
                    </w:p>
                    <w:p w:rsidR="009103E6" w:rsidRPr="0025348C" w:rsidRDefault="009103E6" w:rsidP="00D86A11">
                      <w:pPr>
                        <w:pBdr>
                          <w:top w:val="single" w:sz="4" w:space="1" w:color="A7BFDE"/>
                          <w:bottom w:val="single" w:sz="4" w:space="10" w:color="A7BFDE"/>
                        </w:pBdr>
                        <w:spacing w:after="0" w:line="240" w:lineRule="auto"/>
                        <w:jc w:val="center"/>
                        <w:rPr>
                          <w:b/>
                          <w:i/>
                          <w:iCs/>
                          <w:color w:val="2E7029"/>
                          <w:szCs w:val="22"/>
                        </w:rPr>
                      </w:pPr>
                      <w:r w:rsidRPr="004D2A28">
                        <w:rPr>
                          <w:b/>
                          <w:i/>
                          <w:iCs/>
                          <w:color w:val="F6872B"/>
                          <w:sz w:val="28"/>
                          <w:szCs w:val="28"/>
                        </w:rPr>
                        <w:t xml:space="preserve">- </w:t>
                      </w:r>
                      <w:r>
                        <w:rPr>
                          <w:b/>
                          <w:i/>
                          <w:iCs/>
                          <w:color w:val="F6872B"/>
                          <w:sz w:val="28"/>
                          <w:szCs w:val="28"/>
                        </w:rPr>
                        <w:t>Peer Review Interviewee</w:t>
                      </w:r>
                    </w:p>
                  </w:txbxContent>
                </v:textbox>
                <w10:wrap type="square" anchorx="margin" anchory="margin"/>
              </v:rect>
            </w:pict>
          </mc:Fallback>
        </mc:AlternateContent>
      </w:r>
      <w:r w:rsidR="00D86A11">
        <w:rPr>
          <w:b w:val="0"/>
          <w:color w:val="auto"/>
          <w:sz w:val="22"/>
        </w:rPr>
        <w:t xml:space="preserve">Housing costs are rising rapidly in the County of San Diego and the most current Census data from 2014 do not reflect the recent increases that are </w:t>
      </w:r>
      <w:r w:rsidR="00F1013C" w:rsidRPr="00F1013C">
        <w:rPr>
          <w:b w:val="0"/>
          <w:color w:val="auto"/>
          <w:sz w:val="22"/>
        </w:rPr>
        <w:t>impacting local families. However, more current data are available from nonprofit organizations, and reputable news sources. In May 2016, the San Diego Housing Partnership, a nonprofit organization created by the State of California more than 25 years ago, reported that rents in the County of San Diego have increased by 32% since 2000, while median renter household income has declined by 2% when adjusted for inflation. They reported that the current average monthly rent is currently $1,768.</w:t>
      </w:r>
      <w:r w:rsidR="00121985">
        <w:rPr>
          <w:rStyle w:val="EndnoteReference"/>
          <w:b w:val="0"/>
          <w:color w:val="auto"/>
          <w:sz w:val="22"/>
        </w:rPr>
        <w:endnoteReference w:id="9"/>
      </w:r>
    </w:p>
    <w:p w:rsidR="00D86A11" w:rsidRPr="00465598" w:rsidRDefault="00F1013C" w:rsidP="00D86A11">
      <w:pPr>
        <w:pStyle w:val="Heading1"/>
        <w:spacing w:line="276" w:lineRule="auto"/>
        <w:rPr>
          <w:b w:val="0"/>
          <w:color w:val="auto"/>
          <w:sz w:val="22"/>
        </w:rPr>
      </w:pPr>
      <w:r w:rsidRPr="00F1013C">
        <w:rPr>
          <w:b w:val="0"/>
          <w:color w:val="auto"/>
          <w:sz w:val="22"/>
        </w:rPr>
        <w:t>The cost to purchase a home has also risen. The San Diego Union Tribune reported that the median home price rose to $478,000 in March 2016, the highest that it’s been in nearly nine years. While home prices have been steadily rising, they have not yet reached the November 2005 peak of $517,000.</w:t>
      </w:r>
      <w:r w:rsidR="00121985">
        <w:rPr>
          <w:rStyle w:val="EndnoteReference"/>
          <w:b w:val="0"/>
          <w:color w:val="auto"/>
          <w:sz w:val="22"/>
        </w:rPr>
        <w:endnoteReference w:id="10"/>
      </w:r>
      <w:r w:rsidRPr="00F1013C">
        <w:rPr>
          <w:b w:val="0"/>
          <w:color w:val="auto"/>
          <w:sz w:val="22"/>
        </w:rPr>
        <w:t xml:space="preserve">  </w:t>
      </w:r>
    </w:p>
    <w:p w:rsidR="009103E6" w:rsidRDefault="009103E6" w:rsidP="00D86A11">
      <w:pPr>
        <w:pStyle w:val="Heading2"/>
        <w:rPr>
          <w:rStyle w:val="Heading1Char"/>
          <w:b/>
          <w:color w:val="F6872B"/>
          <w:sz w:val="24"/>
          <w:szCs w:val="28"/>
        </w:rPr>
      </w:pPr>
    </w:p>
    <w:p w:rsidR="009103E6" w:rsidRDefault="009103E6" w:rsidP="00D86A11">
      <w:pPr>
        <w:pStyle w:val="Heading2"/>
        <w:rPr>
          <w:rStyle w:val="Heading1Char"/>
          <w:b/>
          <w:color w:val="F6872B"/>
          <w:sz w:val="24"/>
          <w:szCs w:val="28"/>
        </w:rPr>
      </w:pPr>
    </w:p>
    <w:p w:rsidR="009103E6" w:rsidRDefault="009103E6" w:rsidP="00D86A11">
      <w:pPr>
        <w:pStyle w:val="Heading2"/>
        <w:rPr>
          <w:rStyle w:val="Heading1Char"/>
          <w:b/>
          <w:color w:val="F6872B"/>
          <w:sz w:val="24"/>
          <w:szCs w:val="28"/>
        </w:rPr>
      </w:pPr>
    </w:p>
    <w:p w:rsidR="00D86A11" w:rsidRPr="00D359E0" w:rsidRDefault="00D86A11" w:rsidP="00D86A11">
      <w:pPr>
        <w:pStyle w:val="Heading2"/>
        <w:rPr>
          <w:rStyle w:val="Heading1Char"/>
          <w:b/>
          <w:color w:val="F6872B"/>
          <w:sz w:val="24"/>
          <w:szCs w:val="28"/>
        </w:rPr>
      </w:pPr>
      <w:r w:rsidRPr="000111A7">
        <w:rPr>
          <w:rStyle w:val="Heading1Char"/>
          <w:b/>
          <w:color w:val="F6872B"/>
          <w:sz w:val="24"/>
          <w:szCs w:val="28"/>
        </w:rPr>
        <w:lastRenderedPageBreak/>
        <w:t>Homelessness Data</w:t>
      </w:r>
    </w:p>
    <w:tbl>
      <w:tblPr>
        <w:tblpPr w:leftFromText="180" w:rightFromText="180" w:vertAnchor="text" w:horzAnchor="margin" w:tblpXSpec="right" w:tblpY="846"/>
        <w:tblW w:w="5238" w:type="dxa"/>
        <w:tblLayout w:type="fixed"/>
        <w:tblLook w:val="01E0" w:firstRow="1" w:lastRow="1" w:firstColumn="1" w:lastColumn="1" w:noHBand="0" w:noVBand="0"/>
      </w:tblPr>
      <w:tblGrid>
        <w:gridCol w:w="3420"/>
        <w:gridCol w:w="918"/>
        <w:gridCol w:w="900"/>
      </w:tblGrid>
      <w:tr w:rsidR="00D86A11" w:rsidRPr="009A4D3F" w:rsidTr="00A773B7">
        <w:trPr>
          <w:trHeight w:val="280"/>
          <w:tblHeader/>
        </w:trPr>
        <w:tc>
          <w:tcPr>
            <w:tcW w:w="5238" w:type="dxa"/>
            <w:gridSpan w:val="3"/>
            <w:tcBorders>
              <w:top w:val="single" w:sz="18" w:space="0" w:color="F6872B"/>
            </w:tcBorders>
            <w:shd w:val="clear" w:color="auto" w:fill="013161"/>
            <w:vAlign w:val="center"/>
          </w:tcPr>
          <w:p w:rsidR="00D86A11"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 w:val="24"/>
                <w:szCs w:val="22"/>
              </w:rPr>
              <w:t xml:space="preserve">Exhibit 10. Count of San Diego </w:t>
            </w:r>
            <w:r w:rsidRPr="009A4D3F">
              <w:rPr>
                <w:rFonts w:ascii="Calibri" w:eastAsia="Calibri" w:hAnsi="Calibri" w:cs="Arial"/>
                <w:b/>
                <w:bCs/>
                <w:color w:val="FFFFFF"/>
                <w:sz w:val="24"/>
                <w:szCs w:val="22"/>
              </w:rPr>
              <w:t>Homelessness</w:t>
            </w:r>
            <w:r w:rsidRPr="009A4D3F">
              <w:rPr>
                <w:rFonts w:ascii="Calibri" w:eastAsia="Calibri" w:hAnsi="Calibri" w:cs="Arial"/>
                <w:b/>
                <w:bCs/>
                <w:color w:val="FFFFFF"/>
                <w:sz w:val="24"/>
                <w:szCs w:val="22"/>
                <w:vertAlign w:val="superscript"/>
              </w:rPr>
              <w:endnoteReference w:id="11"/>
            </w:r>
          </w:p>
        </w:tc>
      </w:tr>
      <w:tr w:rsidR="00D86A11" w:rsidRPr="009A4D3F" w:rsidTr="00A773B7">
        <w:trPr>
          <w:trHeight w:val="280"/>
          <w:tblHeader/>
        </w:trPr>
        <w:tc>
          <w:tcPr>
            <w:tcW w:w="3420" w:type="dxa"/>
            <w:shd w:val="clear" w:color="auto" w:fill="013161"/>
            <w:vAlign w:val="center"/>
          </w:tcPr>
          <w:p w:rsidR="00D86A11" w:rsidRPr="009A4D3F" w:rsidRDefault="00D86A11" w:rsidP="00D86A11">
            <w:pPr>
              <w:spacing w:after="0" w:line="240" w:lineRule="auto"/>
              <w:rPr>
                <w:rFonts w:ascii="Calibri" w:eastAsia="Calibri" w:hAnsi="Calibri" w:cs="Arial"/>
                <w:b/>
                <w:bCs/>
                <w:color w:val="FFFFFF"/>
                <w:szCs w:val="22"/>
              </w:rPr>
            </w:pPr>
            <w:r w:rsidRPr="009A4D3F">
              <w:rPr>
                <w:rFonts w:ascii="Calibri" w:eastAsia="Calibri" w:hAnsi="Calibri" w:cs="Arial"/>
                <w:b/>
                <w:bCs/>
                <w:color w:val="FFFFFF"/>
                <w:szCs w:val="22"/>
              </w:rPr>
              <w:t>Shelter Type</w:t>
            </w:r>
          </w:p>
        </w:tc>
        <w:tc>
          <w:tcPr>
            <w:tcW w:w="918" w:type="dxa"/>
            <w:shd w:val="clear" w:color="auto" w:fill="013161"/>
            <w:vAlign w:val="center"/>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Cs w:val="22"/>
              </w:rPr>
              <w:t>2014</w:t>
            </w:r>
          </w:p>
        </w:tc>
        <w:tc>
          <w:tcPr>
            <w:tcW w:w="900" w:type="dxa"/>
            <w:shd w:val="clear" w:color="auto" w:fill="013161"/>
            <w:vAlign w:val="center"/>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Cs w:val="22"/>
              </w:rPr>
              <w:t>2016</w:t>
            </w:r>
          </w:p>
        </w:tc>
      </w:tr>
      <w:tr w:rsidR="00D86A11" w:rsidRPr="009A4D3F" w:rsidTr="00A773B7">
        <w:trPr>
          <w:trHeight w:val="254"/>
        </w:trPr>
        <w:tc>
          <w:tcPr>
            <w:tcW w:w="3420" w:type="dxa"/>
            <w:tcBorders>
              <w:bottom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Total homeless</w:t>
            </w:r>
          </w:p>
        </w:tc>
        <w:tc>
          <w:tcPr>
            <w:tcW w:w="918" w:type="dxa"/>
            <w:tcBorders>
              <w:bottom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8,506</w:t>
            </w:r>
          </w:p>
        </w:tc>
        <w:tc>
          <w:tcPr>
            <w:tcW w:w="900" w:type="dxa"/>
            <w:tcBorders>
              <w:bottom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8,692</w:t>
            </w:r>
          </w:p>
        </w:tc>
      </w:tr>
      <w:tr w:rsidR="00D86A11" w:rsidRPr="009A4D3F" w:rsidTr="00A773B7">
        <w:trPr>
          <w:trHeight w:val="267"/>
        </w:trPr>
        <w:tc>
          <w:tcPr>
            <w:tcW w:w="3420" w:type="dxa"/>
            <w:tcBorders>
              <w:top w:val="single" w:sz="2" w:space="0" w:color="FFFFFF"/>
              <w:bottom w:val="single" w:sz="2" w:space="0" w:color="FFFFFF"/>
            </w:tcBorders>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 xml:space="preserve">   </w:t>
            </w:r>
            <w:r>
              <w:rPr>
                <w:rFonts w:ascii="Calibri" w:eastAsia="Calibri" w:hAnsi="Calibri" w:cs="Arial"/>
                <w:b/>
                <w:bCs/>
                <w:color w:val="013161"/>
                <w:sz w:val="20"/>
                <w:szCs w:val="22"/>
              </w:rPr>
              <w:t>Sheltered</w:t>
            </w:r>
          </w:p>
        </w:tc>
        <w:tc>
          <w:tcPr>
            <w:tcW w:w="918" w:type="dxa"/>
            <w:tcBorders>
              <w:top w:val="single" w:sz="2" w:space="0" w:color="FFFFFF"/>
              <w:bottom w:val="single" w:sz="2" w:space="0" w:color="FFFFFF"/>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4,521</w:t>
            </w:r>
          </w:p>
        </w:tc>
        <w:tc>
          <w:tcPr>
            <w:tcW w:w="900" w:type="dxa"/>
            <w:tcBorders>
              <w:top w:val="single" w:sz="2" w:space="0" w:color="FFFFFF"/>
              <w:bottom w:val="single" w:sz="2" w:space="0" w:color="FFFFFF"/>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3,752</w:t>
            </w:r>
          </w:p>
        </w:tc>
      </w:tr>
      <w:tr w:rsidR="00D86A11" w:rsidRPr="009A4D3F" w:rsidTr="00A773B7">
        <w:trPr>
          <w:trHeight w:val="254"/>
        </w:trPr>
        <w:tc>
          <w:tcPr>
            <w:tcW w:w="3420" w:type="dxa"/>
            <w:tcBorders>
              <w:top w:val="single" w:sz="2" w:space="0" w:color="FFFFFF"/>
              <w:bottom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 xml:space="preserve">   Unsheltered </w:t>
            </w:r>
          </w:p>
        </w:tc>
        <w:tc>
          <w:tcPr>
            <w:tcW w:w="918" w:type="dxa"/>
            <w:tcBorders>
              <w:top w:val="single" w:sz="2" w:space="0" w:color="FFFFFF"/>
              <w:bottom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3,985</w:t>
            </w:r>
          </w:p>
        </w:tc>
        <w:tc>
          <w:tcPr>
            <w:tcW w:w="900" w:type="dxa"/>
            <w:tcBorders>
              <w:top w:val="single" w:sz="2" w:space="0" w:color="FFFFFF"/>
              <w:bottom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4,940</w:t>
            </w:r>
          </w:p>
        </w:tc>
      </w:tr>
      <w:tr w:rsidR="00D86A11" w:rsidRPr="009A4D3F" w:rsidTr="00A773B7">
        <w:trPr>
          <w:trHeight w:val="288"/>
        </w:trPr>
        <w:tc>
          <w:tcPr>
            <w:tcW w:w="3420" w:type="dxa"/>
            <w:tcBorders>
              <w:top w:val="single" w:sz="2" w:space="0" w:color="FFFFFF"/>
              <w:bottom w:val="single" w:sz="2" w:space="0" w:color="FFFFFF"/>
            </w:tcBorders>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Total homeless individuals in families</w:t>
            </w:r>
          </w:p>
        </w:tc>
        <w:tc>
          <w:tcPr>
            <w:tcW w:w="918" w:type="dxa"/>
            <w:tcBorders>
              <w:top w:val="single" w:sz="2" w:space="0" w:color="FFFFFF"/>
              <w:bottom w:val="single" w:sz="2" w:space="0" w:color="FFFFFF"/>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2,007</w:t>
            </w:r>
          </w:p>
        </w:tc>
        <w:tc>
          <w:tcPr>
            <w:tcW w:w="900" w:type="dxa"/>
            <w:tcBorders>
              <w:top w:val="single" w:sz="2" w:space="0" w:color="FFFFFF"/>
              <w:bottom w:val="single" w:sz="2" w:space="0" w:color="FFFFFF"/>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1,737</w:t>
            </w:r>
          </w:p>
        </w:tc>
      </w:tr>
      <w:tr w:rsidR="00D86A11" w:rsidRPr="009A4D3F" w:rsidTr="00A773B7">
        <w:trPr>
          <w:trHeight w:val="288"/>
        </w:trPr>
        <w:tc>
          <w:tcPr>
            <w:tcW w:w="3420" w:type="dxa"/>
            <w:tcBorders>
              <w:top w:val="single" w:sz="2" w:space="0" w:color="FFFFFF"/>
              <w:bottom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 xml:space="preserve">  Sheltered</w:t>
            </w:r>
          </w:p>
        </w:tc>
        <w:tc>
          <w:tcPr>
            <w:tcW w:w="918" w:type="dxa"/>
            <w:tcBorders>
              <w:top w:val="single" w:sz="2" w:space="0" w:color="FFFFFF"/>
              <w:bottom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1,698</w:t>
            </w:r>
          </w:p>
        </w:tc>
        <w:tc>
          <w:tcPr>
            <w:tcW w:w="900" w:type="dxa"/>
            <w:tcBorders>
              <w:top w:val="single" w:sz="2" w:space="0" w:color="FFFFFF"/>
              <w:bottom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1,455</w:t>
            </w:r>
          </w:p>
        </w:tc>
      </w:tr>
      <w:tr w:rsidR="00D86A11" w:rsidRPr="009A4D3F" w:rsidTr="00A773B7">
        <w:trPr>
          <w:trHeight w:val="288"/>
        </w:trPr>
        <w:tc>
          <w:tcPr>
            <w:tcW w:w="3420" w:type="dxa"/>
            <w:tcBorders>
              <w:top w:val="single" w:sz="2" w:space="0" w:color="FFFFFF"/>
              <w:bottom w:val="single" w:sz="2" w:space="0" w:color="FFFFFF"/>
            </w:tcBorders>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 xml:space="preserve">  Unsheltered</w:t>
            </w:r>
          </w:p>
        </w:tc>
        <w:tc>
          <w:tcPr>
            <w:tcW w:w="918" w:type="dxa"/>
            <w:tcBorders>
              <w:top w:val="single" w:sz="2" w:space="0" w:color="FFFFFF"/>
              <w:bottom w:val="single" w:sz="2" w:space="0" w:color="FFFFFF"/>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309</w:t>
            </w:r>
          </w:p>
        </w:tc>
        <w:tc>
          <w:tcPr>
            <w:tcW w:w="900" w:type="dxa"/>
            <w:tcBorders>
              <w:top w:val="single" w:sz="2" w:space="0" w:color="FFFFFF"/>
              <w:bottom w:val="single" w:sz="2" w:space="0" w:color="FFFFFF"/>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282</w:t>
            </w:r>
          </w:p>
        </w:tc>
      </w:tr>
      <w:tr w:rsidR="00D86A11" w:rsidRPr="009A4D3F" w:rsidTr="00A773B7">
        <w:trPr>
          <w:trHeight w:val="288"/>
        </w:trPr>
        <w:tc>
          <w:tcPr>
            <w:tcW w:w="3420" w:type="dxa"/>
            <w:tcBorders>
              <w:top w:val="single" w:sz="2" w:space="0" w:color="FFFFFF"/>
              <w:bottom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Total unaccompanied youth &lt; 18</w:t>
            </w:r>
            <w:r>
              <w:rPr>
                <w:rStyle w:val="FootnoteReference"/>
                <w:rFonts w:ascii="Calibri" w:eastAsia="Calibri" w:hAnsi="Calibri" w:cs="Arial"/>
                <w:b/>
                <w:bCs/>
                <w:color w:val="013161"/>
                <w:sz w:val="20"/>
                <w:szCs w:val="22"/>
              </w:rPr>
              <w:footnoteReference w:id="2"/>
            </w:r>
          </w:p>
        </w:tc>
        <w:tc>
          <w:tcPr>
            <w:tcW w:w="918" w:type="dxa"/>
            <w:tcBorders>
              <w:top w:val="single" w:sz="2" w:space="0" w:color="FFFFFF"/>
              <w:bottom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27</w:t>
            </w:r>
          </w:p>
        </w:tc>
        <w:tc>
          <w:tcPr>
            <w:tcW w:w="900" w:type="dxa"/>
            <w:tcBorders>
              <w:top w:val="single" w:sz="2" w:space="0" w:color="FFFFFF"/>
              <w:bottom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145</w:t>
            </w:r>
          </w:p>
        </w:tc>
      </w:tr>
      <w:tr w:rsidR="00D86A11" w:rsidRPr="009A4D3F" w:rsidTr="00A773B7">
        <w:trPr>
          <w:trHeight w:val="288"/>
        </w:trPr>
        <w:tc>
          <w:tcPr>
            <w:tcW w:w="3420" w:type="dxa"/>
            <w:tcBorders>
              <w:top w:val="single" w:sz="2" w:space="0" w:color="FFFFFF"/>
              <w:bottom w:val="single" w:sz="2" w:space="0" w:color="FFFFFF"/>
              <w:right w:val="single" w:sz="2" w:space="0" w:color="FFFFFF"/>
            </w:tcBorders>
            <w:shd w:val="clear" w:color="auto" w:fill="auto"/>
            <w:vAlign w:val="center"/>
          </w:tcPr>
          <w:p w:rsidR="00D86A11"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 xml:space="preserve">  Sheltered</w:t>
            </w:r>
          </w:p>
        </w:tc>
        <w:tc>
          <w:tcPr>
            <w:tcW w:w="918" w:type="dxa"/>
            <w:tcBorders>
              <w:top w:val="single" w:sz="2" w:space="0" w:color="FFFFFF"/>
              <w:left w:val="single" w:sz="2" w:space="0" w:color="FFFFFF"/>
              <w:bottom w:val="single" w:sz="2" w:space="0" w:color="FFFFFF"/>
              <w:right w:val="single" w:sz="2" w:space="0" w:color="FFFFFF"/>
            </w:tcBorders>
            <w:shd w:val="clear" w:color="auto" w:fill="auto"/>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27</w:t>
            </w:r>
          </w:p>
        </w:tc>
        <w:tc>
          <w:tcPr>
            <w:tcW w:w="900" w:type="dxa"/>
            <w:tcBorders>
              <w:top w:val="single" w:sz="2" w:space="0" w:color="FFFFFF"/>
              <w:left w:val="single" w:sz="2" w:space="0" w:color="FFFFFF"/>
              <w:bottom w:val="single" w:sz="2" w:space="0" w:color="FFFFFF"/>
            </w:tcBorders>
            <w:shd w:val="clear" w:color="auto" w:fill="auto"/>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31</w:t>
            </w:r>
          </w:p>
        </w:tc>
      </w:tr>
      <w:tr w:rsidR="00D86A11" w:rsidRPr="009A4D3F" w:rsidTr="00A773B7">
        <w:trPr>
          <w:trHeight w:val="68"/>
        </w:trPr>
        <w:tc>
          <w:tcPr>
            <w:tcW w:w="3420" w:type="dxa"/>
            <w:tcBorders>
              <w:top w:val="single" w:sz="2" w:space="0" w:color="FFFFFF"/>
              <w:bottom w:val="single" w:sz="18" w:space="0" w:color="F6872B"/>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 xml:space="preserve">  Unsheltered</w:t>
            </w:r>
          </w:p>
        </w:tc>
        <w:tc>
          <w:tcPr>
            <w:tcW w:w="918" w:type="dxa"/>
            <w:tcBorders>
              <w:top w:val="single" w:sz="2" w:space="0" w:color="FFFFFF"/>
              <w:bottom w:val="single" w:sz="18" w:space="0" w:color="F6872B"/>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0</w:t>
            </w:r>
          </w:p>
        </w:tc>
        <w:tc>
          <w:tcPr>
            <w:tcW w:w="900" w:type="dxa"/>
            <w:tcBorders>
              <w:top w:val="single" w:sz="2" w:space="0" w:color="FFFFFF"/>
              <w:bottom w:val="single" w:sz="18" w:space="0" w:color="F6872B"/>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114</w:t>
            </w:r>
          </w:p>
        </w:tc>
      </w:tr>
    </w:tbl>
    <w:p w:rsidR="00D86A11" w:rsidRPr="00FD2C9F" w:rsidRDefault="00D86A11" w:rsidP="00D86A11">
      <w:pPr>
        <w:pStyle w:val="Heading3"/>
        <w:spacing w:line="276" w:lineRule="auto"/>
        <w:rPr>
          <w:b w:val="0"/>
          <w:color w:val="auto"/>
          <w:sz w:val="22"/>
        </w:rPr>
      </w:pPr>
      <w:r w:rsidRPr="00FD2C9F">
        <w:rPr>
          <w:b w:val="0"/>
          <w:color w:val="auto"/>
          <w:sz w:val="22"/>
        </w:rPr>
        <w:t>Each year, volunteers fan out across</w:t>
      </w:r>
      <w:r>
        <w:rPr>
          <w:b w:val="0"/>
          <w:color w:val="auto"/>
          <w:sz w:val="22"/>
        </w:rPr>
        <w:t xml:space="preserve"> the</w:t>
      </w:r>
      <w:r w:rsidRPr="00FD2C9F">
        <w:rPr>
          <w:b w:val="0"/>
          <w:color w:val="auto"/>
          <w:sz w:val="22"/>
        </w:rPr>
        <w:t xml:space="preserve"> </w:t>
      </w:r>
      <w:r>
        <w:rPr>
          <w:b w:val="0"/>
          <w:color w:val="auto"/>
          <w:sz w:val="22"/>
        </w:rPr>
        <w:t xml:space="preserve">County of San Diego </w:t>
      </w:r>
      <w:r w:rsidRPr="00FD2C9F">
        <w:rPr>
          <w:b w:val="0"/>
          <w:color w:val="auto"/>
          <w:sz w:val="22"/>
        </w:rPr>
        <w:t>to conduct a count of the number of people that are homeless on a singl</w:t>
      </w:r>
      <w:r w:rsidR="00F1013C" w:rsidRPr="00F1013C">
        <w:rPr>
          <w:b w:val="0"/>
          <w:color w:val="auto"/>
          <w:sz w:val="22"/>
        </w:rPr>
        <w:t>e night in January. The 2016 WeALLCount effort consisted of four major components: unsheltered street count (physical count covering 4,000 miles and 585 census tracts); sheltered count of those staying in a shelter on the night of the count; in-depth demographic survey of unsheltered homeless; and separate youth count effort. In the week following the January street count, the survey administered to the unsheltered population found that there was a 69% increase in the number of individuals sleeping in tents or hand-built structures from the previous year.</w:t>
      </w:r>
    </w:p>
    <w:p w:rsidR="00D86A11" w:rsidRPr="00FD2C9F" w:rsidRDefault="00F1013C" w:rsidP="00D86A11">
      <w:pPr>
        <w:pStyle w:val="Heading3"/>
        <w:spacing w:line="276" w:lineRule="auto"/>
        <w:rPr>
          <w:b w:val="0"/>
          <w:color w:val="auto"/>
          <w:sz w:val="22"/>
        </w:rPr>
      </w:pPr>
      <w:r w:rsidRPr="00F1013C">
        <w:rPr>
          <w:b w:val="0"/>
          <w:color w:val="auto"/>
          <w:sz w:val="22"/>
        </w:rPr>
        <w:t>In 2016, there were 1,737 homeless individuals in families (adults and children) counted, representing a 13% decrease from 2014. Eighty-four percent of the families counted in 2016 were in shelters. A small number of homeless families with children participated in the survey process. Forty percent (40%) of survey respondents in families were Hispanic/Latino, a much higher rate than general survey respondents (24% Hispanic). In addition, 57% of survey respondents were female, compared to 27.4% in the general homeless population.</w:t>
      </w:r>
    </w:p>
    <w:p w:rsidR="00D86A11" w:rsidRPr="00FD2C9F" w:rsidRDefault="00F1013C" w:rsidP="00D86A11">
      <w:pPr>
        <w:pStyle w:val="Heading3"/>
        <w:spacing w:line="276" w:lineRule="auto"/>
        <w:rPr>
          <w:b w:val="0"/>
          <w:color w:val="auto"/>
          <w:sz w:val="22"/>
        </w:rPr>
      </w:pPr>
      <w:r w:rsidRPr="00F1013C">
        <w:rPr>
          <w:b w:val="0"/>
          <w:color w:val="auto"/>
          <w:sz w:val="22"/>
        </w:rPr>
        <w:t>During the January 2016 count, there were 145 unaccompanied homeless youth identified and 79% were unsheltered.</w:t>
      </w:r>
    </w:p>
    <w:p w:rsidR="00D86A11" w:rsidRDefault="00D86A11" w:rsidP="00D86A11">
      <w:pPr>
        <w:pStyle w:val="Heading2"/>
        <w:rPr>
          <w:rStyle w:val="Heading1Char"/>
          <w:b/>
          <w:color w:val="F6872B"/>
          <w:sz w:val="24"/>
        </w:rPr>
      </w:pPr>
      <w:r w:rsidRPr="000111A7">
        <w:rPr>
          <w:rStyle w:val="Heading1Char"/>
          <w:b/>
          <w:color w:val="F6872B"/>
          <w:sz w:val="24"/>
          <w:szCs w:val="28"/>
        </w:rPr>
        <w:t>Federally Recognized Tribes</w:t>
      </w:r>
    </w:p>
    <w:p w:rsidR="00D86A11" w:rsidRPr="00E24349" w:rsidRDefault="00D86A11" w:rsidP="00D86A11">
      <w:pPr>
        <w:pStyle w:val="Heading3"/>
        <w:spacing w:line="276" w:lineRule="auto"/>
        <w:rPr>
          <w:b w:val="0"/>
          <w:color w:val="auto"/>
          <w:sz w:val="22"/>
        </w:rPr>
      </w:pPr>
      <w:r>
        <w:rPr>
          <w:b w:val="0"/>
          <w:color w:val="auto"/>
          <w:sz w:val="22"/>
        </w:rPr>
        <w:t>The County of San Diego</w:t>
      </w:r>
      <w:r w:rsidRPr="00E24349">
        <w:rPr>
          <w:b w:val="0"/>
          <w:color w:val="auto"/>
          <w:sz w:val="22"/>
        </w:rPr>
        <w:t xml:space="preserve"> has an active tribal community that was represented during the CSA by the Seventh Generation Workgroup. Although the percent of children in the county that are Native American is relatively small (1.3%), they are disproportiona</w:t>
      </w:r>
      <w:r w:rsidR="00F1013C" w:rsidRPr="00F1013C">
        <w:rPr>
          <w:b w:val="0"/>
          <w:color w:val="auto"/>
          <w:sz w:val="22"/>
        </w:rPr>
        <w:t xml:space="preserve">tely represented in the CWS and Probation populations. The County works closely with the tribes to address the needs of Native American families through the dedicated staff in the CWS Indian Specialty Unit and by involvement in the Child Abuse Prevention Coordinating Council Fairness and Equity Subcommittee and the Seventh Generation Workgroup. </w:t>
      </w:r>
    </w:p>
    <w:p w:rsidR="00D86A11" w:rsidRDefault="00D86A11" w:rsidP="00D86A11">
      <w:pPr>
        <w:rPr>
          <w:sz w:val="2"/>
        </w:rPr>
      </w:pPr>
    </w:p>
    <w:p w:rsidR="009103E6" w:rsidRDefault="009103E6" w:rsidP="00D86A11">
      <w:pPr>
        <w:rPr>
          <w:sz w:val="2"/>
        </w:rPr>
      </w:pPr>
    </w:p>
    <w:p w:rsidR="009103E6" w:rsidRPr="00F91EA0" w:rsidRDefault="009103E6" w:rsidP="00D86A11">
      <w:pPr>
        <w:rPr>
          <w:sz w:val="2"/>
        </w:rPr>
      </w:pPr>
    </w:p>
    <w:tbl>
      <w:tblPr>
        <w:tblW w:w="0" w:type="auto"/>
        <w:tblLook w:val="04A0" w:firstRow="1" w:lastRow="0" w:firstColumn="1" w:lastColumn="0" w:noHBand="0" w:noVBand="1"/>
      </w:tblPr>
      <w:tblGrid>
        <w:gridCol w:w="2229"/>
        <w:gridCol w:w="7131"/>
      </w:tblGrid>
      <w:tr w:rsidR="00D86A11" w:rsidRPr="009A4D3F">
        <w:tc>
          <w:tcPr>
            <w:tcW w:w="9576" w:type="dxa"/>
            <w:gridSpan w:val="2"/>
            <w:tcBorders>
              <w:top w:val="single" w:sz="18" w:space="0" w:color="F6872B"/>
            </w:tcBorders>
            <w:shd w:val="clear" w:color="auto" w:fill="013161"/>
            <w:vAlign w:val="center"/>
          </w:tcPr>
          <w:p w:rsidR="00D86A11" w:rsidRPr="009A4D3F" w:rsidRDefault="00D86A11" w:rsidP="00D86A11">
            <w:pPr>
              <w:jc w:val="center"/>
              <w:rPr>
                <w:rFonts w:ascii="Calibri" w:hAnsi="Calibri" w:cs="Perpetua"/>
                <w:b/>
                <w:color w:val="FFFFFF"/>
                <w:sz w:val="20"/>
                <w:highlight w:val="green"/>
              </w:rPr>
            </w:pPr>
            <w:r>
              <w:rPr>
                <w:rFonts w:ascii="Calibri" w:hAnsi="Calibri" w:cs="Perpetua"/>
                <w:b/>
                <w:color w:val="FFFFFF"/>
                <w:sz w:val="24"/>
              </w:rPr>
              <w:lastRenderedPageBreak/>
              <w:t xml:space="preserve">Exhibit 11. </w:t>
            </w:r>
            <w:r w:rsidRPr="009A4D3F">
              <w:rPr>
                <w:rFonts w:ascii="Calibri" w:hAnsi="Calibri" w:cs="Perpetua"/>
                <w:b/>
                <w:color w:val="FFFFFF"/>
                <w:sz w:val="24"/>
              </w:rPr>
              <w:t xml:space="preserve">Native American Tribes in </w:t>
            </w:r>
            <w:r>
              <w:rPr>
                <w:rFonts w:ascii="Calibri" w:hAnsi="Calibri" w:cs="Perpetua"/>
                <w:b/>
                <w:color w:val="FFFFFF"/>
                <w:sz w:val="24"/>
              </w:rPr>
              <w:t xml:space="preserve">the County </w:t>
            </w:r>
            <w:r w:rsidRPr="009A4D3F">
              <w:rPr>
                <w:rFonts w:ascii="Calibri" w:hAnsi="Calibri" w:cs="Perpetua"/>
                <w:b/>
                <w:color w:val="FFFFFF"/>
                <w:sz w:val="24"/>
              </w:rPr>
              <w:t>San Diego</w:t>
            </w:r>
            <w:r>
              <w:rPr>
                <w:rFonts w:ascii="Calibri" w:hAnsi="Calibri" w:cs="Perpetua"/>
                <w:b/>
                <w:color w:val="FFFFFF"/>
                <w:sz w:val="24"/>
              </w:rPr>
              <w:t xml:space="preserve"> </w:t>
            </w:r>
          </w:p>
        </w:tc>
      </w:tr>
      <w:tr w:rsidR="00D86A11" w:rsidRPr="009A4D3F">
        <w:tc>
          <w:tcPr>
            <w:tcW w:w="2268" w:type="dxa"/>
            <w:tcBorders>
              <w:bottom w:val="single" w:sz="18" w:space="0" w:color="F6872B"/>
              <w:right w:val="single" w:sz="2" w:space="0" w:color="FFFFFF"/>
            </w:tcBorders>
            <w:shd w:val="clear" w:color="auto" w:fill="DBE5F1"/>
            <w:vAlign w:val="center"/>
          </w:tcPr>
          <w:p w:rsidR="00D86A11" w:rsidRPr="009A4D3F" w:rsidRDefault="00D86A11" w:rsidP="00D86A11">
            <w:pPr>
              <w:rPr>
                <w:rFonts w:ascii="Calibri" w:hAnsi="Calibri" w:cs="Perpetua"/>
                <w:b/>
                <w:color w:val="013161"/>
                <w:sz w:val="20"/>
                <w:highlight w:val="green"/>
              </w:rPr>
            </w:pPr>
            <w:r w:rsidRPr="009A4D3F">
              <w:rPr>
                <w:rFonts w:ascii="Calibri" w:hAnsi="Calibri" w:cs="Perpetua"/>
                <w:b/>
                <w:color w:val="013161"/>
                <w:sz w:val="20"/>
              </w:rPr>
              <w:t>Native American Tribes</w:t>
            </w:r>
          </w:p>
        </w:tc>
        <w:tc>
          <w:tcPr>
            <w:tcW w:w="7308" w:type="dxa"/>
            <w:tcBorders>
              <w:left w:val="single" w:sz="2" w:space="0" w:color="FFFFFF"/>
              <w:bottom w:val="single" w:sz="18" w:space="0" w:color="F6872B"/>
            </w:tcBorders>
            <w:shd w:val="clear" w:color="auto" w:fill="DBE5F1"/>
            <w:vAlign w:val="center"/>
          </w:tcPr>
          <w:p w:rsidR="00D86A11" w:rsidRPr="00C959E9" w:rsidRDefault="00D86A11" w:rsidP="00D86A11">
            <w:pPr>
              <w:rPr>
                <w:rFonts w:ascii="Calibri" w:hAnsi="Calibri" w:cs="Perpetua"/>
                <w:b/>
                <w:color w:val="013161"/>
                <w:sz w:val="20"/>
                <w:highlight w:val="green"/>
              </w:rPr>
            </w:pPr>
            <w:r w:rsidRPr="00C959E9">
              <w:rPr>
                <w:rFonts w:ascii="Calibri" w:hAnsi="Calibri" w:cs="Perpetua"/>
                <w:b/>
                <w:color w:val="013161"/>
                <w:sz w:val="20"/>
              </w:rPr>
              <w:t xml:space="preserve">There are 18 Native American reservations represented by 17 Tribal Governments in </w:t>
            </w:r>
            <w:r>
              <w:rPr>
                <w:rFonts w:ascii="Calibri" w:hAnsi="Calibri" w:cs="Perpetua"/>
                <w:b/>
                <w:color w:val="013161"/>
                <w:sz w:val="20"/>
              </w:rPr>
              <w:t xml:space="preserve">the County of </w:t>
            </w:r>
            <w:r w:rsidRPr="00C959E9">
              <w:rPr>
                <w:rFonts w:ascii="Calibri" w:hAnsi="Calibri" w:cs="Perpetua"/>
                <w:b/>
                <w:color w:val="013161"/>
                <w:sz w:val="20"/>
              </w:rPr>
              <w:t>San Diego, which is more than any other county in the United States.</w:t>
            </w:r>
            <w:r w:rsidRPr="00C959E9">
              <w:rPr>
                <w:rFonts w:cs="Arial"/>
                <w:b/>
                <w:color w:val="013161"/>
                <w:sz w:val="20"/>
                <w:vertAlign w:val="superscript"/>
              </w:rPr>
              <w:t xml:space="preserve"> </w:t>
            </w:r>
            <w:r w:rsidRPr="00C959E9">
              <w:rPr>
                <w:rFonts w:cs="Arial"/>
                <w:b/>
                <w:color w:val="013161"/>
                <w:sz w:val="20"/>
                <w:vertAlign w:val="superscript"/>
              </w:rPr>
              <w:endnoteReference w:id="12"/>
            </w:r>
            <w:r w:rsidRPr="00C959E9">
              <w:rPr>
                <w:rFonts w:cs="Arial"/>
                <w:b/>
                <w:color w:val="013161"/>
                <w:sz w:val="20"/>
              </w:rPr>
              <w:t xml:space="preserve"> </w:t>
            </w:r>
            <w:r w:rsidRPr="00C959E9">
              <w:rPr>
                <w:rFonts w:ascii="Calibri" w:hAnsi="Calibri" w:cs="Perpetua"/>
                <w:b/>
                <w:color w:val="013161"/>
                <w:sz w:val="20"/>
              </w:rPr>
              <w:t xml:space="preserve">   Each tribe is represented by one of two consortiums</w:t>
            </w:r>
            <w:r>
              <w:rPr>
                <w:rFonts w:ascii="Calibri" w:hAnsi="Calibri" w:cs="Perpetua"/>
                <w:b/>
                <w:color w:val="013161"/>
                <w:sz w:val="20"/>
              </w:rPr>
              <w:t xml:space="preserve">. </w:t>
            </w:r>
            <w:r w:rsidRPr="00C959E9">
              <w:rPr>
                <w:rFonts w:ascii="Calibri" w:hAnsi="Calibri" w:cs="Perpetua"/>
                <w:b/>
                <w:color w:val="013161"/>
                <w:sz w:val="20"/>
              </w:rPr>
              <w:t>Southern Indian Health Council represents Barona, Campo, Ewiiaapaayp, Jamul, La Posta, Sycuan, Manzanita, and Viejas</w:t>
            </w:r>
            <w:r>
              <w:rPr>
                <w:rFonts w:ascii="Calibri" w:hAnsi="Calibri" w:cs="Perpetua"/>
                <w:b/>
                <w:color w:val="013161"/>
                <w:sz w:val="20"/>
              </w:rPr>
              <w:t xml:space="preserve">. </w:t>
            </w:r>
            <w:r w:rsidRPr="00C959E9">
              <w:rPr>
                <w:rFonts w:ascii="Calibri" w:hAnsi="Calibri" w:cs="Perpetua"/>
                <w:b/>
                <w:color w:val="013161"/>
                <w:sz w:val="20"/>
              </w:rPr>
              <w:t>Indian Health Council represents Inaja-Cosmit, La Jolla, Los Coyotes, Mesa Grande, Pala, Pauma, Rincon, San Pasqual, and Santa Ysabel.</w:t>
            </w:r>
            <w:r>
              <w:rPr>
                <w:rFonts w:ascii="Calibri" w:hAnsi="Calibri" w:cs="Perpetua"/>
                <w:b/>
                <w:color w:val="013161"/>
                <w:sz w:val="20"/>
              </w:rPr>
              <w:t xml:space="preserve"> Pala, Santa Ysabel and Manzanita have their own social services programs and represent their own constituents. </w:t>
            </w:r>
            <w:r w:rsidRPr="0041279F">
              <w:rPr>
                <w:rFonts w:ascii="Calibri" w:hAnsi="Calibri" w:cs="Perpetua"/>
                <w:b/>
                <w:color w:val="013161"/>
                <w:sz w:val="20"/>
              </w:rPr>
              <w:t>Tribal representatives participated in the CSA process via the Seventh Generation Workgroup</w:t>
            </w:r>
            <w:r>
              <w:rPr>
                <w:rFonts w:ascii="Calibri" w:hAnsi="Calibri" w:cs="Perpetua"/>
                <w:b/>
                <w:color w:val="013161"/>
                <w:sz w:val="20"/>
              </w:rPr>
              <w:t xml:space="preserve">. </w:t>
            </w:r>
            <w:r w:rsidRPr="00C959E9">
              <w:rPr>
                <w:rFonts w:ascii="Calibri" w:hAnsi="Calibri" w:cs="Perpetua"/>
                <w:b/>
                <w:color w:val="013161"/>
                <w:sz w:val="20"/>
              </w:rPr>
              <w:t xml:space="preserve"> </w:t>
            </w:r>
          </w:p>
        </w:tc>
      </w:tr>
    </w:tbl>
    <w:p w:rsidR="00D86A11" w:rsidRDefault="00D86A11" w:rsidP="00D86A11">
      <w:pPr>
        <w:pStyle w:val="Heading1"/>
        <w:rPr>
          <w:color w:val="013161"/>
        </w:rPr>
      </w:pPr>
      <w:r>
        <w:rPr>
          <w:color w:val="013161"/>
        </w:rPr>
        <w:t xml:space="preserve">4b. </w:t>
      </w:r>
      <w:r w:rsidRPr="00AA79A7">
        <w:rPr>
          <w:color w:val="013161"/>
        </w:rPr>
        <w:t>Child Maltreatment Indicators</w:t>
      </w:r>
    </w:p>
    <w:p w:rsidR="00D86A11" w:rsidRDefault="00D86A11" w:rsidP="00176DFC">
      <w:pPr>
        <w:pStyle w:val="Heading3"/>
        <w:spacing w:afterLines="40" w:after="96" w:line="276" w:lineRule="auto"/>
        <w:rPr>
          <w:b w:val="0"/>
          <w:color w:val="auto"/>
          <w:sz w:val="22"/>
        </w:rPr>
      </w:pPr>
      <w:r w:rsidRPr="00CC662D">
        <w:rPr>
          <w:b w:val="0"/>
          <w:color w:val="auto"/>
          <w:sz w:val="22"/>
        </w:rPr>
        <w:t xml:space="preserve">There are a number of social, economic, individual, relational and societal factors that have been shown to contribute to the risk of child maltreatment. The following section provides information and data on some of these factors to provide a context for understanding CWS and Probation programs and outcomes. For some indicators, such as teen births and high school completion, the County is performing better than it was at the time of the last </w:t>
      </w:r>
      <w:r>
        <w:rPr>
          <w:b w:val="0"/>
          <w:color w:val="auto"/>
          <w:sz w:val="22"/>
        </w:rPr>
        <w:t>System Improvement Plan (</w:t>
      </w:r>
      <w:r w:rsidRPr="00CC662D">
        <w:rPr>
          <w:b w:val="0"/>
          <w:color w:val="auto"/>
          <w:sz w:val="22"/>
        </w:rPr>
        <w:t>SIP</w:t>
      </w:r>
      <w:r>
        <w:rPr>
          <w:b w:val="0"/>
          <w:color w:val="auto"/>
          <w:sz w:val="22"/>
        </w:rPr>
        <w:t>)</w:t>
      </w:r>
      <w:r w:rsidRPr="00CC662D">
        <w:rPr>
          <w:b w:val="0"/>
          <w:color w:val="auto"/>
          <w:sz w:val="22"/>
        </w:rPr>
        <w:t>. Results for other indicators, however, such as housing costs, domestic violence, and methamphetamine deaths, have stayed the same or gotten worse.</w:t>
      </w:r>
    </w:p>
    <w:p w:rsidR="00D86A11" w:rsidRPr="00F91EA0" w:rsidRDefault="000B1863" w:rsidP="00D86A11">
      <w:pPr>
        <w:rPr>
          <w:sz w:val="18"/>
        </w:rPr>
      </w:pPr>
      <w:r>
        <w:rPr>
          <w:rFonts w:ascii="Franklin Gothic Book" w:hAnsi="Franklin Gothic Book"/>
          <w:spacing w:val="20"/>
        </w:rPr>
        <w:t>Although there is no concrete data to support improvements as it relates to teen births and high school completion</w:t>
      </w:r>
      <w:r w:rsidR="0069108E">
        <w:rPr>
          <w:rFonts w:ascii="Franklin Gothic Book" w:hAnsi="Franklin Gothic Book"/>
          <w:spacing w:val="20"/>
        </w:rPr>
        <w:t>,</w:t>
      </w:r>
      <w:r>
        <w:rPr>
          <w:rFonts w:ascii="Franklin Gothic Book" w:hAnsi="Franklin Gothic Book"/>
          <w:spacing w:val="20"/>
        </w:rPr>
        <w:t xml:space="preserve"> it is thought that the extended foster care program has assis</w:t>
      </w:r>
      <w:r w:rsidR="0069108E">
        <w:rPr>
          <w:rFonts w:ascii="Franklin Gothic Book" w:hAnsi="Franklin Gothic Book"/>
          <w:spacing w:val="20"/>
        </w:rPr>
        <w:t>ted with both of these factors.</w:t>
      </w:r>
      <w:r>
        <w:rPr>
          <w:rFonts w:ascii="Franklin Gothic Book" w:hAnsi="Franklin Gothic Book"/>
          <w:spacing w:val="20"/>
        </w:rPr>
        <w:t xml:space="preserve"> The extended foster care program allows youth an opportunity and provides youth with the support and services necessary to complete high school and help teen parents parent their child.</w:t>
      </w:r>
    </w:p>
    <w:tbl>
      <w:tblPr>
        <w:tblW w:w="9354" w:type="dxa"/>
        <w:tblLook w:val="01E0" w:firstRow="1" w:lastRow="1" w:firstColumn="1" w:lastColumn="1" w:noHBand="0" w:noVBand="0"/>
      </w:tblPr>
      <w:tblGrid>
        <w:gridCol w:w="5130"/>
        <w:gridCol w:w="2112"/>
        <w:gridCol w:w="2112"/>
      </w:tblGrid>
      <w:tr w:rsidR="00D86A11" w:rsidRPr="009A4D3F">
        <w:trPr>
          <w:trHeight w:val="280"/>
        </w:trPr>
        <w:tc>
          <w:tcPr>
            <w:tcW w:w="9354" w:type="dxa"/>
            <w:gridSpan w:val="3"/>
            <w:tcBorders>
              <w:top w:val="single" w:sz="18" w:space="0" w:color="F6872B"/>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 w:val="24"/>
                <w:szCs w:val="22"/>
              </w:rPr>
              <w:t>Exhibit 12. Count</w:t>
            </w:r>
            <w:r w:rsidR="006A042A">
              <w:rPr>
                <w:rFonts w:ascii="Calibri" w:eastAsia="Calibri" w:hAnsi="Calibri" w:cs="Arial"/>
                <w:b/>
                <w:bCs/>
                <w:color w:val="FFFFFF"/>
                <w:sz w:val="24"/>
                <w:szCs w:val="22"/>
              </w:rPr>
              <w:t xml:space="preserve"> </w:t>
            </w:r>
            <w:r>
              <w:rPr>
                <w:rFonts w:ascii="Calibri" w:eastAsia="Calibri" w:hAnsi="Calibri" w:cs="Arial"/>
                <w:b/>
                <w:bCs/>
                <w:color w:val="FFFFFF"/>
                <w:sz w:val="24"/>
                <w:szCs w:val="22"/>
              </w:rPr>
              <w:t xml:space="preserve">of </w:t>
            </w:r>
            <w:r w:rsidRPr="009A4D3F">
              <w:rPr>
                <w:rFonts w:ascii="Calibri" w:eastAsia="Calibri" w:hAnsi="Calibri" w:cs="Arial"/>
                <w:b/>
                <w:bCs/>
                <w:color w:val="FFFFFF"/>
                <w:sz w:val="24"/>
                <w:szCs w:val="22"/>
              </w:rPr>
              <w:t>San Diego</w:t>
            </w:r>
            <w:r>
              <w:rPr>
                <w:rFonts w:ascii="Calibri" w:eastAsia="Calibri" w:hAnsi="Calibri" w:cs="Arial"/>
                <w:b/>
                <w:bCs/>
                <w:color w:val="FFFFFF"/>
                <w:sz w:val="24"/>
                <w:szCs w:val="22"/>
              </w:rPr>
              <w:t xml:space="preserve"> Child Risk Indicators</w:t>
            </w:r>
          </w:p>
        </w:tc>
      </w:tr>
      <w:tr w:rsidR="00D86A11" w:rsidRPr="009A4D3F">
        <w:trPr>
          <w:trHeight w:val="280"/>
        </w:trPr>
        <w:tc>
          <w:tcPr>
            <w:tcW w:w="5130" w:type="dxa"/>
            <w:shd w:val="clear" w:color="auto" w:fill="013161"/>
          </w:tcPr>
          <w:p w:rsidR="00D86A11" w:rsidRPr="009A4D3F" w:rsidRDefault="00D86A11" w:rsidP="00D86A11">
            <w:pPr>
              <w:spacing w:after="0" w:line="240" w:lineRule="auto"/>
              <w:jc w:val="center"/>
              <w:rPr>
                <w:rFonts w:ascii="Calibri" w:eastAsia="Calibri" w:hAnsi="Calibri" w:cs="Arial"/>
                <w:b/>
                <w:bCs/>
                <w:color w:val="auto"/>
                <w:szCs w:val="22"/>
              </w:rPr>
            </w:pPr>
          </w:p>
        </w:tc>
        <w:tc>
          <w:tcPr>
            <w:tcW w:w="2112" w:type="dxa"/>
            <w:shd w:val="clear" w:color="auto" w:fill="013161"/>
          </w:tcPr>
          <w:p w:rsidR="00D86A11" w:rsidRPr="009A4D3F" w:rsidRDefault="00D86A11" w:rsidP="00D86A11">
            <w:pPr>
              <w:spacing w:after="0" w:line="240" w:lineRule="auto"/>
              <w:jc w:val="center"/>
              <w:rPr>
                <w:rFonts w:ascii="Calibri" w:eastAsia="Calibri" w:hAnsi="Calibri" w:cs="Arial"/>
                <w:b/>
                <w:color w:val="auto"/>
                <w:szCs w:val="22"/>
              </w:rPr>
            </w:pPr>
            <w:r w:rsidRPr="009A4D3F">
              <w:rPr>
                <w:rFonts w:ascii="Calibri" w:eastAsia="Calibri" w:hAnsi="Calibri" w:cs="Arial"/>
                <w:b/>
                <w:color w:val="auto"/>
                <w:szCs w:val="22"/>
              </w:rPr>
              <w:t>2010</w:t>
            </w:r>
          </w:p>
        </w:tc>
        <w:tc>
          <w:tcPr>
            <w:tcW w:w="2112" w:type="dxa"/>
            <w:shd w:val="clear" w:color="auto" w:fill="013161"/>
          </w:tcPr>
          <w:p w:rsidR="00D86A11" w:rsidRPr="009A4D3F" w:rsidRDefault="00D86A11" w:rsidP="00D86A11">
            <w:pPr>
              <w:spacing w:after="0" w:line="240" w:lineRule="auto"/>
              <w:jc w:val="center"/>
              <w:rPr>
                <w:rFonts w:ascii="Calibri" w:eastAsia="Calibri" w:hAnsi="Calibri" w:cs="Arial"/>
                <w:b/>
                <w:bCs/>
                <w:color w:val="auto"/>
                <w:szCs w:val="22"/>
              </w:rPr>
            </w:pPr>
            <w:r w:rsidRPr="009A4D3F">
              <w:rPr>
                <w:rFonts w:ascii="Calibri" w:eastAsia="Calibri" w:hAnsi="Calibri" w:cs="Arial"/>
                <w:b/>
                <w:bCs/>
                <w:color w:val="auto"/>
                <w:szCs w:val="22"/>
              </w:rPr>
              <w:t>2014</w:t>
            </w:r>
          </w:p>
        </w:tc>
      </w:tr>
      <w:tr w:rsidR="00D86A11" w:rsidRPr="009A4D3F">
        <w:trPr>
          <w:trHeight w:val="288"/>
        </w:trPr>
        <w:tc>
          <w:tcPr>
            <w:tcW w:w="5130" w:type="dxa"/>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Births to teens ages 15-19 (rate per 1000)</w:t>
            </w:r>
            <w:r w:rsidRPr="009A4D3F">
              <w:rPr>
                <w:rFonts w:ascii="Calibri" w:eastAsia="Calibri" w:hAnsi="Calibri" w:cs="Arial"/>
                <w:b/>
                <w:bCs/>
                <w:color w:val="013161"/>
                <w:szCs w:val="22"/>
                <w:vertAlign w:val="superscript"/>
              </w:rPr>
              <w:endnoteReference w:id="13"/>
            </w:r>
          </w:p>
        </w:tc>
        <w:tc>
          <w:tcPr>
            <w:tcW w:w="2112"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3,163 (</w:t>
            </w:r>
            <w:r>
              <w:rPr>
                <w:rFonts w:ascii="Calibri" w:eastAsia="Calibri" w:hAnsi="Calibri" w:cs="Arial"/>
                <w:b/>
                <w:color w:val="013161"/>
                <w:sz w:val="20"/>
                <w:szCs w:val="22"/>
              </w:rPr>
              <w:t>29.9)</w:t>
            </w:r>
          </w:p>
        </w:tc>
        <w:tc>
          <w:tcPr>
            <w:tcW w:w="2112"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2,244 (22.6)</w:t>
            </w:r>
            <w:r>
              <w:rPr>
                <w:rStyle w:val="FootnoteReference"/>
                <w:rFonts w:ascii="Calibri" w:eastAsia="Calibri" w:hAnsi="Calibri" w:cs="Arial"/>
                <w:b/>
                <w:bCs/>
                <w:color w:val="013161"/>
                <w:sz w:val="20"/>
                <w:szCs w:val="22"/>
              </w:rPr>
              <w:footnoteReference w:id="3"/>
            </w:r>
          </w:p>
        </w:tc>
      </w:tr>
      <w:tr w:rsidR="00D86A11" w:rsidRPr="009A4D3F">
        <w:trPr>
          <w:trHeight w:val="267"/>
        </w:trPr>
        <w:tc>
          <w:tcPr>
            <w:tcW w:w="5130" w:type="dxa"/>
            <w:shd w:val="clear" w:color="auto" w:fill="auto"/>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highlight w:val="yellow"/>
              </w:rPr>
            </w:pPr>
            <w:r w:rsidRPr="009A4D3F">
              <w:rPr>
                <w:rFonts w:ascii="Calibri" w:eastAsia="Calibri" w:hAnsi="Calibri" w:cs="Arial"/>
                <w:b/>
                <w:bCs/>
                <w:color w:val="013161"/>
                <w:sz w:val="20"/>
                <w:szCs w:val="22"/>
              </w:rPr>
              <w:t>Children who leave school prior to graduation</w:t>
            </w:r>
            <w:r w:rsidRPr="009A4D3F">
              <w:rPr>
                <w:rFonts w:ascii="Calibri" w:eastAsia="Calibri" w:hAnsi="Calibri" w:cs="Arial"/>
                <w:b/>
                <w:bCs/>
                <w:color w:val="013161"/>
                <w:szCs w:val="22"/>
                <w:vertAlign w:val="superscript"/>
              </w:rPr>
              <w:endnoteReference w:id="14"/>
            </w:r>
          </w:p>
        </w:tc>
        <w:tc>
          <w:tcPr>
            <w:tcW w:w="2112"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5,421</w:t>
            </w:r>
          </w:p>
        </w:tc>
        <w:tc>
          <w:tcPr>
            <w:tcW w:w="2112"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3,269</w:t>
            </w:r>
          </w:p>
        </w:tc>
      </w:tr>
      <w:tr w:rsidR="00D86A11" w:rsidRPr="009A4D3F">
        <w:trPr>
          <w:trHeight w:val="297"/>
        </w:trPr>
        <w:tc>
          <w:tcPr>
            <w:tcW w:w="5130" w:type="dxa"/>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Children eligible for free/reduced school lunch programs</w:t>
            </w:r>
            <w:r w:rsidRPr="009A4D3F">
              <w:rPr>
                <w:rFonts w:ascii="Calibri" w:eastAsia="Calibri" w:hAnsi="Calibri" w:cs="Arial"/>
                <w:b/>
                <w:bCs/>
                <w:color w:val="013161"/>
                <w:szCs w:val="22"/>
                <w:vertAlign w:val="superscript"/>
              </w:rPr>
              <w:t xml:space="preserve"> </w:t>
            </w:r>
            <w:r w:rsidRPr="009A4D3F">
              <w:rPr>
                <w:rFonts w:ascii="Calibri" w:eastAsia="Calibri" w:hAnsi="Calibri" w:cs="Arial"/>
                <w:b/>
                <w:bCs/>
                <w:color w:val="013161"/>
                <w:szCs w:val="22"/>
                <w:vertAlign w:val="superscript"/>
              </w:rPr>
              <w:endnoteReference w:id="15"/>
            </w:r>
          </w:p>
        </w:tc>
        <w:tc>
          <w:tcPr>
            <w:tcW w:w="2112"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49.5% (241,832)</w:t>
            </w:r>
          </w:p>
        </w:tc>
        <w:tc>
          <w:tcPr>
            <w:tcW w:w="2112"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50.7% (248,319)</w:t>
            </w:r>
          </w:p>
        </w:tc>
      </w:tr>
      <w:tr w:rsidR="00D86A11" w:rsidRPr="009A4D3F">
        <w:trPr>
          <w:trHeight w:val="315"/>
        </w:trPr>
        <w:tc>
          <w:tcPr>
            <w:tcW w:w="5130" w:type="dxa"/>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Infants</w:t>
            </w:r>
            <w:r w:rsidRPr="009A4D3F">
              <w:rPr>
                <w:rFonts w:ascii="Calibri" w:eastAsia="Calibri" w:hAnsi="Calibri" w:cs="Arial"/>
                <w:b/>
                <w:bCs/>
                <w:color w:val="013161"/>
                <w:sz w:val="20"/>
                <w:szCs w:val="22"/>
              </w:rPr>
              <w:t xml:space="preserve"> born with a low birth weight</w:t>
            </w:r>
            <w:r w:rsidRPr="009A4D3F">
              <w:rPr>
                <w:rFonts w:ascii="Calibri" w:eastAsia="Calibri" w:hAnsi="Calibri" w:cs="Arial"/>
                <w:b/>
                <w:bCs/>
                <w:color w:val="013161"/>
                <w:szCs w:val="22"/>
                <w:vertAlign w:val="superscript"/>
              </w:rPr>
              <w:endnoteReference w:id="16"/>
            </w:r>
          </w:p>
        </w:tc>
        <w:tc>
          <w:tcPr>
            <w:tcW w:w="2112"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2,902 (6.5%)</w:t>
            </w:r>
          </w:p>
        </w:tc>
        <w:tc>
          <w:tcPr>
            <w:tcW w:w="2112"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2824 (6.5%)*</w:t>
            </w:r>
          </w:p>
        </w:tc>
      </w:tr>
      <w:tr w:rsidR="00D86A11" w:rsidRPr="009A4D3F">
        <w:trPr>
          <w:trHeight w:val="60"/>
        </w:trPr>
        <w:tc>
          <w:tcPr>
            <w:tcW w:w="5130" w:type="dxa"/>
            <w:shd w:val="clear" w:color="auto" w:fill="auto"/>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Domestic violence calls (per thousand)</w:t>
            </w:r>
            <w:r w:rsidRPr="009A4D3F">
              <w:rPr>
                <w:rFonts w:ascii="Calibri" w:eastAsia="Calibri" w:hAnsi="Calibri" w:cs="Arial"/>
                <w:b/>
                <w:bCs/>
                <w:color w:val="013161"/>
                <w:szCs w:val="22"/>
                <w:vertAlign w:val="superscript"/>
              </w:rPr>
              <w:t xml:space="preserve"> </w:t>
            </w:r>
            <w:r w:rsidRPr="009A4D3F">
              <w:rPr>
                <w:rFonts w:ascii="Calibri" w:eastAsia="Calibri" w:hAnsi="Calibri" w:cs="Arial"/>
                <w:b/>
                <w:bCs/>
                <w:color w:val="013161"/>
                <w:szCs w:val="22"/>
                <w:vertAlign w:val="superscript"/>
              </w:rPr>
              <w:endnoteReference w:id="17"/>
            </w:r>
          </w:p>
        </w:tc>
        <w:tc>
          <w:tcPr>
            <w:tcW w:w="2112"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7.9</w:t>
            </w:r>
          </w:p>
        </w:tc>
        <w:tc>
          <w:tcPr>
            <w:tcW w:w="2112"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7.7</w:t>
            </w:r>
          </w:p>
        </w:tc>
      </w:tr>
      <w:tr w:rsidR="00D86A11" w:rsidRPr="009A4D3F">
        <w:trPr>
          <w:trHeight w:val="60"/>
        </w:trPr>
        <w:tc>
          <w:tcPr>
            <w:tcW w:w="5130" w:type="dxa"/>
            <w:tcBorders>
              <w:bottom w:val="single" w:sz="18" w:space="0" w:color="F6872B"/>
            </w:tcBorders>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 xml:space="preserve">Death </w:t>
            </w:r>
            <w:r>
              <w:rPr>
                <w:rFonts w:ascii="Calibri" w:eastAsia="Calibri" w:hAnsi="Calibri" w:cs="Arial"/>
                <w:b/>
                <w:bCs/>
                <w:color w:val="013161"/>
                <w:sz w:val="20"/>
                <w:szCs w:val="22"/>
              </w:rPr>
              <w:t>r</w:t>
            </w:r>
            <w:r w:rsidRPr="009A4D3F">
              <w:rPr>
                <w:rFonts w:ascii="Calibri" w:eastAsia="Calibri" w:hAnsi="Calibri" w:cs="Arial"/>
                <w:b/>
                <w:bCs/>
                <w:color w:val="013161"/>
                <w:sz w:val="20"/>
                <w:szCs w:val="22"/>
              </w:rPr>
              <w:t>ate (per 100,000)</w:t>
            </w:r>
            <w:r w:rsidRPr="009A4D3F">
              <w:rPr>
                <w:rFonts w:ascii="Calibri" w:eastAsia="Calibri" w:hAnsi="Calibri" w:cs="Arial"/>
                <w:b/>
                <w:bCs/>
                <w:color w:val="013161"/>
                <w:szCs w:val="22"/>
                <w:vertAlign w:val="superscript"/>
              </w:rPr>
              <w:t xml:space="preserve"> </w:t>
            </w:r>
            <w:r w:rsidRPr="009A4D3F">
              <w:rPr>
                <w:rFonts w:ascii="Calibri" w:eastAsia="Calibri" w:hAnsi="Calibri" w:cs="Arial"/>
                <w:b/>
                <w:bCs/>
                <w:color w:val="013161"/>
                <w:szCs w:val="22"/>
                <w:vertAlign w:val="superscript"/>
              </w:rPr>
              <w:endnoteReference w:id="18"/>
            </w:r>
          </w:p>
        </w:tc>
        <w:tc>
          <w:tcPr>
            <w:tcW w:w="2112" w:type="dxa"/>
            <w:tcBorders>
              <w:bottom w:val="single" w:sz="18" w:space="0" w:color="F6872B"/>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29.2</w:t>
            </w:r>
          </w:p>
        </w:tc>
        <w:tc>
          <w:tcPr>
            <w:tcW w:w="2112" w:type="dxa"/>
            <w:tcBorders>
              <w:bottom w:val="single" w:sz="18" w:space="0" w:color="F6872B"/>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28.7</w:t>
            </w:r>
          </w:p>
        </w:tc>
      </w:tr>
    </w:tbl>
    <w:p w:rsidR="00D86A11" w:rsidRDefault="00D86A11" w:rsidP="00D86A11">
      <w:pPr>
        <w:pStyle w:val="Heading2"/>
        <w:rPr>
          <w:rStyle w:val="Heading1Char"/>
          <w:b/>
          <w:color w:val="F6872B"/>
          <w:sz w:val="24"/>
        </w:rPr>
      </w:pPr>
      <w:r>
        <w:rPr>
          <w:rStyle w:val="Heading1Char"/>
          <w:b/>
          <w:color w:val="F6872B"/>
          <w:sz w:val="24"/>
        </w:rPr>
        <w:t>Family Structure</w:t>
      </w:r>
    </w:p>
    <w:p w:rsidR="00D86A11" w:rsidRDefault="00D86A11" w:rsidP="00D86A11">
      <w:pPr>
        <w:pStyle w:val="Heading3"/>
        <w:spacing w:line="276" w:lineRule="auto"/>
        <w:rPr>
          <w:b w:val="0"/>
          <w:color w:val="auto"/>
          <w:sz w:val="22"/>
        </w:rPr>
      </w:pPr>
      <w:r w:rsidRPr="000712B8">
        <w:rPr>
          <w:b w:val="0"/>
          <w:color w:val="auto"/>
          <w:sz w:val="22"/>
        </w:rPr>
        <w:t xml:space="preserve">In 2014, there were 723,355 households with children in </w:t>
      </w:r>
      <w:r>
        <w:rPr>
          <w:b w:val="0"/>
          <w:color w:val="auto"/>
          <w:sz w:val="22"/>
        </w:rPr>
        <w:t xml:space="preserve">the County of </w:t>
      </w:r>
      <w:r w:rsidRPr="000712B8">
        <w:rPr>
          <w:b w:val="0"/>
          <w:color w:val="auto"/>
          <w:sz w:val="22"/>
        </w:rPr>
        <w:t xml:space="preserve">San Diego and 26% of these households were headed by a single parent (male or female). This is a slight increase from 2010, when 25% of households were single parent households. Thus, one in four households have only one parent to shoulder the financial and parenting responsibilities for the family. Multiple studies have shown </w:t>
      </w:r>
      <w:r w:rsidRPr="000712B8">
        <w:rPr>
          <w:b w:val="0"/>
          <w:color w:val="auto"/>
          <w:sz w:val="22"/>
        </w:rPr>
        <w:lastRenderedPageBreak/>
        <w:t>that children raised in single-parent households are at greater risk for poorer social and emotional development in early childhood, poor school achievement, teen pregnancy, and poorer health. These outcomes are the result o</w:t>
      </w:r>
      <w:r w:rsidR="00F1013C" w:rsidRPr="00F1013C">
        <w:rPr>
          <w:b w:val="0"/>
          <w:color w:val="auto"/>
          <w:sz w:val="22"/>
        </w:rPr>
        <w:t>f complex and interacting factors that include reduced family income and family instability. In addition, researchers have found that both single-mother families and cohabiting families where the mother is living with a man, who is not the biological father of all her children, are at higher risk of having been reported for abuse or neglect than are families where the mother is living with the biological father of all her children.</w:t>
      </w:r>
      <w:r w:rsidR="00121985">
        <w:rPr>
          <w:rStyle w:val="EndnoteReference"/>
          <w:b w:val="0"/>
          <w:color w:val="auto"/>
          <w:sz w:val="22"/>
        </w:rPr>
        <w:endnoteReference w:id="19"/>
      </w:r>
    </w:p>
    <w:tbl>
      <w:tblPr>
        <w:tblpPr w:leftFromText="180" w:rightFromText="180" w:vertAnchor="text" w:horzAnchor="margin" w:tblpXSpec="right" w:tblpY="162"/>
        <w:tblW w:w="9450" w:type="dxa"/>
        <w:tblLook w:val="01E0" w:firstRow="1" w:lastRow="1" w:firstColumn="1" w:lastColumn="1" w:noHBand="0" w:noVBand="0"/>
      </w:tblPr>
      <w:tblGrid>
        <w:gridCol w:w="4950"/>
        <w:gridCol w:w="468"/>
        <w:gridCol w:w="1512"/>
        <w:gridCol w:w="2520"/>
      </w:tblGrid>
      <w:tr w:rsidR="00D86A11" w:rsidRPr="009A4D3F">
        <w:trPr>
          <w:trHeight w:val="282"/>
        </w:trPr>
        <w:tc>
          <w:tcPr>
            <w:tcW w:w="9450" w:type="dxa"/>
            <w:gridSpan w:val="4"/>
            <w:tcBorders>
              <w:top w:val="single" w:sz="18" w:space="0" w:color="F6872B"/>
            </w:tcBorders>
            <w:shd w:val="clear" w:color="auto" w:fill="013161"/>
            <w:vAlign w:val="center"/>
          </w:tcPr>
          <w:p w:rsidR="00D86A11" w:rsidRPr="009A4D3F" w:rsidRDefault="00D86A11" w:rsidP="00D86A11">
            <w:pPr>
              <w:spacing w:after="0" w:line="240" w:lineRule="auto"/>
              <w:jc w:val="center"/>
              <w:rPr>
                <w:rFonts w:ascii="Calibri" w:eastAsia="Calibri" w:hAnsi="Calibri" w:cs="Arial"/>
                <w:b/>
                <w:color w:val="auto"/>
                <w:sz w:val="18"/>
                <w:szCs w:val="22"/>
              </w:rPr>
            </w:pPr>
            <w:r>
              <w:rPr>
                <w:rFonts w:ascii="Calibri" w:eastAsia="Calibri" w:hAnsi="Calibri" w:cs="Arial"/>
                <w:b/>
                <w:bCs/>
                <w:color w:val="FFFFFF"/>
                <w:sz w:val="24"/>
                <w:szCs w:val="22"/>
              </w:rPr>
              <w:t xml:space="preserve">Exhibit 13. County of San Diego </w:t>
            </w:r>
            <w:r w:rsidRPr="009A4D3F">
              <w:rPr>
                <w:rFonts w:ascii="Calibri" w:eastAsia="Calibri" w:hAnsi="Calibri" w:cs="Arial"/>
                <w:b/>
                <w:bCs/>
                <w:color w:val="FFFFFF"/>
                <w:sz w:val="24"/>
                <w:szCs w:val="22"/>
              </w:rPr>
              <w:t>Family Structu</w:t>
            </w:r>
            <w:r>
              <w:rPr>
                <w:rFonts w:ascii="Calibri" w:eastAsia="Calibri" w:hAnsi="Calibri" w:cs="Arial"/>
                <w:b/>
                <w:bCs/>
                <w:color w:val="FFFFFF"/>
                <w:sz w:val="24"/>
                <w:szCs w:val="22"/>
              </w:rPr>
              <w:t>re- Total Households</w:t>
            </w:r>
            <w:r w:rsidRPr="009A4D3F">
              <w:rPr>
                <w:rFonts w:ascii="Calibri" w:eastAsia="Calibri" w:hAnsi="Calibri" w:cs="Arial"/>
                <w:b/>
                <w:bCs/>
                <w:color w:val="FFFFFF"/>
                <w:sz w:val="24"/>
                <w:szCs w:val="22"/>
                <w:vertAlign w:val="superscript"/>
              </w:rPr>
              <w:endnoteReference w:id="20"/>
            </w:r>
          </w:p>
        </w:tc>
      </w:tr>
      <w:tr w:rsidR="00D86A11" w:rsidRPr="009A4D3F">
        <w:trPr>
          <w:trHeight w:val="257"/>
        </w:trPr>
        <w:tc>
          <w:tcPr>
            <w:tcW w:w="5418" w:type="dxa"/>
            <w:gridSpan w:val="2"/>
            <w:shd w:val="clear" w:color="auto" w:fill="013161"/>
            <w:vAlign w:val="center"/>
          </w:tcPr>
          <w:p w:rsidR="00D86A11" w:rsidRPr="009A4D3F" w:rsidRDefault="00D86A11" w:rsidP="00D86A11">
            <w:pPr>
              <w:spacing w:after="0" w:line="240" w:lineRule="auto"/>
              <w:jc w:val="center"/>
              <w:rPr>
                <w:rFonts w:ascii="Calibri" w:eastAsia="Calibri" w:hAnsi="Calibri" w:cs="Arial"/>
                <w:b/>
                <w:bCs/>
                <w:color w:val="auto"/>
                <w:szCs w:val="22"/>
              </w:rPr>
            </w:pPr>
          </w:p>
        </w:tc>
        <w:tc>
          <w:tcPr>
            <w:tcW w:w="1512" w:type="dxa"/>
            <w:shd w:val="clear" w:color="auto" w:fill="013161"/>
            <w:vAlign w:val="center"/>
          </w:tcPr>
          <w:p w:rsidR="00D86A11" w:rsidRPr="0089582C" w:rsidRDefault="00D86A11" w:rsidP="00D86A11">
            <w:pPr>
              <w:spacing w:after="0" w:line="240" w:lineRule="auto"/>
              <w:jc w:val="center"/>
              <w:rPr>
                <w:rFonts w:ascii="Calibri" w:eastAsia="Calibri" w:hAnsi="Calibri" w:cs="Arial"/>
                <w:b/>
                <w:color w:val="auto"/>
                <w:szCs w:val="22"/>
              </w:rPr>
            </w:pPr>
            <w:r w:rsidRPr="0089582C">
              <w:rPr>
                <w:rFonts w:ascii="Calibri" w:eastAsia="Calibri" w:hAnsi="Calibri" w:cs="Arial"/>
                <w:b/>
                <w:color w:val="auto"/>
                <w:szCs w:val="22"/>
              </w:rPr>
              <w:t>2010</w:t>
            </w:r>
          </w:p>
        </w:tc>
        <w:tc>
          <w:tcPr>
            <w:tcW w:w="2520" w:type="dxa"/>
            <w:shd w:val="clear" w:color="auto" w:fill="013161"/>
            <w:vAlign w:val="center"/>
          </w:tcPr>
          <w:p w:rsidR="00D86A11" w:rsidRPr="0089582C" w:rsidRDefault="00D86A11" w:rsidP="00D86A11">
            <w:pPr>
              <w:spacing w:after="0" w:line="240" w:lineRule="auto"/>
              <w:jc w:val="center"/>
              <w:rPr>
                <w:rFonts w:ascii="Calibri" w:eastAsia="Calibri" w:hAnsi="Calibri" w:cs="Arial"/>
                <w:b/>
                <w:color w:val="auto"/>
                <w:szCs w:val="22"/>
              </w:rPr>
            </w:pPr>
            <w:r w:rsidRPr="0089582C">
              <w:rPr>
                <w:rFonts w:ascii="Calibri" w:eastAsia="Calibri" w:hAnsi="Calibri" w:cs="Arial"/>
                <w:b/>
                <w:color w:val="auto"/>
                <w:szCs w:val="22"/>
              </w:rPr>
              <w:t>2014</w:t>
            </w:r>
          </w:p>
        </w:tc>
      </w:tr>
      <w:tr w:rsidR="00D86A11" w:rsidRPr="009A4D3F">
        <w:trPr>
          <w:trHeight w:val="189"/>
        </w:trPr>
        <w:tc>
          <w:tcPr>
            <w:tcW w:w="4950" w:type="dxa"/>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Total Families</w:t>
            </w:r>
          </w:p>
        </w:tc>
        <w:tc>
          <w:tcPr>
            <w:tcW w:w="1980" w:type="dxa"/>
            <w:gridSpan w:val="2"/>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703,747</w:t>
            </w:r>
          </w:p>
        </w:tc>
        <w:tc>
          <w:tcPr>
            <w:tcW w:w="252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723,355</w:t>
            </w:r>
          </w:p>
        </w:tc>
      </w:tr>
      <w:tr w:rsidR="00D86A11" w:rsidRPr="009A4D3F">
        <w:trPr>
          <w:trHeight w:val="270"/>
        </w:trPr>
        <w:tc>
          <w:tcPr>
            <w:tcW w:w="4950" w:type="dxa"/>
            <w:shd w:val="clear" w:color="auto" w:fill="auto"/>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Average Family Size</w:t>
            </w:r>
          </w:p>
        </w:tc>
        <w:tc>
          <w:tcPr>
            <w:tcW w:w="1980" w:type="dxa"/>
            <w:gridSpan w:val="2"/>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3.34</w:t>
            </w:r>
          </w:p>
        </w:tc>
        <w:tc>
          <w:tcPr>
            <w:tcW w:w="252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3.45</w:t>
            </w:r>
          </w:p>
        </w:tc>
      </w:tr>
      <w:tr w:rsidR="00D86A11" w:rsidRPr="009A4D3F">
        <w:trPr>
          <w:trHeight w:val="255"/>
        </w:trPr>
        <w:tc>
          <w:tcPr>
            <w:tcW w:w="4950" w:type="dxa"/>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Age of Own Children</w:t>
            </w:r>
          </w:p>
        </w:tc>
        <w:tc>
          <w:tcPr>
            <w:tcW w:w="1980" w:type="dxa"/>
            <w:gridSpan w:val="2"/>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p>
        </w:tc>
        <w:tc>
          <w:tcPr>
            <w:tcW w:w="252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p>
        </w:tc>
      </w:tr>
      <w:tr w:rsidR="00D86A11" w:rsidRPr="009A4D3F">
        <w:trPr>
          <w:trHeight w:val="289"/>
        </w:trPr>
        <w:tc>
          <w:tcPr>
            <w:tcW w:w="4950" w:type="dxa"/>
            <w:shd w:val="clear" w:color="auto" w:fill="auto"/>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 xml:space="preserve">    Under 18 years</w:t>
            </w:r>
          </w:p>
        </w:tc>
        <w:tc>
          <w:tcPr>
            <w:tcW w:w="1980" w:type="dxa"/>
            <w:gridSpan w:val="2"/>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338,835</w:t>
            </w:r>
          </w:p>
        </w:tc>
        <w:tc>
          <w:tcPr>
            <w:tcW w:w="252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334,276</w:t>
            </w:r>
          </w:p>
        </w:tc>
      </w:tr>
      <w:tr w:rsidR="00D86A11" w:rsidRPr="009A4D3F">
        <w:trPr>
          <w:trHeight w:val="270"/>
        </w:trPr>
        <w:tc>
          <w:tcPr>
            <w:tcW w:w="4950" w:type="dxa"/>
            <w:shd w:val="clear" w:color="auto" w:fill="DBE5F1"/>
          </w:tcPr>
          <w:p w:rsidR="00D86A11" w:rsidRPr="004417DA" w:rsidRDefault="00D86A11" w:rsidP="00D86A11">
            <w:pPr>
              <w:tabs>
                <w:tab w:val="left" w:pos="173"/>
              </w:tabs>
              <w:autoSpaceDE w:val="0"/>
              <w:autoSpaceDN w:val="0"/>
              <w:adjustRightInd w:val="0"/>
              <w:spacing w:after="0" w:line="240" w:lineRule="auto"/>
              <w:ind w:left="211" w:hanging="211"/>
              <w:rPr>
                <w:rFonts w:ascii="Calibri" w:eastAsia="Calibri" w:hAnsi="Calibri" w:cs="Arial"/>
                <w:bCs/>
                <w:color w:val="013161"/>
                <w:sz w:val="20"/>
                <w:szCs w:val="18"/>
                <w:highlight w:val="yellow"/>
              </w:rPr>
            </w:pPr>
            <w:r w:rsidRPr="004417DA">
              <w:rPr>
                <w:rFonts w:ascii="Calibri" w:eastAsia="Calibri" w:hAnsi="Calibri" w:cs="Arial"/>
                <w:bCs/>
                <w:color w:val="013161"/>
                <w:sz w:val="20"/>
                <w:szCs w:val="18"/>
              </w:rPr>
              <w:t xml:space="preserve">    Only children under 6 years of age</w:t>
            </w:r>
          </w:p>
        </w:tc>
        <w:tc>
          <w:tcPr>
            <w:tcW w:w="1980" w:type="dxa"/>
            <w:gridSpan w:val="2"/>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23.2%</w:t>
            </w:r>
          </w:p>
        </w:tc>
        <w:tc>
          <w:tcPr>
            <w:tcW w:w="252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23.4%</w:t>
            </w:r>
          </w:p>
        </w:tc>
      </w:tr>
      <w:tr w:rsidR="00D86A11" w:rsidRPr="009A4D3F">
        <w:trPr>
          <w:trHeight w:val="298"/>
        </w:trPr>
        <w:tc>
          <w:tcPr>
            <w:tcW w:w="4950" w:type="dxa"/>
            <w:shd w:val="clear" w:color="auto" w:fill="auto"/>
          </w:tcPr>
          <w:p w:rsidR="00D86A11" w:rsidRPr="004417DA" w:rsidRDefault="00D86A11" w:rsidP="00D86A11">
            <w:pPr>
              <w:tabs>
                <w:tab w:val="left" w:pos="211"/>
              </w:tabs>
              <w:autoSpaceDE w:val="0"/>
              <w:autoSpaceDN w:val="0"/>
              <w:adjustRightInd w:val="0"/>
              <w:spacing w:after="0" w:line="240" w:lineRule="auto"/>
              <w:ind w:left="211" w:hanging="211"/>
              <w:rPr>
                <w:rFonts w:ascii="Calibri" w:eastAsia="Calibri" w:hAnsi="Calibri" w:cs="Arial"/>
                <w:bCs/>
                <w:color w:val="013161"/>
                <w:sz w:val="20"/>
                <w:szCs w:val="18"/>
              </w:rPr>
            </w:pPr>
            <w:r w:rsidRPr="004417DA">
              <w:rPr>
                <w:rFonts w:ascii="Calibri" w:eastAsia="Calibri" w:hAnsi="Calibri" w:cs="Arial"/>
                <w:bCs/>
                <w:color w:val="013161"/>
                <w:sz w:val="20"/>
                <w:szCs w:val="18"/>
              </w:rPr>
              <w:t xml:space="preserve">    Children under 6 years and 6-17 years</w:t>
            </w:r>
          </w:p>
        </w:tc>
        <w:tc>
          <w:tcPr>
            <w:tcW w:w="1980" w:type="dxa"/>
            <w:gridSpan w:val="2"/>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20.5%</w:t>
            </w:r>
          </w:p>
        </w:tc>
        <w:tc>
          <w:tcPr>
            <w:tcW w:w="252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19.8%</w:t>
            </w:r>
          </w:p>
        </w:tc>
      </w:tr>
      <w:tr w:rsidR="00D86A11" w:rsidRPr="009A4D3F">
        <w:trPr>
          <w:trHeight w:val="270"/>
        </w:trPr>
        <w:tc>
          <w:tcPr>
            <w:tcW w:w="4950" w:type="dxa"/>
            <w:tcBorders>
              <w:bottom w:val="single" w:sz="18" w:space="0" w:color="F6872B"/>
            </w:tcBorders>
            <w:shd w:val="clear" w:color="auto" w:fill="DBE5F1"/>
          </w:tcPr>
          <w:p w:rsidR="00D86A11" w:rsidRPr="004417DA" w:rsidRDefault="00D86A11" w:rsidP="00D86A11">
            <w:pPr>
              <w:autoSpaceDE w:val="0"/>
              <w:autoSpaceDN w:val="0"/>
              <w:adjustRightInd w:val="0"/>
              <w:spacing w:after="0" w:line="240" w:lineRule="auto"/>
              <w:ind w:left="211" w:hanging="211"/>
              <w:rPr>
                <w:rFonts w:ascii="Calibri" w:eastAsia="Calibri" w:hAnsi="Calibri" w:cs="Arial"/>
                <w:bCs/>
                <w:color w:val="013161"/>
                <w:sz w:val="20"/>
                <w:szCs w:val="18"/>
              </w:rPr>
            </w:pPr>
            <w:r w:rsidRPr="004417DA">
              <w:rPr>
                <w:rFonts w:ascii="Calibri" w:eastAsia="Calibri" w:hAnsi="Calibri" w:cs="Arial"/>
                <w:bCs/>
                <w:color w:val="013161"/>
                <w:sz w:val="20"/>
                <w:szCs w:val="18"/>
              </w:rPr>
              <w:t xml:space="preserve">    Only children aged 6-17 years</w:t>
            </w:r>
          </w:p>
        </w:tc>
        <w:tc>
          <w:tcPr>
            <w:tcW w:w="1980" w:type="dxa"/>
            <w:gridSpan w:val="2"/>
            <w:tcBorders>
              <w:bottom w:val="single" w:sz="18" w:space="0" w:color="F6872B"/>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56.3%</w:t>
            </w:r>
          </w:p>
        </w:tc>
        <w:tc>
          <w:tcPr>
            <w:tcW w:w="2520" w:type="dxa"/>
            <w:tcBorders>
              <w:bottom w:val="single" w:sz="18" w:space="0" w:color="F6872B"/>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56.8%</w:t>
            </w:r>
          </w:p>
        </w:tc>
      </w:tr>
    </w:tbl>
    <w:p w:rsidR="00D86A11" w:rsidRDefault="00381ECB" w:rsidP="00D86A11">
      <w:pPr>
        <w:pStyle w:val="Heading3"/>
        <w:spacing w:line="276" w:lineRule="auto"/>
        <w:rPr>
          <w:b w:val="0"/>
          <w:color w:val="auto"/>
          <w:sz w:val="22"/>
        </w:rPr>
      </w:pPr>
      <w:r>
        <w:rPr>
          <w:b w:val="0"/>
          <w:color w:val="auto"/>
          <w:sz w:val="22"/>
        </w:rPr>
        <w:t xml:space="preserve">Many children are </w:t>
      </w:r>
      <w:r w:rsidR="00D86A11" w:rsidRPr="00975D1F">
        <w:rPr>
          <w:b w:val="0"/>
          <w:color w:val="auto"/>
          <w:sz w:val="22"/>
        </w:rPr>
        <w:t>being raised by their grandparents or other relatives. According to the Grandparents Raising Grandchildren website (</w:t>
      </w:r>
      <w:hyperlink r:id="rId33" w:history="1">
        <w:r w:rsidRPr="00A93553">
          <w:rPr>
            <w:rStyle w:val="Hyperlink"/>
            <w:rFonts w:ascii="Franklin Gothic Book" w:hAnsi="Franklin Gothic Book"/>
            <w:b w:val="0"/>
            <w:sz w:val="22"/>
          </w:rPr>
          <w:t>http://211sandiego.org/grandparents</w:t>
        </w:r>
      </w:hyperlink>
      <w:r>
        <w:rPr>
          <w:b w:val="0"/>
          <w:color w:val="auto"/>
          <w:sz w:val="22"/>
        </w:rPr>
        <w:t xml:space="preserve">), </w:t>
      </w:r>
      <w:r w:rsidR="00D86A11" w:rsidRPr="00975D1F">
        <w:rPr>
          <w:b w:val="0"/>
          <w:color w:val="auto"/>
          <w:sz w:val="22"/>
        </w:rPr>
        <w:t xml:space="preserve">more than 24,000 grandparents in </w:t>
      </w:r>
      <w:r w:rsidR="00D86A11">
        <w:rPr>
          <w:b w:val="0"/>
          <w:color w:val="auto"/>
          <w:sz w:val="22"/>
        </w:rPr>
        <w:t xml:space="preserve">the County of San Diego </w:t>
      </w:r>
      <w:r w:rsidR="00D86A11" w:rsidRPr="00975D1F">
        <w:rPr>
          <w:b w:val="0"/>
          <w:color w:val="auto"/>
          <w:sz w:val="22"/>
        </w:rPr>
        <w:t xml:space="preserve">have primary responsibility for raising their grandchildren. As surrogate parents, they are forced to re-learn and navigate a complex network of health, </w:t>
      </w:r>
      <w:r w:rsidR="00D86A11">
        <w:rPr>
          <w:b w:val="0"/>
          <w:color w:val="auto"/>
          <w:sz w:val="22"/>
        </w:rPr>
        <w:t xml:space="preserve">social service and </w:t>
      </w:r>
      <w:r w:rsidR="00D86A11" w:rsidRPr="00975D1F">
        <w:rPr>
          <w:b w:val="0"/>
          <w:color w:val="auto"/>
          <w:sz w:val="22"/>
        </w:rPr>
        <w:t>education</w:t>
      </w:r>
      <w:r w:rsidR="00083B98">
        <w:rPr>
          <w:b w:val="0"/>
          <w:color w:val="auto"/>
          <w:sz w:val="22"/>
        </w:rPr>
        <w:t xml:space="preserve"> systems</w:t>
      </w:r>
      <w:r w:rsidR="00D86A11">
        <w:rPr>
          <w:b w:val="0"/>
          <w:color w:val="auto"/>
          <w:sz w:val="22"/>
        </w:rPr>
        <w:t xml:space="preserve"> </w:t>
      </w:r>
      <w:r w:rsidR="00D86A11" w:rsidRPr="00975D1F">
        <w:rPr>
          <w:b w:val="0"/>
          <w:color w:val="auto"/>
          <w:sz w:val="22"/>
        </w:rPr>
        <w:t>that can be quite different from when they raised their own children. Although we do not know the exact numbers, we know that many grandparents are caring for children in the Child Welfare and Probation systems.</w:t>
      </w:r>
    </w:p>
    <w:p w:rsidR="00D86A11" w:rsidRPr="00721EF1" w:rsidRDefault="00D86A11" w:rsidP="00D86A11">
      <w:pPr>
        <w:spacing w:after="0"/>
        <w:rPr>
          <w:vanish/>
        </w:rPr>
      </w:pPr>
    </w:p>
    <w:tbl>
      <w:tblPr>
        <w:tblpPr w:leftFromText="180" w:rightFromText="180" w:vertAnchor="text" w:horzAnchor="margin" w:tblpY="381"/>
        <w:tblW w:w="9761" w:type="dxa"/>
        <w:tblLook w:val="01E0" w:firstRow="1" w:lastRow="1" w:firstColumn="1" w:lastColumn="1" w:noHBand="0" w:noVBand="0"/>
      </w:tblPr>
      <w:tblGrid>
        <w:gridCol w:w="2178"/>
        <w:gridCol w:w="1109"/>
        <w:gridCol w:w="1341"/>
        <w:gridCol w:w="1333"/>
        <w:gridCol w:w="1109"/>
        <w:gridCol w:w="1335"/>
        <w:gridCol w:w="1356"/>
      </w:tblGrid>
      <w:tr w:rsidR="00D86A11" w:rsidRPr="009A4D3F" w:rsidTr="00381ECB">
        <w:trPr>
          <w:trHeight w:val="424"/>
        </w:trPr>
        <w:tc>
          <w:tcPr>
            <w:tcW w:w="9761" w:type="dxa"/>
            <w:gridSpan w:val="7"/>
            <w:tcBorders>
              <w:top w:val="single" w:sz="18" w:space="0" w:color="F6872B"/>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 w:val="24"/>
                <w:szCs w:val="22"/>
              </w:rPr>
              <w:t>Exhibit 14. County of San Diego Family Structure- Breakdown by Household Type</w:t>
            </w:r>
            <w:r w:rsidRPr="009A4D3F">
              <w:rPr>
                <w:rFonts w:ascii="Calibri" w:eastAsia="Calibri" w:hAnsi="Calibri" w:cs="Arial"/>
                <w:b/>
                <w:bCs/>
                <w:color w:val="FFFFFF"/>
                <w:sz w:val="24"/>
                <w:szCs w:val="22"/>
                <w:vertAlign w:val="superscript"/>
              </w:rPr>
              <w:endnoteReference w:id="21"/>
            </w:r>
          </w:p>
        </w:tc>
      </w:tr>
      <w:tr w:rsidR="00D86A11" w:rsidRPr="009A4D3F" w:rsidTr="00381ECB">
        <w:trPr>
          <w:trHeight w:val="286"/>
        </w:trPr>
        <w:tc>
          <w:tcPr>
            <w:tcW w:w="2178" w:type="dxa"/>
            <w:shd w:val="clear" w:color="auto" w:fill="013161"/>
          </w:tcPr>
          <w:p w:rsidR="00D86A11" w:rsidRPr="009A4D3F" w:rsidRDefault="00D86A11" w:rsidP="00D86A11">
            <w:pPr>
              <w:spacing w:after="0" w:line="240" w:lineRule="auto"/>
              <w:jc w:val="center"/>
              <w:rPr>
                <w:rFonts w:ascii="Calibri" w:eastAsia="Calibri" w:hAnsi="Calibri" w:cs="Arial"/>
                <w:b/>
                <w:bCs/>
                <w:color w:val="auto"/>
                <w:szCs w:val="22"/>
              </w:rPr>
            </w:pPr>
          </w:p>
        </w:tc>
        <w:tc>
          <w:tcPr>
            <w:tcW w:w="3783" w:type="dxa"/>
            <w:gridSpan w:val="3"/>
            <w:shd w:val="clear" w:color="auto" w:fill="013161"/>
          </w:tcPr>
          <w:p w:rsidR="00D86A11" w:rsidRPr="009A4D3F" w:rsidRDefault="00D86A11" w:rsidP="00D86A11">
            <w:pPr>
              <w:spacing w:after="0" w:line="240" w:lineRule="auto"/>
              <w:jc w:val="center"/>
              <w:rPr>
                <w:rFonts w:ascii="Calibri" w:eastAsia="Calibri" w:hAnsi="Calibri" w:cs="Arial"/>
                <w:b/>
                <w:color w:val="auto"/>
                <w:szCs w:val="22"/>
              </w:rPr>
            </w:pPr>
            <w:r w:rsidRPr="009A4D3F">
              <w:rPr>
                <w:rFonts w:ascii="Calibri" w:eastAsia="Calibri" w:hAnsi="Calibri" w:cs="Arial"/>
                <w:b/>
                <w:color w:val="auto"/>
                <w:szCs w:val="22"/>
              </w:rPr>
              <w:t>2010</w:t>
            </w:r>
          </w:p>
        </w:tc>
        <w:tc>
          <w:tcPr>
            <w:tcW w:w="3800" w:type="dxa"/>
            <w:gridSpan w:val="3"/>
            <w:shd w:val="clear" w:color="auto" w:fill="013161"/>
          </w:tcPr>
          <w:p w:rsidR="00D86A11" w:rsidRPr="009A4D3F" w:rsidRDefault="00D86A11" w:rsidP="00D86A11">
            <w:pPr>
              <w:spacing w:after="0" w:line="240" w:lineRule="auto"/>
              <w:jc w:val="center"/>
              <w:rPr>
                <w:rFonts w:ascii="Calibri" w:eastAsia="Calibri" w:hAnsi="Calibri" w:cs="Arial"/>
                <w:b/>
                <w:bCs/>
                <w:color w:val="auto"/>
                <w:szCs w:val="22"/>
              </w:rPr>
            </w:pPr>
            <w:r w:rsidRPr="009A4D3F">
              <w:rPr>
                <w:rFonts w:ascii="Calibri" w:eastAsia="Calibri" w:hAnsi="Calibri" w:cs="Arial"/>
                <w:b/>
                <w:bCs/>
                <w:color w:val="auto"/>
                <w:szCs w:val="22"/>
              </w:rPr>
              <w:t>2014</w:t>
            </w:r>
          </w:p>
        </w:tc>
      </w:tr>
      <w:tr w:rsidR="00D86A11" w:rsidRPr="009A4D3F" w:rsidTr="00381ECB">
        <w:trPr>
          <w:trHeight w:val="286"/>
        </w:trPr>
        <w:tc>
          <w:tcPr>
            <w:tcW w:w="2178" w:type="dxa"/>
            <w:shd w:val="clear" w:color="auto" w:fill="013161"/>
            <w:vAlign w:val="center"/>
          </w:tcPr>
          <w:p w:rsidR="00D86A11" w:rsidRPr="009A4D3F" w:rsidRDefault="00D86A11" w:rsidP="00D86A11">
            <w:pPr>
              <w:spacing w:after="0" w:line="240" w:lineRule="auto"/>
              <w:jc w:val="center"/>
              <w:rPr>
                <w:rFonts w:ascii="Calibri" w:eastAsia="Calibri" w:hAnsi="Calibri" w:cs="Arial"/>
                <w:b/>
                <w:bCs/>
                <w:color w:val="auto"/>
                <w:szCs w:val="22"/>
              </w:rPr>
            </w:pPr>
          </w:p>
        </w:tc>
        <w:tc>
          <w:tcPr>
            <w:tcW w:w="1109" w:type="dxa"/>
            <w:shd w:val="clear" w:color="auto" w:fill="013161"/>
            <w:vAlign w:val="center"/>
          </w:tcPr>
          <w:p w:rsidR="00D86A11" w:rsidRPr="00C959E9" w:rsidRDefault="00D86A11" w:rsidP="00D86A11">
            <w:pPr>
              <w:spacing w:after="0" w:line="240" w:lineRule="auto"/>
              <w:jc w:val="center"/>
              <w:rPr>
                <w:rFonts w:ascii="Calibri" w:eastAsia="Calibri" w:hAnsi="Calibri" w:cs="Arial"/>
                <w:b/>
                <w:color w:val="auto"/>
                <w:sz w:val="20"/>
                <w:szCs w:val="22"/>
              </w:rPr>
            </w:pPr>
            <w:r w:rsidRPr="00C959E9">
              <w:rPr>
                <w:rFonts w:ascii="Calibri" w:eastAsia="Calibri" w:hAnsi="Calibri" w:cs="Arial"/>
                <w:b/>
                <w:color w:val="auto"/>
                <w:sz w:val="20"/>
                <w:szCs w:val="22"/>
              </w:rPr>
              <w:t>Married Couple Family Household</w:t>
            </w:r>
          </w:p>
        </w:tc>
        <w:tc>
          <w:tcPr>
            <w:tcW w:w="1341" w:type="dxa"/>
            <w:shd w:val="clear" w:color="auto" w:fill="013161"/>
            <w:vAlign w:val="center"/>
          </w:tcPr>
          <w:p w:rsidR="00D86A11" w:rsidRPr="00C959E9" w:rsidRDefault="00D86A11" w:rsidP="00D86A11">
            <w:pPr>
              <w:spacing w:after="0" w:line="240" w:lineRule="auto"/>
              <w:jc w:val="center"/>
              <w:rPr>
                <w:rFonts w:ascii="Calibri" w:eastAsia="Calibri" w:hAnsi="Calibri" w:cs="Arial"/>
                <w:b/>
                <w:color w:val="auto"/>
                <w:sz w:val="20"/>
                <w:szCs w:val="22"/>
              </w:rPr>
            </w:pPr>
            <w:r w:rsidRPr="00C959E9">
              <w:rPr>
                <w:rFonts w:ascii="Calibri" w:eastAsia="Calibri" w:hAnsi="Calibri" w:cs="Arial"/>
                <w:b/>
                <w:color w:val="auto"/>
                <w:sz w:val="20"/>
                <w:szCs w:val="22"/>
              </w:rPr>
              <w:t>Male Householder, no wife present</w:t>
            </w:r>
          </w:p>
        </w:tc>
        <w:tc>
          <w:tcPr>
            <w:tcW w:w="1333" w:type="dxa"/>
            <w:tcBorders>
              <w:right w:val="single" w:sz="18" w:space="0" w:color="F6872B"/>
            </w:tcBorders>
            <w:shd w:val="clear" w:color="auto" w:fill="013161"/>
            <w:vAlign w:val="center"/>
          </w:tcPr>
          <w:p w:rsidR="00D86A11" w:rsidRPr="00C959E9" w:rsidRDefault="00D86A11" w:rsidP="00D86A11">
            <w:pPr>
              <w:spacing w:after="0" w:line="240" w:lineRule="auto"/>
              <w:jc w:val="center"/>
              <w:rPr>
                <w:rFonts w:ascii="Calibri" w:eastAsia="Calibri" w:hAnsi="Calibri" w:cs="Arial"/>
                <w:b/>
                <w:color w:val="auto"/>
                <w:sz w:val="20"/>
                <w:szCs w:val="22"/>
              </w:rPr>
            </w:pPr>
            <w:r w:rsidRPr="00C959E9">
              <w:rPr>
                <w:rFonts w:ascii="Calibri" w:eastAsia="Calibri" w:hAnsi="Calibri" w:cs="Arial"/>
                <w:b/>
                <w:color w:val="auto"/>
                <w:sz w:val="20"/>
                <w:szCs w:val="22"/>
              </w:rPr>
              <w:t>Female Householder, no husband present</w:t>
            </w:r>
          </w:p>
        </w:tc>
        <w:tc>
          <w:tcPr>
            <w:tcW w:w="1109" w:type="dxa"/>
            <w:tcBorders>
              <w:left w:val="single" w:sz="18" w:space="0" w:color="F6872B"/>
            </w:tcBorders>
            <w:shd w:val="clear" w:color="auto" w:fill="013161"/>
            <w:vAlign w:val="center"/>
          </w:tcPr>
          <w:p w:rsidR="00D86A11" w:rsidRPr="00C959E9" w:rsidRDefault="00D86A11" w:rsidP="00D86A11">
            <w:pPr>
              <w:spacing w:after="0" w:line="240" w:lineRule="auto"/>
              <w:jc w:val="center"/>
              <w:rPr>
                <w:rFonts w:ascii="Calibri" w:eastAsia="Calibri" w:hAnsi="Calibri" w:cs="Arial"/>
                <w:b/>
                <w:color w:val="auto"/>
                <w:sz w:val="20"/>
                <w:szCs w:val="22"/>
              </w:rPr>
            </w:pPr>
            <w:r w:rsidRPr="00C959E9">
              <w:rPr>
                <w:rFonts w:ascii="Calibri" w:eastAsia="Calibri" w:hAnsi="Calibri" w:cs="Arial"/>
                <w:b/>
                <w:color w:val="auto"/>
                <w:sz w:val="20"/>
                <w:szCs w:val="22"/>
              </w:rPr>
              <w:t>Married Couple Family Household</w:t>
            </w:r>
          </w:p>
        </w:tc>
        <w:tc>
          <w:tcPr>
            <w:tcW w:w="1335" w:type="dxa"/>
            <w:shd w:val="clear" w:color="auto" w:fill="013161"/>
            <w:vAlign w:val="center"/>
          </w:tcPr>
          <w:p w:rsidR="00D86A11" w:rsidRPr="00C959E9" w:rsidRDefault="00D86A11" w:rsidP="00D86A11">
            <w:pPr>
              <w:spacing w:after="0" w:line="240" w:lineRule="auto"/>
              <w:jc w:val="center"/>
              <w:rPr>
                <w:rFonts w:ascii="Calibri" w:eastAsia="Calibri" w:hAnsi="Calibri" w:cs="Arial"/>
                <w:b/>
                <w:color w:val="auto"/>
                <w:sz w:val="20"/>
                <w:szCs w:val="22"/>
              </w:rPr>
            </w:pPr>
            <w:r w:rsidRPr="00C959E9">
              <w:rPr>
                <w:rFonts w:ascii="Calibri" w:eastAsia="Calibri" w:hAnsi="Calibri" w:cs="Arial"/>
                <w:b/>
                <w:color w:val="auto"/>
                <w:sz w:val="20"/>
                <w:szCs w:val="22"/>
              </w:rPr>
              <w:t>Male Householder, no wife present</w:t>
            </w:r>
          </w:p>
        </w:tc>
        <w:tc>
          <w:tcPr>
            <w:tcW w:w="1356" w:type="dxa"/>
            <w:shd w:val="clear" w:color="auto" w:fill="013161"/>
            <w:vAlign w:val="center"/>
          </w:tcPr>
          <w:p w:rsidR="00D86A11" w:rsidRPr="00C959E9" w:rsidRDefault="00D86A11" w:rsidP="00D86A11">
            <w:pPr>
              <w:spacing w:after="0" w:line="240" w:lineRule="auto"/>
              <w:jc w:val="center"/>
              <w:rPr>
                <w:rFonts w:ascii="Calibri" w:eastAsia="Calibri" w:hAnsi="Calibri" w:cs="Arial"/>
                <w:b/>
                <w:bCs/>
                <w:color w:val="auto"/>
                <w:sz w:val="20"/>
                <w:szCs w:val="22"/>
              </w:rPr>
            </w:pPr>
            <w:r w:rsidRPr="00C959E9">
              <w:rPr>
                <w:rFonts w:ascii="Calibri" w:eastAsia="Calibri" w:hAnsi="Calibri" w:cs="Arial"/>
                <w:b/>
                <w:bCs/>
                <w:color w:val="auto"/>
                <w:sz w:val="20"/>
                <w:szCs w:val="22"/>
              </w:rPr>
              <w:t>Female Householder, no husband present</w:t>
            </w:r>
          </w:p>
        </w:tc>
      </w:tr>
      <w:tr w:rsidR="00D86A11" w:rsidRPr="009A4D3F" w:rsidTr="00381ECB">
        <w:trPr>
          <w:trHeight w:val="192"/>
        </w:trPr>
        <w:tc>
          <w:tcPr>
            <w:tcW w:w="2178" w:type="dxa"/>
            <w:shd w:val="clear" w:color="auto" w:fill="DBE5F1"/>
          </w:tcPr>
          <w:p w:rsidR="00D86A11" w:rsidRPr="00C959E9" w:rsidRDefault="00D86A11" w:rsidP="00D86A11">
            <w:pPr>
              <w:autoSpaceDE w:val="0"/>
              <w:autoSpaceDN w:val="0"/>
              <w:adjustRightInd w:val="0"/>
              <w:spacing w:after="0" w:line="240" w:lineRule="auto"/>
              <w:rPr>
                <w:rFonts w:ascii="Calibri" w:eastAsia="Calibri" w:hAnsi="Calibri" w:cs="Arial"/>
                <w:b/>
                <w:bCs/>
                <w:color w:val="013161"/>
                <w:sz w:val="20"/>
              </w:rPr>
            </w:pPr>
            <w:r w:rsidRPr="00C959E9">
              <w:rPr>
                <w:rFonts w:ascii="Calibri" w:eastAsia="Calibri" w:hAnsi="Calibri" w:cs="Arial"/>
                <w:b/>
                <w:bCs/>
                <w:color w:val="013161"/>
                <w:sz w:val="20"/>
              </w:rPr>
              <w:t>Total Families</w:t>
            </w:r>
          </w:p>
        </w:tc>
        <w:tc>
          <w:tcPr>
            <w:tcW w:w="1109" w:type="dxa"/>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527,143</w:t>
            </w:r>
          </w:p>
        </w:tc>
        <w:tc>
          <w:tcPr>
            <w:tcW w:w="1341" w:type="dxa"/>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52,334</w:t>
            </w:r>
          </w:p>
        </w:tc>
        <w:tc>
          <w:tcPr>
            <w:tcW w:w="1333" w:type="dxa"/>
            <w:tcBorders>
              <w:right w:val="single" w:sz="18" w:space="0" w:color="F6872B"/>
            </w:tcBorders>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124,270</w:t>
            </w:r>
          </w:p>
        </w:tc>
        <w:tc>
          <w:tcPr>
            <w:tcW w:w="1109" w:type="dxa"/>
            <w:tcBorders>
              <w:left w:val="single" w:sz="18" w:space="0" w:color="F6872B"/>
            </w:tcBorders>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536,854</w:t>
            </w:r>
          </w:p>
        </w:tc>
        <w:tc>
          <w:tcPr>
            <w:tcW w:w="1335" w:type="dxa"/>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54,116</w:t>
            </w:r>
          </w:p>
        </w:tc>
        <w:tc>
          <w:tcPr>
            <w:tcW w:w="1356" w:type="dxa"/>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C959E9">
              <w:rPr>
                <w:rFonts w:ascii="Calibri" w:eastAsia="Calibri" w:hAnsi="Calibri" w:cs="Arial"/>
                <w:b/>
                <w:bCs/>
                <w:color w:val="013161"/>
                <w:sz w:val="20"/>
              </w:rPr>
              <w:t>132,385</w:t>
            </w:r>
          </w:p>
        </w:tc>
      </w:tr>
      <w:tr w:rsidR="00D86A11" w:rsidRPr="009A4D3F" w:rsidTr="00381ECB">
        <w:trPr>
          <w:trHeight w:val="273"/>
        </w:trPr>
        <w:tc>
          <w:tcPr>
            <w:tcW w:w="2178" w:type="dxa"/>
            <w:shd w:val="clear" w:color="auto" w:fill="auto"/>
          </w:tcPr>
          <w:p w:rsidR="00D86A11" w:rsidRPr="00C959E9" w:rsidRDefault="00D86A11" w:rsidP="00D86A11">
            <w:pPr>
              <w:autoSpaceDE w:val="0"/>
              <w:autoSpaceDN w:val="0"/>
              <w:adjustRightInd w:val="0"/>
              <w:spacing w:after="0" w:line="240" w:lineRule="auto"/>
              <w:rPr>
                <w:rFonts w:ascii="Calibri" w:eastAsia="Calibri" w:hAnsi="Calibri" w:cs="Arial"/>
                <w:b/>
                <w:bCs/>
                <w:color w:val="013161"/>
                <w:sz w:val="20"/>
              </w:rPr>
            </w:pPr>
            <w:r w:rsidRPr="00C959E9">
              <w:rPr>
                <w:rFonts w:ascii="Calibri" w:eastAsia="Calibri" w:hAnsi="Calibri" w:cs="Arial"/>
                <w:b/>
                <w:bCs/>
                <w:color w:val="013161"/>
                <w:sz w:val="20"/>
              </w:rPr>
              <w:t>Average Family Size</w:t>
            </w:r>
          </w:p>
        </w:tc>
        <w:tc>
          <w:tcPr>
            <w:tcW w:w="1109" w:type="dxa"/>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3.38</w:t>
            </w:r>
          </w:p>
        </w:tc>
        <w:tc>
          <w:tcPr>
            <w:tcW w:w="1341" w:type="dxa"/>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3.16</w:t>
            </w:r>
          </w:p>
        </w:tc>
        <w:tc>
          <w:tcPr>
            <w:tcW w:w="1333" w:type="dxa"/>
            <w:tcBorders>
              <w:right w:val="single" w:sz="18" w:space="0" w:color="F6872B"/>
            </w:tcBorders>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3.24</w:t>
            </w:r>
          </w:p>
        </w:tc>
        <w:tc>
          <w:tcPr>
            <w:tcW w:w="1109" w:type="dxa"/>
            <w:tcBorders>
              <w:left w:val="single" w:sz="18" w:space="0" w:color="F6872B"/>
            </w:tcBorders>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3.47</w:t>
            </w:r>
          </w:p>
        </w:tc>
        <w:tc>
          <w:tcPr>
            <w:tcW w:w="1335" w:type="dxa"/>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3.27</w:t>
            </w:r>
          </w:p>
        </w:tc>
        <w:tc>
          <w:tcPr>
            <w:tcW w:w="1356" w:type="dxa"/>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C959E9">
              <w:rPr>
                <w:rFonts w:ascii="Calibri" w:eastAsia="Calibri" w:hAnsi="Calibri" w:cs="Arial"/>
                <w:b/>
                <w:bCs/>
                <w:color w:val="013161"/>
                <w:sz w:val="20"/>
              </w:rPr>
              <w:t>3.43</w:t>
            </w:r>
          </w:p>
        </w:tc>
      </w:tr>
      <w:tr w:rsidR="00D86A11" w:rsidRPr="009A4D3F" w:rsidTr="00381ECB">
        <w:trPr>
          <w:trHeight w:val="260"/>
        </w:trPr>
        <w:tc>
          <w:tcPr>
            <w:tcW w:w="2178" w:type="dxa"/>
            <w:shd w:val="clear" w:color="auto" w:fill="DBE5F1"/>
          </w:tcPr>
          <w:p w:rsidR="00D86A11" w:rsidRPr="00C959E9" w:rsidRDefault="00D86A11" w:rsidP="00D86A11">
            <w:pPr>
              <w:autoSpaceDE w:val="0"/>
              <w:autoSpaceDN w:val="0"/>
              <w:adjustRightInd w:val="0"/>
              <w:spacing w:after="0" w:line="240" w:lineRule="auto"/>
              <w:rPr>
                <w:rFonts w:ascii="Calibri" w:eastAsia="Calibri" w:hAnsi="Calibri" w:cs="Arial"/>
                <w:b/>
                <w:bCs/>
                <w:color w:val="013161"/>
                <w:sz w:val="20"/>
              </w:rPr>
            </w:pPr>
            <w:r w:rsidRPr="00C959E9">
              <w:rPr>
                <w:rFonts w:ascii="Calibri" w:eastAsia="Calibri" w:hAnsi="Calibri" w:cs="Arial"/>
                <w:b/>
                <w:bCs/>
                <w:color w:val="013161"/>
                <w:sz w:val="20"/>
              </w:rPr>
              <w:t>Age of Own Children</w:t>
            </w:r>
          </w:p>
        </w:tc>
        <w:tc>
          <w:tcPr>
            <w:tcW w:w="1109" w:type="dxa"/>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p>
        </w:tc>
        <w:tc>
          <w:tcPr>
            <w:tcW w:w="1341" w:type="dxa"/>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p>
        </w:tc>
        <w:tc>
          <w:tcPr>
            <w:tcW w:w="1333" w:type="dxa"/>
            <w:tcBorders>
              <w:right w:val="single" w:sz="18" w:space="0" w:color="F6872B"/>
            </w:tcBorders>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p>
        </w:tc>
        <w:tc>
          <w:tcPr>
            <w:tcW w:w="1109" w:type="dxa"/>
            <w:tcBorders>
              <w:left w:val="single" w:sz="18" w:space="0" w:color="F6872B"/>
            </w:tcBorders>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p>
        </w:tc>
        <w:tc>
          <w:tcPr>
            <w:tcW w:w="1335" w:type="dxa"/>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p>
        </w:tc>
        <w:tc>
          <w:tcPr>
            <w:tcW w:w="1356" w:type="dxa"/>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bCs/>
                <w:color w:val="013161"/>
                <w:sz w:val="20"/>
              </w:rPr>
            </w:pPr>
          </w:p>
        </w:tc>
      </w:tr>
      <w:tr w:rsidR="00D86A11" w:rsidRPr="009A4D3F" w:rsidTr="00381ECB">
        <w:trPr>
          <w:trHeight w:val="295"/>
        </w:trPr>
        <w:tc>
          <w:tcPr>
            <w:tcW w:w="2178" w:type="dxa"/>
            <w:shd w:val="clear" w:color="auto" w:fill="auto"/>
          </w:tcPr>
          <w:p w:rsidR="00D86A11" w:rsidRPr="00C959E9" w:rsidRDefault="00D86A11" w:rsidP="00D86A11">
            <w:pPr>
              <w:autoSpaceDE w:val="0"/>
              <w:autoSpaceDN w:val="0"/>
              <w:adjustRightInd w:val="0"/>
              <w:spacing w:after="0" w:line="240" w:lineRule="auto"/>
              <w:rPr>
                <w:rFonts w:ascii="Calibri" w:eastAsia="Calibri" w:hAnsi="Calibri" w:cs="Arial"/>
                <w:b/>
                <w:bCs/>
                <w:color w:val="013161"/>
                <w:sz w:val="20"/>
              </w:rPr>
            </w:pPr>
            <w:r w:rsidRPr="00C959E9">
              <w:rPr>
                <w:rFonts w:ascii="Calibri" w:eastAsia="Calibri" w:hAnsi="Calibri" w:cs="Arial"/>
                <w:b/>
                <w:bCs/>
                <w:color w:val="013161"/>
                <w:sz w:val="20"/>
              </w:rPr>
              <w:t xml:space="preserve">    Under 18 years</w:t>
            </w:r>
          </w:p>
        </w:tc>
        <w:tc>
          <w:tcPr>
            <w:tcW w:w="1109" w:type="dxa"/>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244,844</w:t>
            </w:r>
          </w:p>
        </w:tc>
        <w:tc>
          <w:tcPr>
            <w:tcW w:w="1341" w:type="dxa"/>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23,791</w:t>
            </w:r>
          </w:p>
        </w:tc>
        <w:tc>
          <w:tcPr>
            <w:tcW w:w="1333" w:type="dxa"/>
            <w:tcBorders>
              <w:right w:val="single" w:sz="18" w:space="0" w:color="F6872B"/>
            </w:tcBorders>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70,200</w:t>
            </w:r>
          </w:p>
        </w:tc>
        <w:tc>
          <w:tcPr>
            <w:tcW w:w="1109" w:type="dxa"/>
            <w:tcBorders>
              <w:left w:val="single" w:sz="18" w:space="0" w:color="F6872B"/>
            </w:tcBorders>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240,965</w:t>
            </w:r>
          </w:p>
        </w:tc>
        <w:tc>
          <w:tcPr>
            <w:tcW w:w="1335" w:type="dxa"/>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24,227</w:t>
            </w:r>
          </w:p>
        </w:tc>
        <w:tc>
          <w:tcPr>
            <w:tcW w:w="1356" w:type="dxa"/>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C959E9">
              <w:rPr>
                <w:rFonts w:ascii="Calibri" w:eastAsia="Calibri" w:hAnsi="Calibri" w:cs="Arial"/>
                <w:b/>
                <w:bCs/>
                <w:color w:val="013161"/>
                <w:sz w:val="20"/>
              </w:rPr>
              <w:t>69,084</w:t>
            </w:r>
          </w:p>
        </w:tc>
      </w:tr>
      <w:tr w:rsidR="00D86A11" w:rsidRPr="009A4D3F" w:rsidTr="00381ECB">
        <w:trPr>
          <w:trHeight w:val="273"/>
        </w:trPr>
        <w:tc>
          <w:tcPr>
            <w:tcW w:w="2178" w:type="dxa"/>
            <w:shd w:val="clear" w:color="auto" w:fill="DBE5F1"/>
          </w:tcPr>
          <w:p w:rsidR="00D86A11" w:rsidRPr="00C959E9" w:rsidRDefault="00D86A11" w:rsidP="00D86A11">
            <w:pPr>
              <w:tabs>
                <w:tab w:val="left" w:pos="173"/>
              </w:tabs>
              <w:autoSpaceDE w:val="0"/>
              <w:autoSpaceDN w:val="0"/>
              <w:adjustRightInd w:val="0"/>
              <w:spacing w:after="0" w:line="240" w:lineRule="auto"/>
              <w:ind w:left="211" w:hanging="211"/>
              <w:rPr>
                <w:rFonts w:ascii="Calibri" w:eastAsia="Calibri" w:hAnsi="Calibri" w:cs="Arial"/>
                <w:bCs/>
                <w:color w:val="013161"/>
                <w:sz w:val="20"/>
                <w:szCs w:val="18"/>
                <w:highlight w:val="yellow"/>
              </w:rPr>
            </w:pPr>
            <w:r w:rsidRPr="00C959E9">
              <w:rPr>
                <w:rFonts w:ascii="Calibri" w:eastAsia="Calibri" w:hAnsi="Calibri" w:cs="Arial"/>
                <w:bCs/>
                <w:color w:val="013161"/>
                <w:sz w:val="20"/>
                <w:szCs w:val="18"/>
              </w:rPr>
              <w:t xml:space="preserve">    Only children under 6 years of age</w:t>
            </w:r>
          </w:p>
        </w:tc>
        <w:tc>
          <w:tcPr>
            <w:tcW w:w="1109" w:type="dxa"/>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25.2%</w:t>
            </w:r>
          </w:p>
        </w:tc>
        <w:tc>
          <w:tcPr>
            <w:tcW w:w="1341" w:type="dxa"/>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20.7%</w:t>
            </w:r>
          </w:p>
        </w:tc>
        <w:tc>
          <w:tcPr>
            <w:tcW w:w="1333" w:type="dxa"/>
            <w:tcBorders>
              <w:right w:val="single" w:sz="18" w:space="0" w:color="F6872B"/>
            </w:tcBorders>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17.3%</w:t>
            </w:r>
          </w:p>
        </w:tc>
        <w:tc>
          <w:tcPr>
            <w:tcW w:w="1109" w:type="dxa"/>
            <w:tcBorders>
              <w:left w:val="single" w:sz="18" w:space="0" w:color="F6872B"/>
            </w:tcBorders>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25.1%</w:t>
            </w:r>
          </w:p>
        </w:tc>
        <w:tc>
          <w:tcPr>
            <w:tcW w:w="1335" w:type="dxa"/>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23.3%</w:t>
            </w:r>
          </w:p>
        </w:tc>
        <w:tc>
          <w:tcPr>
            <w:tcW w:w="1356" w:type="dxa"/>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C959E9">
              <w:rPr>
                <w:rFonts w:ascii="Calibri" w:eastAsia="Calibri" w:hAnsi="Calibri" w:cs="Arial"/>
                <w:b/>
                <w:bCs/>
                <w:color w:val="013161"/>
                <w:sz w:val="20"/>
              </w:rPr>
              <w:t>17.4%</w:t>
            </w:r>
          </w:p>
        </w:tc>
      </w:tr>
      <w:tr w:rsidR="00D86A11" w:rsidRPr="009A4D3F" w:rsidTr="00381ECB">
        <w:trPr>
          <w:trHeight w:val="304"/>
        </w:trPr>
        <w:tc>
          <w:tcPr>
            <w:tcW w:w="2178" w:type="dxa"/>
            <w:shd w:val="clear" w:color="auto" w:fill="auto"/>
          </w:tcPr>
          <w:p w:rsidR="00D86A11" w:rsidRPr="00C959E9" w:rsidRDefault="00D86A11" w:rsidP="00D86A11">
            <w:pPr>
              <w:tabs>
                <w:tab w:val="left" w:pos="211"/>
              </w:tabs>
              <w:autoSpaceDE w:val="0"/>
              <w:autoSpaceDN w:val="0"/>
              <w:adjustRightInd w:val="0"/>
              <w:spacing w:after="0" w:line="240" w:lineRule="auto"/>
              <w:ind w:left="211" w:hanging="211"/>
              <w:rPr>
                <w:rFonts w:ascii="Calibri" w:eastAsia="Calibri" w:hAnsi="Calibri" w:cs="Arial"/>
                <w:bCs/>
                <w:color w:val="013161"/>
                <w:sz w:val="20"/>
                <w:szCs w:val="18"/>
              </w:rPr>
            </w:pPr>
            <w:r w:rsidRPr="00C959E9">
              <w:rPr>
                <w:rFonts w:ascii="Calibri" w:eastAsia="Calibri" w:hAnsi="Calibri" w:cs="Arial"/>
                <w:bCs/>
                <w:color w:val="013161"/>
                <w:sz w:val="20"/>
                <w:szCs w:val="18"/>
              </w:rPr>
              <w:t xml:space="preserve">    Children under 6 years and 6-17 years</w:t>
            </w:r>
          </w:p>
        </w:tc>
        <w:tc>
          <w:tcPr>
            <w:tcW w:w="1109" w:type="dxa"/>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22.0%</w:t>
            </w:r>
          </w:p>
        </w:tc>
        <w:tc>
          <w:tcPr>
            <w:tcW w:w="1341" w:type="dxa"/>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14.2%</w:t>
            </w:r>
          </w:p>
        </w:tc>
        <w:tc>
          <w:tcPr>
            <w:tcW w:w="1333" w:type="dxa"/>
            <w:tcBorders>
              <w:right w:val="single" w:sz="18" w:space="0" w:color="F6872B"/>
            </w:tcBorders>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17.4%</w:t>
            </w:r>
          </w:p>
        </w:tc>
        <w:tc>
          <w:tcPr>
            <w:tcW w:w="1109" w:type="dxa"/>
            <w:tcBorders>
              <w:left w:val="single" w:sz="18" w:space="0" w:color="F6872B"/>
            </w:tcBorders>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21.1%</w:t>
            </w:r>
          </w:p>
        </w:tc>
        <w:tc>
          <w:tcPr>
            <w:tcW w:w="1335" w:type="dxa"/>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C959E9">
              <w:rPr>
                <w:rFonts w:ascii="Calibri" w:eastAsia="Calibri" w:hAnsi="Calibri" w:cs="Arial"/>
                <w:b/>
                <w:color w:val="013161"/>
                <w:sz w:val="20"/>
              </w:rPr>
              <w:t>12.5%</w:t>
            </w:r>
          </w:p>
        </w:tc>
        <w:tc>
          <w:tcPr>
            <w:tcW w:w="1356" w:type="dxa"/>
            <w:shd w:val="clear" w:color="auto" w:fill="auto"/>
          </w:tcPr>
          <w:p w:rsidR="00D86A11" w:rsidRPr="00C959E9"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C959E9">
              <w:rPr>
                <w:rFonts w:ascii="Calibri" w:eastAsia="Calibri" w:hAnsi="Calibri" w:cs="Arial"/>
                <w:b/>
                <w:bCs/>
                <w:color w:val="013161"/>
                <w:sz w:val="20"/>
              </w:rPr>
              <w:t>17.7%</w:t>
            </w:r>
          </w:p>
        </w:tc>
      </w:tr>
      <w:tr w:rsidR="00D86A11" w:rsidRPr="009A4D3F" w:rsidTr="00381ECB">
        <w:trPr>
          <w:trHeight w:val="273"/>
        </w:trPr>
        <w:tc>
          <w:tcPr>
            <w:tcW w:w="2178" w:type="dxa"/>
            <w:tcBorders>
              <w:bottom w:val="single" w:sz="18" w:space="0" w:color="F6872B"/>
            </w:tcBorders>
            <w:shd w:val="clear" w:color="auto" w:fill="DBE5F1"/>
          </w:tcPr>
          <w:p w:rsidR="00D86A11" w:rsidRPr="00C959E9" w:rsidRDefault="00D86A11" w:rsidP="00D86A11">
            <w:pPr>
              <w:autoSpaceDE w:val="0"/>
              <w:autoSpaceDN w:val="0"/>
              <w:adjustRightInd w:val="0"/>
              <w:spacing w:after="0" w:line="240" w:lineRule="auto"/>
              <w:ind w:left="211" w:hanging="211"/>
              <w:rPr>
                <w:rFonts w:ascii="Calibri" w:eastAsia="Calibri" w:hAnsi="Calibri" w:cs="Arial"/>
                <w:bCs/>
                <w:color w:val="013161"/>
                <w:sz w:val="20"/>
                <w:szCs w:val="18"/>
              </w:rPr>
            </w:pPr>
            <w:r w:rsidRPr="00C959E9">
              <w:rPr>
                <w:rFonts w:ascii="Calibri" w:eastAsia="Calibri" w:hAnsi="Calibri" w:cs="Arial"/>
                <w:bCs/>
                <w:color w:val="013161"/>
                <w:sz w:val="20"/>
                <w:szCs w:val="18"/>
              </w:rPr>
              <w:t xml:space="preserve">    Only children aged 6-17 years</w:t>
            </w:r>
          </w:p>
        </w:tc>
        <w:tc>
          <w:tcPr>
            <w:tcW w:w="1109" w:type="dxa"/>
            <w:tcBorders>
              <w:bottom w:val="single" w:sz="18" w:space="0" w:color="F6872B"/>
            </w:tcBorders>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C959E9">
              <w:rPr>
                <w:rFonts w:ascii="Calibri" w:eastAsia="Calibri" w:hAnsi="Calibri" w:cs="Arial"/>
                <w:b/>
                <w:bCs/>
                <w:color w:val="013161"/>
                <w:sz w:val="20"/>
              </w:rPr>
              <w:t>52.8%</w:t>
            </w:r>
          </w:p>
        </w:tc>
        <w:tc>
          <w:tcPr>
            <w:tcW w:w="1341" w:type="dxa"/>
            <w:tcBorders>
              <w:bottom w:val="single" w:sz="18" w:space="0" w:color="F6872B"/>
            </w:tcBorders>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C959E9">
              <w:rPr>
                <w:rFonts w:ascii="Calibri" w:eastAsia="Calibri" w:hAnsi="Calibri" w:cs="Arial"/>
                <w:b/>
                <w:bCs/>
                <w:color w:val="013161"/>
                <w:sz w:val="20"/>
              </w:rPr>
              <w:t>65.0%</w:t>
            </w:r>
          </w:p>
        </w:tc>
        <w:tc>
          <w:tcPr>
            <w:tcW w:w="1333" w:type="dxa"/>
            <w:tcBorders>
              <w:bottom w:val="single" w:sz="18" w:space="0" w:color="F6872B"/>
              <w:right w:val="single" w:sz="18" w:space="0" w:color="F6872B"/>
            </w:tcBorders>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C959E9">
              <w:rPr>
                <w:rFonts w:ascii="Calibri" w:eastAsia="Calibri" w:hAnsi="Calibri" w:cs="Arial"/>
                <w:b/>
                <w:bCs/>
                <w:color w:val="013161"/>
                <w:sz w:val="20"/>
              </w:rPr>
              <w:t>65.3%</w:t>
            </w:r>
          </w:p>
        </w:tc>
        <w:tc>
          <w:tcPr>
            <w:tcW w:w="1109" w:type="dxa"/>
            <w:tcBorders>
              <w:left w:val="single" w:sz="18" w:space="0" w:color="F6872B"/>
              <w:bottom w:val="single" w:sz="18" w:space="0" w:color="F6872B"/>
            </w:tcBorders>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C959E9">
              <w:rPr>
                <w:rFonts w:ascii="Calibri" w:eastAsia="Calibri" w:hAnsi="Calibri" w:cs="Arial"/>
                <w:b/>
                <w:bCs/>
                <w:color w:val="013161"/>
                <w:sz w:val="20"/>
              </w:rPr>
              <w:t>53.8%</w:t>
            </w:r>
          </w:p>
        </w:tc>
        <w:tc>
          <w:tcPr>
            <w:tcW w:w="1335" w:type="dxa"/>
            <w:tcBorders>
              <w:bottom w:val="single" w:sz="18" w:space="0" w:color="F6872B"/>
            </w:tcBorders>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C959E9">
              <w:rPr>
                <w:rFonts w:ascii="Calibri" w:eastAsia="Calibri" w:hAnsi="Calibri" w:cs="Arial"/>
                <w:b/>
                <w:bCs/>
                <w:color w:val="013161"/>
                <w:sz w:val="20"/>
              </w:rPr>
              <w:t>64.2%</w:t>
            </w:r>
          </w:p>
        </w:tc>
        <w:tc>
          <w:tcPr>
            <w:tcW w:w="1356" w:type="dxa"/>
            <w:tcBorders>
              <w:bottom w:val="single" w:sz="18" w:space="0" w:color="F6872B"/>
            </w:tcBorders>
            <w:shd w:val="clear" w:color="auto" w:fill="DBE5F1"/>
          </w:tcPr>
          <w:p w:rsidR="00D86A11" w:rsidRPr="00C959E9"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C959E9">
              <w:rPr>
                <w:rFonts w:ascii="Calibri" w:eastAsia="Calibri" w:hAnsi="Calibri" w:cs="Arial"/>
                <w:b/>
                <w:bCs/>
                <w:color w:val="013161"/>
                <w:sz w:val="20"/>
              </w:rPr>
              <w:t>64.8%</w:t>
            </w:r>
          </w:p>
        </w:tc>
      </w:tr>
    </w:tbl>
    <w:p w:rsidR="00D86A11" w:rsidRPr="00C8370C" w:rsidRDefault="00D86A11" w:rsidP="00D86A11">
      <w:pPr>
        <w:pStyle w:val="Heading2"/>
        <w:rPr>
          <w:rStyle w:val="Heading1Char"/>
          <w:color w:val="F6872B"/>
          <w:sz w:val="24"/>
          <w:szCs w:val="28"/>
        </w:rPr>
      </w:pPr>
      <w:r>
        <w:rPr>
          <w:rStyle w:val="Heading1Char"/>
          <w:b/>
          <w:color w:val="F6872B"/>
          <w:sz w:val="24"/>
        </w:rPr>
        <w:lastRenderedPageBreak/>
        <w:t>Housing Costs and Availability</w:t>
      </w:r>
    </w:p>
    <w:p w:rsidR="00D86A11" w:rsidRPr="0058729A" w:rsidRDefault="00D86A11" w:rsidP="00D86A11">
      <w:pPr>
        <w:pStyle w:val="Heading3"/>
        <w:spacing w:line="276" w:lineRule="auto"/>
        <w:rPr>
          <w:b w:val="0"/>
          <w:color w:val="auto"/>
          <w:sz w:val="22"/>
        </w:rPr>
      </w:pPr>
      <w:r w:rsidRPr="0058729A">
        <w:rPr>
          <w:b w:val="0"/>
          <w:color w:val="auto"/>
          <w:sz w:val="22"/>
        </w:rPr>
        <w:t xml:space="preserve">As noted in the prior section, housing costs are rising rapidly in </w:t>
      </w:r>
      <w:r>
        <w:rPr>
          <w:b w:val="0"/>
          <w:color w:val="auto"/>
          <w:sz w:val="22"/>
        </w:rPr>
        <w:t>the County of San Diego</w:t>
      </w:r>
      <w:r w:rsidRPr="0058729A">
        <w:rPr>
          <w:b w:val="0"/>
          <w:color w:val="auto"/>
          <w:sz w:val="22"/>
        </w:rPr>
        <w:t xml:space="preserve"> and the most current Census data from 2014 do not reflect the recent rent and home price increases that are impacting families across the county. Therefore, in order to provide a more current analysis, data in this section were obtained from nonprofit publications and news reports.</w:t>
      </w:r>
    </w:p>
    <w:p w:rsidR="00D86A11" w:rsidRPr="0058729A" w:rsidRDefault="00D86A11" w:rsidP="00D86A11">
      <w:pPr>
        <w:pStyle w:val="Heading3"/>
        <w:spacing w:line="276" w:lineRule="auto"/>
        <w:rPr>
          <w:b w:val="0"/>
          <w:color w:val="auto"/>
          <w:sz w:val="22"/>
        </w:rPr>
      </w:pPr>
      <w:r w:rsidRPr="0058729A">
        <w:rPr>
          <w:b w:val="0"/>
          <w:color w:val="auto"/>
          <w:sz w:val="22"/>
        </w:rPr>
        <w:t>In February 2016, the average rent for a one-bedroom unit was reported at $1,634 and a two-bedroom at $2,033. San Diego is the ninth most expensive metropolitan rental market in the U.S. and prices are double the national average.</w:t>
      </w:r>
      <w:r>
        <w:rPr>
          <w:rStyle w:val="EndnoteReference"/>
          <w:b w:val="0"/>
          <w:color w:val="auto"/>
          <w:sz w:val="22"/>
        </w:rPr>
        <w:endnoteReference w:id="22"/>
      </w:r>
      <w:r w:rsidRPr="0058729A">
        <w:rPr>
          <w:b w:val="0"/>
          <w:color w:val="auto"/>
          <w:sz w:val="22"/>
        </w:rPr>
        <w:t xml:space="preserve"> Compounding this problem is the fact that San Diego’s wages are lower on average than other large cities in California such as San Francisco, San Jose and Los Angeles. The California Housing Partnership calculates that the overall average asking price for rent in San Diego as $1,768. This means that to spend no more than the recommended 30% of income on rent, a renter in San Diego would need to earn $5,893 per month ($34/hour). A minimum wage worker in the City of San Diego only makes $1,820/month ($10.50/hour) and in the rest of the county the minimum wage is $10.00. </w:t>
      </w:r>
    </w:p>
    <w:p w:rsidR="00D86A11" w:rsidRPr="006903A4" w:rsidRDefault="00D86A11" w:rsidP="00D86A11">
      <w:pPr>
        <w:pStyle w:val="Heading3"/>
        <w:spacing w:line="276" w:lineRule="auto"/>
        <w:rPr>
          <w:b w:val="0"/>
          <w:color w:val="auto"/>
          <w:sz w:val="22"/>
        </w:rPr>
      </w:pPr>
      <w:r w:rsidRPr="006903A4">
        <w:rPr>
          <w:b w:val="0"/>
          <w:color w:val="auto"/>
          <w:sz w:val="22"/>
        </w:rPr>
        <w:t>When housing costs are considered, San Diego’s poverty rate increases from</w:t>
      </w:r>
      <w:r w:rsidR="006667C1">
        <w:rPr>
          <w:b w:val="0"/>
          <w:color w:val="auto"/>
          <w:sz w:val="22"/>
        </w:rPr>
        <w:t xml:space="preserve"> </w:t>
      </w:r>
      <w:r w:rsidRPr="006903A4">
        <w:rPr>
          <w:b w:val="0"/>
          <w:color w:val="auto"/>
          <w:sz w:val="22"/>
        </w:rPr>
        <w:t xml:space="preserve">14.7% to 21.5%.Recently, rents have been increasing 8-10% per year and in some high demand neighborhoods have risen as much as 20%. Fifty-five percent of renters in San Diego are considered “cost burdened,” due to spending over 30% of their monthly income on housing.  </w:t>
      </w:r>
    </w:p>
    <w:p w:rsidR="00D86A11" w:rsidRPr="006903A4" w:rsidRDefault="00F1013C" w:rsidP="00D86A11">
      <w:pPr>
        <w:pStyle w:val="Heading3"/>
        <w:spacing w:line="276" w:lineRule="auto"/>
        <w:rPr>
          <w:b w:val="0"/>
          <w:color w:val="auto"/>
          <w:sz w:val="22"/>
        </w:rPr>
      </w:pPr>
      <w:r w:rsidRPr="00F1013C">
        <w:rPr>
          <w:b w:val="0"/>
          <w:color w:val="auto"/>
          <w:sz w:val="22"/>
        </w:rPr>
        <w:t xml:space="preserve">In addition, vacancy rates are 4% or less, creating fierce competition for any units that become vacant. This makes it particularly difficult for families that have challenges with credit or are using Section 8 housing vouchers to find decent housing. Prices and lack of inventory are forcing families to the northern, southern and eastern outskirts of the county and even to the Tijuana/Rosarito area. This results in long commutes for workers, increased stress for families, and less time for parenting. The lack of available and affordable housing makes it difficult for some low income families to provide a safe and stable home for their children. This is a common challenge for parents that are trying to reunify with their children as well as for potential caregivers that want to provide foster care or permanency for children in out-of-home care. </w:t>
      </w:r>
    </w:p>
    <w:p w:rsidR="00D86A11" w:rsidRPr="00C8370C" w:rsidRDefault="00D86A11" w:rsidP="00D86A11">
      <w:pPr>
        <w:pStyle w:val="Heading2"/>
        <w:rPr>
          <w:rStyle w:val="Heading1Char"/>
          <w:b/>
          <w:color w:val="F6872B"/>
          <w:sz w:val="24"/>
          <w:szCs w:val="28"/>
        </w:rPr>
      </w:pPr>
      <w:r w:rsidRPr="00C8370C">
        <w:rPr>
          <w:rStyle w:val="Heading1Char"/>
          <w:b/>
          <w:color w:val="F6872B"/>
          <w:sz w:val="24"/>
          <w:szCs w:val="28"/>
        </w:rPr>
        <w:t>2-1-1 Calls</w:t>
      </w:r>
    </w:p>
    <w:p w:rsidR="00D86A11" w:rsidRDefault="00D86A11" w:rsidP="00D86A11">
      <w:pPr>
        <w:pStyle w:val="Heading3"/>
        <w:spacing w:line="276" w:lineRule="auto"/>
        <w:rPr>
          <w:b w:val="0"/>
          <w:color w:val="auto"/>
          <w:sz w:val="22"/>
        </w:rPr>
      </w:pPr>
      <w:r w:rsidRPr="008351E6">
        <w:rPr>
          <w:b w:val="0"/>
          <w:color w:val="auto"/>
          <w:sz w:val="22"/>
        </w:rPr>
        <w:t>2-1-1 San Diego is a resource and information hub that connects people with community, health and disaster services through a free, stigma-free confidential phone service that is available 24 hours per day, seven days per week. 2-1-1 San Diego serves the entire county and also maintains a searchable online database available at www.211sandiego.org</w:t>
      </w:r>
      <w:r>
        <w:rPr>
          <w:b w:val="0"/>
          <w:color w:val="auto"/>
          <w:sz w:val="22"/>
        </w:rPr>
        <w:t xml:space="preserve">. </w:t>
      </w:r>
      <w:r w:rsidRPr="008351E6">
        <w:rPr>
          <w:b w:val="0"/>
          <w:color w:val="auto"/>
          <w:sz w:val="22"/>
        </w:rPr>
        <w:t>In FY 2015-16, the 2-1-1 website had 404,942 views/searches for resources and the 2-1-1 call center received 264,170 calls. The most frequent types of resources requested b</w:t>
      </w:r>
      <w:r>
        <w:rPr>
          <w:b w:val="0"/>
          <w:color w:val="auto"/>
          <w:sz w:val="22"/>
        </w:rPr>
        <w:t>y callers (in rank order) were:</w:t>
      </w:r>
    </w:p>
    <w:p w:rsidR="00D86A11" w:rsidRPr="001C6106" w:rsidRDefault="00D86A11" w:rsidP="00D86A11">
      <w:pPr>
        <w:rPr>
          <w:sz w:val="12"/>
        </w:rPr>
      </w:pPr>
    </w:p>
    <w:p w:rsidR="000B1863" w:rsidRDefault="00D86A11">
      <w:pPr>
        <w:pStyle w:val="ColorfulList-Accent11"/>
        <w:ind w:left="0"/>
        <w:rPr>
          <w:rFonts w:ascii="Calibri" w:hAnsi="Calibri"/>
          <w:b/>
          <w:color w:val="17365D"/>
          <w:spacing w:val="20"/>
          <w:sz w:val="24"/>
          <w:szCs w:val="22"/>
        </w:rPr>
      </w:pPr>
      <w:r w:rsidRPr="006040F3">
        <w:rPr>
          <w:rFonts w:ascii="Calibri" w:hAnsi="Calibri"/>
          <w:b/>
          <w:color w:val="17365D"/>
          <w:spacing w:val="20"/>
          <w:sz w:val="24"/>
          <w:szCs w:val="22"/>
        </w:rPr>
        <w:lastRenderedPageBreak/>
        <w:t xml:space="preserve">Exhibit </w:t>
      </w:r>
      <w:r>
        <w:rPr>
          <w:rFonts w:ascii="Calibri" w:hAnsi="Calibri"/>
          <w:b/>
          <w:color w:val="17365D"/>
          <w:spacing w:val="20"/>
          <w:sz w:val="24"/>
          <w:szCs w:val="22"/>
        </w:rPr>
        <w:t>15</w:t>
      </w:r>
      <w:r w:rsidRPr="006040F3">
        <w:rPr>
          <w:rFonts w:ascii="Calibri" w:hAnsi="Calibri"/>
          <w:b/>
          <w:color w:val="17365D"/>
          <w:spacing w:val="20"/>
          <w:sz w:val="24"/>
          <w:szCs w:val="22"/>
        </w:rPr>
        <w:t xml:space="preserve">. </w:t>
      </w:r>
      <w:r>
        <w:rPr>
          <w:rFonts w:ascii="Calibri" w:hAnsi="Calibri"/>
          <w:b/>
          <w:color w:val="17365D"/>
          <w:spacing w:val="20"/>
          <w:sz w:val="24"/>
          <w:szCs w:val="22"/>
        </w:rPr>
        <w:t>Most Frequently Requested Resources by 211 San Diego Callers</w:t>
      </w:r>
    </w:p>
    <w:p w:rsidR="00D86A11" w:rsidRPr="004D0AD4" w:rsidRDefault="00763E81" w:rsidP="004D0AD4">
      <w:pPr>
        <w:rPr>
          <w:rStyle w:val="Heading1Char"/>
          <w:rFonts w:ascii="Calibri" w:hAnsi="Calibri"/>
          <w:b w:val="0"/>
          <w:color w:val="000000"/>
          <w:spacing w:val="0"/>
          <w:sz w:val="22"/>
          <w:szCs w:val="20"/>
        </w:rPr>
      </w:pPr>
      <w:r>
        <w:rPr>
          <w:rFonts w:ascii="Calibri" w:hAnsi="Calibri"/>
          <w:noProof/>
          <w:color w:val="FFFFFF"/>
        </w:rPr>
        <mc:AlternateContent>
          <mc:Choice Requires="wps">
            <w:drawing>
              <wp:anchor distT="0" distB="0" distL="114300" distR="114300" simplePos="0" relativeHeight="251835392" behindDoc="0" locked="0" layoutInCell="1" allowOverlap="1">
                <wp:simplePos x="0" y="0"/>
                <wp:positionH relativeFrom="margin">
                  <wp:posOffset>381000</wp:posOffset>
                </wp:positionH>
                <wp:positionV relativeFrom="paragraph">
                  <wp:posOffset>226060</wp:posOffset>
                </wp:positionV>
                <wp:extent cx="335280" cy="419100"/>
                <wp:effectExtent l="0" t="0" r="0" b="0"/>
                <wp:wrapNone/>
                <wp:docPr id="3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Default="009103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30pt;margin-top:17.8pt;width:26.4pt;height:33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" filled="f" stroked="f" strokeweight=".5pt">
                <v:path arrowok="t"/>
                <v:textbox>
                  <w:txbxContent>
                    <w:p w:rsidR="009103E6" w:rsidRDefault="009103E6"/>
                  </w:txbxContent>
                </v:textbox>
                <w10:wrap anchorx="margin"/>
              </v:shape>
            </w:pict>
          </mc:Fallback>
        </mc:AlternateContent>
      </w:r>
    </w:p>
    <w:p w:rsidR="00BE3ADB" w:rsidRPr="00BE3ADB" w:rsidRDefault="00763E81" w:rsidP="00BE3ADB">
      <w:pPr>
        <w:pStyle w:val="Heading3"/>
        <w:spacing w:before="0" w:line="276" w:lineRule="auto"/>
        <w:rPr>
          <w:b w:val="0"/>
          <w:color w:val="auto"/>
          <w:sz w:val="22"/>
          <w:szCs w:val="28"/>
        </w:rPr>
      </w:pPr>
      <w:r>
        <w:rPr>
          <w:rFonts w:ascii="Calibri" w:hAnsi="Calibri"/>
          <w:noProof/>
          <w:color w:val="FFFFFF"/>
        </w:rPr>
        <mc:AlternateContent>
          <mc:Choice Requires="wps">
            <w:drawing>
              <wp:anchor distT="0" distB="0" distL="114300" distR="114300" simplePos="0" relativeHeight="251736064" behindDoc="0" locked="0" layoutInCell="1" allowOverlap="1">
                <wp:simplePos x="0" y="0"/>
                <wp:positionH relativeFrom="margin">
                  <wp:posOffset>3055620</wp:posOffset>
                </wp:positionH>
                <wp:positionV relativeFrom="paragraph">
                  <wp:posOffset>709295</wp:posOffset>
                </wp:positionV>
                <wp:extent cx="335280" cy="419100"/>
                <wp:effectExtent l="0" t="0" r="0" b="0"/>
                <wp:wrapNone/>
                <wp:docPr id="33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Default="009103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240.6pt;margin-top:55.85pt;width:26.4pt;height:3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" filled="f" stroked="f" strokeweight=".5pt">
                <v:path arrowok="t"/>
                <v:textbox>
                  <w:txbxContent>
                    <w:p w:rsidR="009103E6" w:rsidRDefault="009103E6"/>
                  </w:txbxContent>
                </v:textbox>
                <w10:wrap anchorx="margin"/>
              </v:shape>
            </w:pict>
          </mc:Fallback>
        </mc:AlternateContent>
      </w:r>
      <w:r>
        <w:rPr>
          <w:rFonts w:ascii="Calibri" w:hAnsi="Calibri"/>
          <w:noProof/>
          <w:color w:val="FFFFFF"/>
        </w:rPr>
        <mc:AlternateContent>
          <mc:Choice Requires="wps">
            <w:drawing>
              <wp:anchor distT="0" distB="0" distL="114300" distR="114300" simplePos="0" relativeHeight="251731968" behindDoc="0" locked="0" layoutInCell="1" allowOverlap="1">
                <wp:simplePos x="0" y="0"/>
                <wp:positionH relativeFrom="margin">
                  <wp:posOffset>373380</wp:posOffset>
                </wp:positionH>
                <wp:positionV relativeFrom="paragraph">
                  <wp:posOffset>655955</wp:posOffset>
                </wp:positionV>
                <wp:extent cx="335280" cy="419100"/>
                <wp:effectExtent l="0" t="0" r="0" b="0"/>
                <wp:wrapNone/>
                <wp:docPr id="3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Default="009103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29.4pt;margin-top:51.65pt;width:26.4pt;height:33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" filled="f" stroked="f" strokeweight=".5pt">
                <v:path arrowok="t"/>
                <v:textbox>
                  <w:txbxContent>
                    <w:p w:rsidR="009103E6" w:rsidRDefault="009103E6"/>
                  </w:txbxContent>
                </v:textbox>
                <w10:wrap anchorx="margin"/>
              </v:shape>
            </w:pict>
          </mc:Fallback>
        </mc:AlternateContent>
      </w:r>
      <w:r>
        <w:rPr>
          <w:rFonts w:ascii="Calibri" w:hAnsi="Calibri"/>
          <w:noProof/>
          <w:color w:val="FFFFFF"/>
        </w:rPr>
        <mc:AlternateContent>
          <mc:Choice Requires="wps">
            <w:drawing>
              <wp:anchor distT="0" distB="0" distL="114300" distR="114300" simplePos="0" relativeHeight="251732992" behindDoc="0" locked="0" layoutInCell="1" allowOverlap="1">
                <wp:simplePos x="0" y="0"/>
                <wp:positionH relativeFrom="margin">
                  <wp:posOffset>358140</wp:posOffset>
                </wp:positionH>
                <wp:positionV relativeFrom="paragraph">
                  <wp:posOffset>1966595</wp:posOffset>
                </wp:positionV>
                <wp:extent cx="335280" cy="419100"/>
                <wp:effectExtent l="0" t="0" r="0" b="0"/>
                <wp:wrapNone/>
                <wp:docPr id="3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Default="009103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28.2pt;margin-top:154.85pt;width:26.4pt;height:3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" filled="f" stroked="f" strokeweight=".5pt">
                <v:path arrowok="t"/>
                <v:textbox>
                  <w:txbxContent>
                    <w:p w:rsidR="009103E6" w:rsidRDefault="009103E6"/>
                  </w:txbxContent>
                </v:textbox>
                <w10:wrap anchorx="margin"/>
              </v:shape>
            </w:pict>
          </mc:Fallback>
        </mc:AlternateContent>
      </w:r>
      <w:r>
        <w:rPr>
          <w:rFonts w:ascii="Calibri" w:hAnsi="Calibri"/>
          <w:noProof/>
          <w:color w:val="FFFFFF"/>
        </w:rPr>
        <mc:AlternateContent>
          <mc:Choice Requires="wps">
            <w:drawing>
              <wp:anchor distT="0" distB="0" distL="114300" distR="114300" simplePos="0" relativeHeight="251737088" behindDoc="0" locked="0" layoutInCell="1" allowOverlap="1">
                <wp:simplePos x="0" y="0"/>
                <wp:positionH relativeFrom="margin">
                  <wp:posOffset>3063240</wp:posOffset>
                </wp:positionH>
                <wp:positionV relativeFrom="paragraph">
                  <wp:posOffset>248920</wp:posOffset>
                </wp:positionV>
                <wp:extent cx="335280" cy="419100"/>
                <wp:effectExtent l="0" t="0" r="0" b="0"/>
                <wp:wrapNone/>
                <wp:docPr id="3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Default="009103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241.2pt;margin-top:19.6pt;width:26.4pt;height:33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" filled="f" stroked="f" strokeweight=".5pt">
                <v:path arrowok="t"/>
                <v:textbox>
                  <w:txbxContent>
                    <w:p w:rsidR="009103E6" w:rsidRDefault="009103E6"/>
                  </w:txbxContent>
                </v:textbox>
                <w10:wrap anchorx="margin"/>
              </v:shape>
            </w:pict>
          </mc:Fallback>
        </mc:AlternateContent>
      </w:r>
      <w:r>
        <w:rPr>
          <w:rFonts w:ascii="Calibri" w:hAnsi="Calibri"/>
          <w:noProof/>
        </w:rPr>
        <mc:AlternateContent>
          <mc:Choice Requires="wps">
            <w:drawing>
              <wp:anchor distT="0" distB="0" distL="114300" distR="114300" simplePos="0" relativeHeight="251703296" behindDoc="0" locked="0" layoutInCell="1" allowOverlap="1">
                <wp:simplePos x="0" y="0"/>
                <wp:positionH relativeFrom="column">
                  <wp:posOffset>274320</wp:posOffset>
                </wp:positionH>
                <wp:positionV relativeFrom="paragraph">
                  <wp:posOffset>648335</wp:posOffset>
                </wp:positionV>
                <wp:extent cx="495300" cy="449580"/>
                <wp:effectExtent l="76200" t="57150" r="57150" b="83820"/>
                <wp:wrapNone/>
                <wp:docPr id="329"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449580"/>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752254" id="Oval 4" o:spid="_x0000_s1026" style="position:absolute;margin-left:21.6pt;margin-top:51.05pt;width:39pt;height:35.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" fillcolor="#f79646" strokecolor="window" strokeweight="3pt">
                <v:shadow on="t" color="black" opacity="24903f" origin=",.5" offset="0,.55556mm"/>
                <v:path arrowok="t"/>
              </v:oval>
            </w:pict>
          </mc:Fallback>
        </mc:AlternateContent>
      </w:r>
      <w:r>
        <w:rPr>
          <w:rFonts w:ascii="Calibri" w:hAnsi="Calibri"/>
          <w:noProof/>
        </w:rPr>
        <mc:AlternateContent>
          <mc:Choice Requires="wps">
            <w:drawing>
              <wp:anchor distT="0" distB="0" distL="114300" distR="114300" simplePos="0" relativeHeight="251700224" behindDoc="0" locked="0" layoutInCell="1" allowOverlap="1">
                <wp:simplePos x="0" y="0"/>
                <wp:positionH relativeFrom="column">
                  <wp:posOffset>274320</wp:posOffset>
                </wp:positionH>
                <wp:positionV relativeFrom="paragraph">
                  <wp:posOffset>53975</wp:posOffset>
                </wp:positionV>
                <wp:extent cx="495300" cy="449580"/>
                <wp:effectExtent l="76200" t="57150" r="57150" b="83820"/>
                <wp:wrapNone/>
                <wp:docPr id="328"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449580"/>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CB00D" id="Oval 1" o:spid="_x0000_s1026" style="position:absolute;margin-left:21.6pt;margin-top:4.25pt;width:39pt;height:3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" fillcolor="#f79646" strokecolor="window" strokeweight="3pt">
                <v:shadow on="t" color="black" opacity="24903f" origin=",.5" offset="0,.55556mm"/>
                <v:path arrowok="t"/>
              </v:oval>
            </w:pict>
          </mc:Fallback>
        </mc:AlternateContent>
      </w:r>
      <w:r>
        <w:rPr>
          <w:rFonts w:ascii="Calibri" w:hAnsi="Calibri"/>
          <w:noProof/>
        </w:rPr>
        <mc:AlternateContent>
          <mc:Choice Requires="wps">
            <w:drawing>
              <wp:anchor distT="0" distB="0" distL="114300" distR="114300" simplePos="0" relativeHeight="251709440" behindDoc="0" locked="0" layoutInCell="1" allowOverlap="1">
                <wp:simplePos x="0" y="0"/>
                <wp:positionH relativeFrom="column">
                  <wp:posOffset>274320</wp:posOffset>
                </wp:positionH>
                <wp:positionV relativeFrom="paragraph">
                  <wp:posOffset>1958975</wp:posOffset>
                </wp:positionV>
                <wp:extent cx="495300" cy="449580"/>
                <wp:effectExtent l="76200" t="57150" r="57150" b="83820"/>
                <wp:wrapNone/>
                <wp:docPr id="32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449580"/>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59748" id="Oval 12" o:spid="_x0000_s1026" style="position:absolute;margin-left:21.6pt;margin-top:154.25pt;width:39pt;height:3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" fillcolor="#f79646" strokecolor="window" strokeweight="3pt">
                <v:shadow on="t" color="black" opacity="24903f" origin=",.5" offset="0,.55556mm"/>
                <v:path arrowok="t"/>
              </v:oval>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margin">
                  <wp:posOffset>3063240</wp:posOffset>
                </wp:positionH>
                <wp:positionV relativeFrom="paragraph">
                  <wp:posOffset>52705</wp:posOffset>
                </wp:positionV>
                <wp:extent cx="335280" cy="419100"/>
                <wp:effectExtent l="0" t="0" r="0" b="0"/>
                <wp:wrapNone/>
                <wp:docPr id="3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margin-left:241.2pt;margin-top:4.15pt;width:26.4pt;height:33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" filled="f" stroked="f" strokeweight=".5pt">
                <v:path arrowok="t"/>
                <v:textbo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5</w:t>
                      </w:r>
                    </w:p>
                  </w:txbxContent>
                </v:textbox>
                <w10:wrap anchorx="margin"/>
              </v:shape>
            </w:pict>
          </mc:Fallback>
        </mc:AlternateContent>
      </w:r>
      <w:r>
        <w:rPr>
          <w:noProof/>
          <w:color w:val="FFFFFF"/>
        </w:rPr>
        <mc:AlternateContent>
          <mc:Choice Requires="wps">
            <w:drawing>
              <wp:anchor distT="0" distB="0" distL="114300" distR="114300" simplePos="0" relativeHeight="251713536" behindDoc="0" locked="0" layoutInCell="1" allowOverlap="1">
                <wp:simplePos x="0" y="0"/>
                <wp:positionH relativeFrom="column">
                  <wp:posOffset>3528060</wp:posOffset>
                </wp:positionH>
                <wp:positionV relativeFrom="paragraph">
                  <wp:posOffset>93345</wp:posOffset>
                </wp:positionV>
                <wp:extent cx="1973580" cy="472440"/>
                <wp:effectExtent l="76200" t="57150" r="64770" b="80010"/>
                <wp:wrapNone/>
                <wp:docPr id="3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472440"/>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9103E6" w:rsidRPr="00721EF1" w:rsidRDefault="009103E6" w:rsidP="005D5A99">
                            <w:pPr>
                              <w:shd w:val="clear" w:color="auto" w:fill="013161"/>
                              <w:jc w:val="center"/>
                              <w:rPr>
                                <w:rFonts w:ascii="Calibri" w:hAnsi="Calibri"/>
                                <w:color w:val="FFFFFF"/>
                              </w:rPr>
                            </w:pPr>
                            <w:r w:rsidRPr="00721EF1">
                              <w:rPr>
                                <w:rFonts w:ascii="Calibri" w:hAnsi="Calibri"/>
                                <w:color w:val="FFFFFF"/>
                              </w:rPr>
                              <w:t>Mental Health and Substance Abuse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6" o:spid="_x0000_s1038" type="#_x0000_t202" style="position:absolute;margin-left:277.8pt;margin-top:7.35pt;width:155.4pt;height:37.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" fillcolor="#4f81bd" strokecolor="window" strokeweight="3pt">
                <v:shadow on="t" color="black" opacity="24903f" origin=",.5" offset="0,.55556mm"/>
                <v:path arrowok="t"/>
                <v:textbox>
                  <w:txbxContent>
                    <w:p w:rsidR="009103E6" w:rsidRPr="00721EF1" w:rsidRDefault="009103E6" w:rsidP="005D5A99">
                      <w:pPr>
                        <w:shd w:val="clear" w:color="auto" w:fill="013161"/>
                        <w:jc w:val="center"/>
                        <w:rPr>
                          <w:rFonts w:ascii="Calibri" w:hAnsi="Calibri"/>
                          <w:color w:val="FFFFFF"/>
                        </w:rPr>
                      </w:pPr>
                      <w:r w:rsidRPr="00721EF1">
                        <w:rPr>
                          <w:rFonts w:ascii="Calibri" w:hAnsi="Calibri"/>
                          <w:color w:val="FFFFFF"/>
                        </w:rPr>
                        <w:t>Mental Health and Substance Abuse Services</w:t>
                      </w:r>
                    </w:p>
                  </w:txbxContent>
                </v:textbox>
              </v:shape>
            </w:pict>
          </mc:Fallback>
        </mc:AlternateContent>
      </w:r>
      <w:r>
        <w:rPr>
          <w:noProof/>
          <w:color w:val="FFFFFF"/>
        </w:rPr>
        <mc:AlternateContent>
          <mc:Choice Requires="wps">
            <w:drawing>
              <wp:anchor distT="0" distB="0" distL="114300" distR="114300" simplePos="0" relativeHeight="251701248" behindDoc="0" locked="0" layoutInCell="1" allowOverlap="1">
                <wp:simplePos x="0" y="0"/>
                <wp:positionH relativeFrom="margin">
                  <wp:posOffset>365760</wp:posOffset>
                </wp:positionH>
                <wp:positionV relativeFrom="paragraph">
                  <wp:posOffset>67945</wp:posOffset>
                </wp:positionV>
                <wp:extent cx="335280" cy="419100"/>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28.8pt;margin-top:5.35pt;width:26.4pt;height:33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" filled="f" stroked="f" strokeweight=".5pt">
                <v:path arrowok="t"/>
                <v:textbo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1</w:t>
                      </w:r>
                    </w:p>
                  </w:txbxContent>
                </v:textbox>
                <w10:wrap anchorx="margin"/>
              </v:shape>
            </w:pict>
          </mc:Fallback>
        </mc:AlternateContent>
      </w:r>
      <w:r>
        <w:rPr>
          <w:noProof/>
          <w:color w:val="FFFFFF"/>
        </w:rPr>
        <mc:AlternateContent>
          <mc:Choice Requires="wps">
            <w:drawing>
              <wp:anchor distT="0" distB="0" distL="114300" distR="114300" simplePos="0" relativeHeight="251712512" behindDoc="0" locked="0" layoutInCell="1" allowOverlap="1">
                <wp:simplePos x="0" y="0"/>
                <wp:positionH relativeFrom="column">
                  <wp:posOffset>2964180</wp:posOffset>
                </wp:positionH>
                <wp:positionV relativeFrom="paragraph">
                  <wp:posOffset>45085</wp:posOffset>
                </wp:positionV>
                <wp:extent cx="495300" cy="449580"/>
                <wp:effectExtent l="76200" t="57150" r="57150" b="83820"/>
                <wp:wrapNone/>
                <wp:docPr id="323"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449580"/>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83E1DB" id="Oval 15" o:spid="_x0000_s1026" style="position:absolute;margin-left:233.4pt;margin-top:3.55pt;width:39pt;height:3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" fillcolor="#f79646" strokecolor="window" strokeweight="3pt">
                <v:shadow on="t" color="black" opacity="24903f" origin=",.5" offset="0,.55556mm"/>
                <v:path arrowok="t"/>
              </v:oval>
            </w:pict>
          </mc:Fallback>
        </mc:AlternateContent>
      </w:r>
      <w:r>
        <w:rPr>
          <w:rFonts w:ascii="Calibri" w:hAnsi="Calibri"/>
          <w:noProof/>
          <w:color w:val="FFFFFF"/>
        </w:rPr>
        <mc:AlternateContent>
          <mc:Choice Requires="wps">
            <w:drawing>
              <wp:anchor distT="0" distB="0" distL="114300" distR="114300" simplePos="0" relativeHeight="251723776" behindDoc="0" locked="0" layoutInCell="1" allowOverlap="1">
                <wp:simplePos x="0" y="0"/>
                <wp:positionH relativeFrom="column">
                  <wp:posOffset>3528060</wp:posOffset>
                </wp:positionH>
                <wp:positionV relativeFrom="paragraph">
                  <wp:posOffset>1961515</wp:posOffset>
                </wp:positionV>
                <wp:extent cx="1973580" cy="533400"/>
                <wp:effectExtent l="76200" t="57150" r="64770" b="76200"/>
                <wp:wrapNone/>
                <wp:docPr id="3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533400"/>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9103E6" w:rsidRPr="00721EF1" w:rsidRDefault="009103E6" w:rsidP="005D5A99">
                            <w:pPr>
                              <w:shd w:val="clear" w:color="auto" w:fill="013161"/>
                              <w:jc w:val="center"/>
                              <w:rPr>
                                <w:rFonts w:ascii="Calibri" w:hAnsi="Calibri"/>
                                <w:color w:val="FFFFFF"/>
                                <w:sz w:val="24"/>
                              </w:rPr>
                            </w:pPr>
                            <w:r w:rsidRPr="00721EF1">
                              <w:rPr>
                                <w:rFonts w:ascii="Calibri" w:hAnsi="Calibri"/>
                                <w:color w:val="FFFFFF"/>
                                <w:sz w:val="24"/>
                              </w:rPr>
                              <w:t>Environment and Public Health/Safety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6" o:spid="_x0000_s1040" type="#_x0000_t202" style="position:absolute;margin-left:277.8pt;margin-top:154.45pt;width:155.4pt;height: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" fillcolor="#4f81bd" strokecolor="window" strokeweight="3pt">
                <v:shadow on="t" color="black" opacity="24903f" origin=",.5" offset="0,.55556mm"/>
                <v:path arrowok="t"/>
                <v:textbox>
                  <w:txbxContent>
                    <w:p w:rsidR="009103E6" w:rsidRPr="00721EF1" w:rsidRDefault="009103E6" w:rsidP="005D5A99">
                      <w:pPr>
                        <w:shd w:val="clear" w:color="auto" w:fill="013161"/>
                        <w:jc w:val="center"/>
                        <w:rPr>
                          <w:rFonts w:ascii="Calibri" w:hAnsi="Calibri"/>
                          <w:color w:val="FFFFFF"/>
                          <w:sz w:val="24"/>
                        </w:rPr>
                      </w:pPr>
                      <w:r w:rsidRPr="00721EF1">
                        <w:rPr>
                          <w:rFonts w:ascii="Calibri" w:hAnsi="Calibri"/>
                          <w:color w:val="FFFFFF"/>
                          <w:sz w:val="24"/>
                        </w:rPr>
                        <w:t>Environment and Public Health/Safety</w:t>
                      </w:r>
                    </w:p>
                  </w:txbxContent>
                </v:textbox>
              </v:shape>
            </w:pict>
          </mc:Fallback>
        </mc:AlternateContent>
      </w:r>
      <w:r>
        <w:rPr>
          <w:rFonts w:ascii="Calibri" w:hAnsi="Calibri"/>
          <w:noProof/>
          <w:color w:val="FFFFFF"/>
        </w:rPr>
        <mc:AlternateContent>
          <mc:Choice Requires="wps">
            <w:drawing>
              <wp:anchor distT="0" distB="0" distL="114300" distR="114300" simplePos="0" relativeHeight="251721728" behindDoc="0" locked="0" layoutInCell="1" allowOverlap="1">
                <wp:simplePos x="0" y="0"/>
                <wp:positionH relativeFrom="column">
                  <wp:posOffset>2964180</wp:posOffset>
                </wp:positionH>
                <wp:positionV relativeFrom="paragraph">
                  <wp:posOffset>1943735</wp:posOffset>
                </wp:positionV>
                <wp:extent cx="495300" cy="449580"/>
                <wp:effectExtent l="76200" t="57150" r="57150" b="83820"/>
                <wp:wrapNone/>
                <wp:docPr id="32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449580"/>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959DD" id="Oval 24" o:spid="_x0000_s1026" style="position:absolute;margin-left:233.4pt;margin-top:153.05pt;width:39pt;height:3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" fillcolor="#f79646" strokecolor="window" strokeweight="3pt">
                <v:shadow on="t" color="black" opacity="24903f" origin=",.5" offset="0,.55556mm"/>
                <v:path arrowok="t"/>
              </v:oval>
            </w:pict>
          </mc:Fallback>
        </mc:AlternateContent>
      </w:r>
      <w:r>
        <w:rPr>
          <w:rFonts w:ascii="Calibri" w:hAnsi="Calibri"/>
          <w:noProof/>
          <w:color w:val="FFFFFF"/>
        </w:rPr>
        <mc:AlternateContent>
          <mc:Choice Requires="wps">
            <w:drawing>
              <wp:anchor distT="0" distB="0" distL="114300" distR="114300" simplePos="0" relativeHeight="251722752" behindDoc="0" locked="0" layoutInCell="1" allowOverlap="1">
                <wp:simplePos x="0" y="0"/>
                <wp:positionH relativeFrom="margin">
                  <wp:posOffset>3063240</wp:posOffset>
                </wp:positionH>
                <wp:positionV relativeFrom="paragraph">
                  <wp:posOffset>1958975</wp:posOffset>
                </wp:positionV>
                <wp:extent cx="335280" cy="419100"/>
                <wp:effectExtent l="0" t="0" r="0" b="0"/>
                <wp:wrapNone/>
                <wp:docPr id="3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1" type="#_x0000_t202" style="position:absolute;margin-left:241.2pt;margin-top:154.25pt;width:26.4pt;height:33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" filled="f" stroked="f" strokeweight=".5pt">
                <v:path arrowok="t"/>
                <v:textbo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83</w:t>
                      </w:r>
                    </w:p>
                  </w:txbxContent>
                </v:textbox>
                <w10:wrap anchorx="margin"/>
              </v:shape>
            </w:pict>
          </mc:Fallback>
        </mc:AlternateContent>
      </w:r>
      <w:r>
        <w:rPr>
          <w:rFonts w:ascii="Calibri" w:hAnsi="Calibri"/>
          <w:noProof/>
          <w:color w:val="FFFFFF"/>
        </w:rPr>
        <mc:AlternateContent>
          <mc:Choice Requires="wps">
            <w:drawing>
              <wp:anchor distT="0" distB="0" distL="114300" distR="114300" simplePos="0" relativeHeight="251715584" behindDoc="0" locked="0" layoutInCell="1" allowOverlap="1">
                <wp:simplePos x="0" y="0"/>
                <wp:positionH relativeFrom="column">
                  <wp:posOffset>2964180</wp:posOffset>
                </wp:positionH>
                <wp:positionV relativeFrom="paragraph">
                  <wp:posOffset>701675</wp:posOffset>
                </wp:positionV>
                <wp:extent cx="495300" cy="449580"/>
                <wp:effectExtent l="76200" t="57150" r="57150" b="83820"/>
                <wp:wrapNone/>
                <wp:docPr id="6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449580"/>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3ABBC" id="Oval 18" o:spid="_x0000_s1026" style="position:absolute;margin-left:233.4pt;margin-top:55.25pt;width:39pt;height:3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" fillcolor="#f79646" strokecolor="window" strokeweight="3pt">
                <v:shadow on="t" color="black" opacity="24903f" origin=",.5" offset="0,.55556mm"/>
                <v:path arrowok="t"/>
              </v:oval>
            </w:pict>
          </mc:Fallback>
        </mc:AlternateContent>
      </w:r>
      <w:r>
        <w:rPr>
          <w:rFonts w:ascii="Calibri" w:hAnsi="Calibri"/>
          <w:noProof/>
          <w:color w:val="FFFFFF"/>
        </w:rPr>
        <mc:AlternateContent>
          <mc:Choice Requires="wps">
            <w:drawing>
              <wp:anchor distT="0" distB="0" distL="114300" distR="114300" simplePos="0" relativeHeight="251716608" behindDoc="0" locked="0" layoutInCell="1" allowOverlap="1">
                <wp:simplePos x="0" y="0"/>
                <wp:positionH relativeFrom="margin">
                  <wp:posOffset>3055620</wp:posOffset>
                </wp:positionH>
                <wp:positionV relativeFrom="paragraph">
                  <wp:posOffset>709295</wp:posOffset>
                </wp:positionV>
                <wp:extent cx="335280" cy="419100"/>
                <wp:effectExtent l="0" t="0" r="0" b="0"/>
                <wp:wrapNone/>
                <wp:docPr id="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40.6pt;margin-top:55.85pt;width:26.4pt;height:33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" filled="f" stroked="f" strokeweight=".5pt">
                <v:path arrowok="t"/>
                <v:textbo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6</w:t>
                      </w:r>
                    </w:p>
                  </w:txbxContent>
                </v:textbox>
                <w10:wrap anchorx="margin"/>
              </v:shape>
            </w:pict>
          </mc:Fallback>
        </mc:AlternateContent>
      </w:r>
      <w:r>
        <w:rPr>
          <w:rFonts w:ascii="Calibri" w:hAnsi="Calibri"/>
          <w:noProof/>
          <w:color w:val="FFFFFF"/>
        </w:rPr>
        <mc:AlternateContent>
          <mc:Choice Requires="wps">
            <w:drawing>
              <wp:anchor distT="0" distB="0" distL="114300" distR="114300" simplePos="0" relativeHeight="251702272" behindDoc="0" locked="0" layoutInCell="1" allowOverlap="1">
                <wp:simplePos x="0" y="0"/>
                <wp:positionH relativeFrom="column">
                  <wp:posOffset>838200</wp:posOffset>
                </wp:positionH>
                <wp:positionV relativeFrom="paragraph">
                  <wp:posOffset>155575</wp:posOffset>
                </wp:positionV>
                <wp:extent cx="1973580" cy="317500"/>
                <wp:effectExtent l="76200" t="57150" r="64770" b="82550"/>
                <wp:wrapNone/>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317500"/>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9103E6" w:rsidRPr="00721EF1" w:rsidRDefault="009103E6" w:rsidP="005D5A99">
                            <w:pPr>
                              <w:shd w:val="clear" w:color="auto" w:fill="013161"/>
                              <w:jc w:val="center"/>
                              <w:rPr>
                                <w:rFonts w:ascii="Calibri" w:hAnsi="Calibri"/>
                                <w:color w:val="FFFFFF"/>
                                <w:sz w:val="24"/>
                              </w:rPr>
                            </w:pPr>
                            <w:r w:rsidRPr="00721EF1">
                              <w:rPr>
                                <w:rFonts w:ascii="Calibri" w:hAnsi="Calibri"/>
                                <w:color w:val="FFFFFF"/>
                                <w:sz w:val="24"/>
                              </w:rPr>
                              <w:t>Housing and Shelter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 o:spid="_x0000_s1043" type="#_x0000_t202" style="position:absolute;margin-left:66pt;margin-top:12.25pt;width:155.4pt;height: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" fillcolor="#4f81bd" strokecolor="window" strokeweight="3pt">
                <v:shadow on="t" color="black" opacity="24903f" origin=",.5" offset="0,.55556mm"/>
                <v:path arrowok="t"/>
                <v:textbox>
                  <w:txbxContent>
                    <w:p w:rsidR="009103E6" w:rsidRPr="00721EF1" w:rsidRDefault="009103E6" w:rsidP="005D5A99">
                      <w:pPr>
                        <w:shd w:val="clear" w:color="auto" w:fill="013161"/>
                        <w:jc w:val="center"/>
                        <w:rPr>
                          <w:rFonts w:ascii="Calibri" w:hAnsi="Calibri"/>
                          <w:color w:val="FFFFFF"/>
                          <w:sz w:val="24"/>
                        </w:rPr>
                      </w:pPr>
                      <w:r w:rsidRPr="00721EF1">
                        <w:rPr>
                          <w:rFonts w:ascii="Calibri" w:hAnsi="Calibri"/>
                          <w:color w:val="FFFFFF"/>
                          <w:sz w:val="24"/>
                        </w:rPr>
                        <w:t>Housing and Shelter</w:t>
                      </w:r>
                    </w:p>
                  </w:txbxContent>
                </v:textbox>
              </v:shape>
            </w:pict>
          </mc:Fallback>
        </mc:AlternateContent>
      </w:r>
      <w:r>
        <w:rPr>
          <w:rFonts w:ascii="Calibri" w:hAnsi="Calibri"/>
          <w:noProof/>
          <w:color w:val="FFFFFF"/>
        </w:rPr>
        <mc:AlternateContent>
          <mc:Choice Requires="wps">
            <w:drawing>
              <wp:anchor distT="0" distB="0" distL="114300" distR="114300" simplePos="0" relativeHeight="251704320" behindDoc="0" locked="0" layoutInCell="1" allowOverlap="1">
                <wp:simplePos x="0" y="0"/>
                <wp:positionH relativeFrom="margin">
                  <wp:posOffset>373380</wp:posOffset>
                </wp:positionH>
                <wp:positionV relativeFrom="paragraph">
                  <wp:posOffset>655955</wp:posOffset>
                </wp:positionV>
                <wp:extent cx="335280" cy="419100"/>
                <wp:effectExtent l="0" t="0" r="0" b="0"/>
                <wp:wrapNone/>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9.4pt;margin-top:51.65pt;width:26.4pt;height:33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" filled="f" stroked="f" strokeweight=".5pt">
                <v:path arrowok="t"/>
                <v:textbo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2</w:t>
                      </w:r>
                    </w:p>
                  </w:txbxContent>
                </v:textbox>
                <w10:wrap anchorx="margin"/>
              </v:shape>
            </w:pict>
          </mc:Fallback>
        </mc:AlternateContent>
      </w:r>
      <w:r>
        <w:rPr>
          <w:rFonts w:ascii="Calibri" w:hAnsi="Calibri"/>
          <w:noProof/>
          <w:color w:val="FFFFFF"/>
        </w:rPr>
        <mc:AlternateContent>
          <mc:Choice Requires="wps">
            <w:drawing>
              <wp:anchor distT="0" distB="0" distL="114300" distR="114300" simplePos="0" relativeHeight="251710464" behindDoc="0" locked="0" layoutInCell="1" allowOverlap="1">
                <wp:simplePos x="0" y="0"/>
                <wp:positionH relativeFrom="margin">
                  <wp:posOffset>358140</wp:posOffset>
                </wp:positionH>
                <wp:positionV relativeFrom="paragraph">
                  <wp:posOffset>1966595</wp:posOffset>
                </wp:positionV>
                <wp:extent cx="335280" cy="419100"/>
                <wp:effectExtent l="0" t="0" r="0" b="0"/>
                <wp:wrapNone/>
                <wp:docPr id="4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8.2pt;margin-top:154.85pt;width:26.4pt;height:33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" filled="f" stroked="f" strokeweight=".5pt">
                <v:path arrowok="t"/>
                <v:textbo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4</w:t>
                      </w:r>
                    </w:p>
                  </w:txbxContent>
                </v:textbox>
                <w10:wrap anchorx="margin"/>
              </v:shape>
            </w:pict>
          </mc:Fallback>
        </mc:AlternateContent>
      </w:r>
    </w:p>
    <w:p w:rsidR="00BE3ADB" w:rsidRPr="00721EF1" w:rsidRDefault="00BE3ADB" w:rsidP="00BE3ADB">
      <w:pPr>
        <w:rPr>
          <w:rFonts w:ascii="Calibri" w:hAnsi="Calibri"/>
        </w:rPr>
      </w:pPr>
    </w:p>
    <w:p w:rsidR="008351E6" w:rsidRPr="00721EF1" w:rsidRDefault="00763E81" w:rsidP="000F131D">
      <w:pPr>
        <w:rPr>
          <w:rFonts w:ascii="Calibri" w:hAnsi="Calibri"/>
        </w:rPr>
      </w:pPr>
      <w:r>
        <w:rPr>
          <w:rFonts w:ascii="Calibri" w:hAnsi="Calibri"/>
          <w:noProof/>
          <w:color w:val="FFFFFF"/>
        </w:rPr>
        <mc:AlternateContent>
          <mc:Choice Requires="wps">
            <w:drawing>
              <wp:anchor distT="0" distB="0" distL="114300" distR="114300" simplePos="0" relativeHeight="251705344" behindDoc="0" locked="0" layoutInCell="1" allowOverlap="1">
                <wp:simplePos x="0" y="0"/>
                <wp:positionH relativeFrom="column">
                  <wp:posOffset>838200</wp:posOffset>
                </wp:positionH>
                <wp:positionV relativeFrom="paragraph">
                  <wp:posOffset>183515</wp:posOffset>
                </wp:positionV>
                <wp:extent cx="1973580" cy="542925"/>
                <wp:effectExtent l="76200" t="57150" r="64770" b="85725"/>
                <wp:wrapNone/>
                <wp:docPr id="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542925"/>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9103E6" w:rsidRPr="00721EF1" w:rsidRDefault="009103E6" w:rsidP="005D5A99">
                            <w:pPr>
                              <w:shd w:val="clear" w:color="auto" w:fill="013161"/>
                              <w:jc w:val="center"/>
                              <w:rPr>
                                <w:rFonts w:ascii="Calibri" w:hAnsi="Calibri"/>
                                <w:color w:val="FFFFFF"/>
                                <w:sz w:val="24"/>
                              </w:rPr>
                            </w:pPr>
                            <w:r w:rsidRPr="00721EF1">
                              <w:rPr>
                                <w:rFonts w:ascii="Calibri" w:hAnsi="Calibri"/>
                                <w:color w:val="FFFFFF"/>
                                <w:sz w:val="24"/>
                              </w:rPr>
                              <w:t>Income Support and Employment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46" type="#_x0000_t202" style="position:absolute;margin-left:66pt;margin-top:14.45pt;width:155.4pt;height:4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" fillcolor="#4f81bd" strokecolor="window" strokeweight="3pt">
                <v:shadow on="t" color="black" opacity="24903f" origin=",.5" offset="0,.55556mm"/>
                <v:path arrowok="t"/>
                <v:textbox>
                  <w:txbxContent>
                    <w:p w:rsidR="009103E6" w:rsidRPr="00721EF1" w:rsidRDefault="009103E6" w:rsidP="005D5A99">
                      <w:pPr>
                        <w:shd w:val="clear" w:color="auto" w:fill="013161"/>
                        <w:jc w:val="center"/>
                        <w:rPr>
                          <w:rFonts w:ascii="Calibri" w:hAnsi="Calibri"/>
                          <w:color w:val="FFFFFF"/>
                          <w:sz w:val="24"/>
                        </w:rPr>
                      </w:pPr>
                      <w:r w:rsidRPr="00721EF1">
                        <w:rPr>
                          <w:rFonts w:ascii="Calibri" w:hAnsi="Calibri"/>
                          <w:color w:val="FFFFFF"/>
                          <w:sz w:val="24"/>
                        </w:rPr>
                        <w:t>Income Support and Employment</w:t>
                      </w:r>
                    </w:p>
                  </w:txbxContent>
                </v:textbox>
              </v:shape>
            </w:pict>
          </mc:Fallback>
        </mc:AlternateContent>
      </w:r>
    </w:p>
    <w:p w:rsidR="00BE3ADB" w:rsidRPr="00721EF1" w:rsidRDefault="00763E81" w:rsidP="000F131D">
      <w:pPr>
        <w:rPr>
          <w:rFonts w:ascii="Calibri" w:hAnsi="Calibri"/>
        </w:rPr>
      </w:pPr>
      <w:r>
        <w:rPr>
          <w:rFonts w:ascii="Calibri" w:hAnsi="Calibri"/>
          <w:noProof/>
          <w:color w:val="FFFFFF"/>
        </w:rPr>
        <mc:AlternateContent>
          <mc:Choice Requires="wps">
            <w:drawing>
              <wp:anchor distT="0" distB="0" distL="114300" distR="114300" simplePos="0" relativeHeight="251717632" behindDoc="0" locked="0" layoutInCell="1" allowOverlap="1">
                <wp:simplePos x="0" y="0"/>
                <wp:positionH relativeFrom="column">
                  <wp:posOffset>3528060</wp:posOffset>
                </wp:positionH>
                <wp:positionV relativeFrom="paragraph">
                  <wp:posOffset>-6985</wp:posOffset>
                </wp:positionV>
                <wp:extent cx="1973580" cy="332740"/>
                <wp:effectExtent l="76200" t="57150" r="64770" b="67310"/>
                <wp:wrapNone/>
                <wp:docPr id="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332740"/>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9103E6" w:rsidRPr="00721EF1" w:rsidRDefault="009103E6" w:rsidP="005D5A99">
                            <w:pPr>
                              <w:shd w:val="clear" w:color="auto" w:fill="013161"/>
                              <w:jc w:val="center"/>
                              <w:rPr>
                                <w:rFonts w:ascii="Calibri" w:hAnsi="Calibri"/>
                                <w:color w:val="FFFFFF"/>
                                <w:sz w:val="24"/>
                              </w:rPr>
                            </w:pPr>
                            <w:r w:rsidRPr="00721EF1">
                              <w:rPr>
                                <w:rFonts w:ascii="Calibri" w:hAnsi="Calibri"/>
                                <w:color w:val="FFFFFF"/>
                                <w:sz w:val="24"/>
                              </w:rPr>
                              <w:t>Healthcare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0" o:spid="_x0000_s1047" type="#_x0000_t202" style="position:absolute;margin-left:277.8pt;margin-top:-.55pt;width:155.4pt;height:2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" fillcolor="#4f81bd" strokecolor="window" strokeweight="3pt">
                <v:shadow on="t" color="black" opacity="24903f" origin=",.5" offset="0,.55556mm"/>
                <v:path arrowok="t"/>
                <v:textbox>
                  <w:txbxContent>
                    <w:p w:rsidR="009103E6" w:rsidRPr="00721EF1" w:rsidRDefault="009103E6" w:rsidP="005D5A99">
                      <w:pPr>
                        <w:shd w:val="clear" w:color="auto" w:fill="013161"/>
                        <w:jc w:val="center"/>
                        <w:rPr>
                          <w:rFonts w:ascii="Calibri" w:hAnsi="Calibri"/>
                          <w:color w:val="FFFFFF"/>
                          <w:sz w:val="24"/>
                        </w:rPr>
                      </w:pPr>
                      <w:r w:rsidRPr="00721EF1">
                        <w:rPr>
                          <w:rFonts w:ascii="Calibri" w:hAnsi="Calibri"/>
                          <w:color w:val="FFFFFF"/>
                          <w:sz w:val="24"/>
                        </w:rPr>
                        <w:t>Healthcare</w:t>
                      </w:r>
                    </w:p>
                  </w:txbxContent>
                </v:textbox>
              </v:shape>
            </w:pict>
          </mc:Fallback>
        </mc:AlternateContent>
      </w:r>
    </w:p>
    <w:p w:rsidR="00BE3ADB" w:rsidRPr="00721EF1" w:rsidRDefault="00763E81" w:rsidP="000F131D">
      <w:pPr>
        <w:rPr>
          <w:rFonts w:ascii="Calibri" w:hAnsi="Calibri"/>
        </w:rPr>
      </w:pPr>
      <w:r>
        <w:rPr>
          <w:rFonts w:ascii="Calibri" w:hAnsi="Calibri"/>
          <w:noProof/>
          <w:color w:val="FFFFFF"/>
        </w:rPr>
        <mc:AlternateContent>
          <mc:Choice Requires="wps">
            <w:drawing>
              <wp:anchor distT="0" distB="0" distL="114300" distR="114300" simplePos="0" relativeHeight="251707392" behindDoc="0" locked="0" layoutInCell="1" allowOverlap="1">
                <wp:simplePos x="0" y="0"/>
                <wp:positionH relativeFrom="margin">
                  <wp:posOffset>381000</wp:posOffset>
                </wp:positionH>
                <wp:positionV relativeFrom="paragraph">
                  <wp:posOffset>226060</wp:posOffset>
                </wp:positionV>
                <wp:extent cx="335280" cy="419100"/>
                <wp:effectExtent l="0" t="0" r="0" b="0"/>
                <wp:wrapNone/>
                <wp:docPr id="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30pt;margin-top:17.8pt;width:26.4pt;height:3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" filled="f" stroked="f" strokeweight=".5pt">
                <v:path arrowok="t"/>
                <v:textbo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3</w:t>
                      </w:r>
                    </w:p>
                  </w:txbxContent>
                </v:textbox>
                <w10:wrap anchorx="margin"/>
              </v:shape>
            </w:pict>
          </mc:Fallback>
        </mc:AlternateContent>
      </w:r>
      <w:r>
        <w:rPr>
          <w:rFonts w:ascii="Calibri" w:hAnsi="Calibri"/>
          <w:noProof/>
        </w:rPr>
        <mc:AlternateContent>
          <mc:Choice Requires="wps">
            <w:drawing>
              <wp:anchor distT="0" distB="0" distL="114300" distR="114300" simplePos="0" relativeHeight="251706368" behindDoc="0" locked="0" layoutInCell="1" allowOverlap="1">
                <wp:simplePos x="0" y="0"/>
                <wp:positionH relativeFrom="column">
                  <wp:posOffset>274320</wp:posOffset>
                </wp:positionH>
                <wp:positionV relativeFrom="paragraph">
                  <wp:posOffset>226060</wp:posOffset>
                </wp:positionV>
                <wp:extent cx="495300" cy="449580"/>
                <wp:effectExtent l="76200" t="57150" r="57150" b="83820"/>
                <wp:wrapNone/>
                <wp:docPr id="3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449580"/>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E2CCD" id="Oval 9" o:spid="_x0000_s1026" style="position:absolute;margin-left:21.6pt;margin-top:17.8pt;width:39pt;height:3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" fillcolor="#f79646" strokecolor="window" strokeweight="3pt">
                <v:shadow on="t" color="black" opacity="24903f" origin=",.5" offset="0,.55556mm"/>
                <v:path arrowok="t"/>
              </v:oval>
            </w:pict>
          </mc:Fallback>
        </mc:AlternateContent>
      </w:r>
      <w:r>
        <w:rPr>
          <w:rFonts w:ascii="Calibri" w:hAnsi="Calibri"/>
          <w:noProof/>
          <w:color w:val="FFFFFF"/>
        </w:rPr>
        <mc:AlternateContent>
          <mc:Choice Requires="wps">
            <w:drawing>
              <wp:anchor distT="0" distB="0" distL="114300" distR="114300" simplePos="0" relativeHeight="251718656" behindDoc="0" locked="0" layoutInCell="1" allowOverlap="1">
                <wp:simplePos x="0" y="0"/>
                <wp:positionH relativeFrom="column">
                  <wp:posOffset>2964180</wp:posOffset>
                </wp:positionH>
                <wp:positionV relativeFrom="paragraph">
                  <wp:posOffset>241300</wp:posOffset>
                </wp:positionV>
                <wp:extent cx="495300" cy="449580"/>
                <wp:effectExtent l="76200" t="57150" r="57150" b="83820"/>
                <wp:wrapNone/>
                <wp:docPr id="28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449580"/>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6795DB" id="Oval 21" o:spid="_x0000_s1026" style="position:absolute;margin-left:233.4pt;margin-top:19pt;width:39pt;height:35.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" fillcolor="#f79646" strokecolor="window" strokeweight="3pt">
                <v:shadow on="t" color="black" opacity="24903f" origin=",.5" offset="0,.55556mm"/>
                <v:path arrowok="t"/>
              </v:oval>
            </w:pict>
          </mc:Fallback>
        </mc:AlternateContent>
      </w:r>
      <w:r>
        <w:rPr>
          <w:rFonts w:ascii="Calibri" w:hAnsi="Calibri"/>
          <w:noProof/>
          <w:color w:val="FFFFFF"/>
        </w:rPr>
        <mc:AlternateContent>
          <mc:Choice Requires="wps">
            <w:drawing>
              <wp:anchor distT="0" distB="0" distL="114300" distR="114300" simplePos="0" relativeHeight="251719680" behindDoc="0" locked="0" layoutInCell="1" allowOverlap="1">
                <wp:simplePos x="0" y="0"/>
                <wp:positionH relativeFrom="margin">
                  <wp:posOffset>3063240</wp:posOffset>
                </wp:positionH>
                <wp:positionV relativeFrom="paragraph">
                  <wp:posOffset>248920</wp:posOffset>
                </wp:positionV>
                <wp:extent cx="335280" cy="419100"/>
                <wp:effectExtent l="0" t="0" r="0" b="0"/>
                <wp:wrapNone/>
                <wp:docPr id="2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41.2pt;margin-top:19.6pt;width:26.4pt;height:3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" filled="f" stroked="f" strokeweight=".5pt">
                <v:path arrowok="t"/>
                <v:textbox>
                  <w:txbxContent>
                    <w:p w:rsidR="009103E6" w:rsidRPr="00721EF1" w:rsidRDefault="009103E6" w:rsidP="00BE3ADB">
                      <w:pPr>
                        <w:rPr>
                          <w:rFonts w:ascii="Calibri" w:hAnsi="Calibri"/>
                          <w:color w:val="FFFFFF"/>
                          <w:sz w:val="40"/>
                          <w:szCs w:val="40"/>
                        </w:rPr>
                      </w:pPr>
                      <w:r w:rsidRPr="00721EF1">
                        <w:rPr>
                          <w:rFonts w:ascii="Calibri" w:hAnsi="Calibri"/>
                          <w:color w:val="FFFFFF"/>
                          <w:sz w:val="40"/>
                          <w:szCs w:val="40"/>
                        </w:rPr>
                        <w:t>7</w:t>
                      </w:r>
                    </w:p>
                  </w:txbxContent>
                </v:textbox>
                <w10:wrap anchorx="margin"/>
              </v:shape>
            </w:pict>
          </mc:Fallback>
        </mc:AlternateContent>
      </w:r>
    </w:p>
    <w:p w:rsidR="00BE3ADB" w:rsidRPr="00721EF1" w:rsidRDefault="00763E81" w:rsidP="000F131D">
      <w:pPr>
        <w:rPr>
          <w:rFonts w:ascii="Calibri" w:hAnsi="Calibri"/>
        </w:rPr>
      </w:pPr>
      <w:r>
        <w:rPr>
          <w:rFonts w:ascii="Calibri" w:hAnsi="Calibri"/>
          <w:noProof/>
          <w:color w:val="FFFFFF"/>
        </w:rPr>
        <mc:AlternateContent>
          <mc:Choice Requires="wps">
            <w:drawing>
              <wp:anchor distT="0" distB="0" distL="114300" distR="114300" simplePos="0" relativeHeight="251708416" behindDoc="0" locked="0" layoutInCell="1" allowOverlap="1">
                <wp:simplePos x="0" y="0"/>
                <wp:positionH relativeFrom="column">
                  <wp:posOffset>838200</wp:posOffset>
                </wp:positionH>
                <wp:positionV relativeFrom="paragraph">
                  <wp:posOffset>37465</wp:posOffset>
                </wp:positionV>
                <wp:extent cx="1973580" cy="340360"/>
                <wp:effectExtent l="76200" t="57150" r="64770" b="78740"/>
                <wp:wrapNone/>
                <wp:docPr id="2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340360"/>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9103E6" w:rsidRPr="00721EF1" w:rsidRDefault="009103E6" w:rsidP="005D5A99">
                            <w:pPr>
                              <w:shd w:val="clear" w:color="auto" w:fill="013161"/>
                              <w:jc w:val="center"/>
                              <w:rPr>
                                <w:rFonts w:ascii="Calibri" w:hAnsi="Calibri"/>
                                <w:color w:val="FFFFFF"/>
                                <w:sz w:val="28"/>
                              </w:rPr>
                            </w:pPr>
                            <w:r w:rsidRPr="00721EF1">
                              <w:rPr>
                                <w:rFonts w:ascii="Calibri" w:hAnsi="Calibri"/>
                                <w:color w:val="FFFFFF"/>
                                <w:sz w:val="24"/>
                              </w:rPr>
                              <w:t>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 o:spid="_x0000_s1050" type="#_x0000_t202" style="position:absolute;margin-left:66pt;margin-top:2.95pt;width:155.4pt;height:26.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" fillcolor="#4f81bd" strokecolor="window" strokeweight="3pt">
                <v:shadow on="t" color="black" opacity="24903f" origin=",.5" offset="0,.55556mm"/>
                <v:path arrowok="t"/>
                <v:textbox>
                  <w:txbxContent>
                    <w:p w:rsidR="009103E6" w:rsidRPr="00721EF1" w:rsidRDefault="009103E6" w:rsidP="005D5A99">
                      <w:pPr>
                        <w:shd w:val="clear" w:color="auto" w:fill="013161"/>
                        <w:jc w:val="center"/>
                        <w:rPr>
                          <w:rFonts w:ascii="Calibri" w:hAnsi="Calibri"/>
                          <w:color w:val="FFFFFF"/>
                          <w:sz w:val="28"/>
                        </w:rPr>
                      </w:pPr>
                      <w:r w:rsidRPr="00721EF1">
                        <w:rPr>
                          <w:rFonts w:ascii="Calibri" w:hAnsi="Calibri"/>
                          <w:color w:val="FFFFFF"/>
                          <w:sz w:val="24"/>
                        </w:rPr>
                        <w:t>Food</w:t>
                      </w:r>
                    </w:p>
                  </w:txbxContent>
                </v:textbox>
              </v:shape>
            </w:pict>
          </mc:Fallback>
        </mc:AlternateContent>
      </w:r>
      <w:r>
        <w:rPr>
          <w:rFonts w:ascii="Calibri" w:hAnsi="Calibri"/>
          <w:noProof/>
          <w:color w:val="FFFFFF"/>
        </w:rPr>
        <mc:AlternateContent>
          <mc:Choice Requires="wps">
            <w:drawing>
              <wp:anchor distT="0" distB="0" distL="114300" distR="114300" simplePos="0" relativeHeight="251720704" behindDoc="0" locked="0" layoutInCell="1" allowOverlap="1">
                <wp:simplePos x="0" y="0"/>
                <wp:positionH relativeFrom="column">
                  <wp:posOffset>3543300</wp:posOffset>
                </wp:positionH>
                <wp:positionV relativeFrom="paragraph">
                  <wp:posOffset>-635</wp:posOffset>
                </wp:positionV>
                <wp:extent cx="1973580" cy="355600"/>
                <wp:effectExtent l="76200" t="57150" r="64770" b="82550"/>
                <wp:wrapNone/>
                <wp:docPr id="28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355600"/>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9103E6" w:rsidRPr="00721EF1" w:rsidRDefault="009103E6" w:rsidP="005D5A99">
                            <w:pPr>
                              <w:shd w:val="clear" w:color="auto" w:fill="013161"/>
                              <w:jc w:val="center"/>
                              <w:rPr>
                                <w:rFonts w:ascii="Calibri" w:hAnsi="Calibri"/>
                                <w:color w:val="FFFFFF"/>
                                <w:sz w:val="24"/>
                              </w:rPr>
                            </w:pPr>
                            <w:r w:rsidRPr="00721EF1">
                              <w:rPr>
                                <w:rFonts w:ascii="Calibri" w:hAnsi="Calibri"/>
                                <w:color w:val="FFFFFF"/>
                                <w:sz w:val="24"/>
                              </w:rPr>
                              <w:t>Tax Preparation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 o:spid="_x0000_s1051" type="#_x0000_t202" style="position:absolute;margin-left:279pt;margin-top:-.05pt;width:155.4pt;height: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" fillcolor="#4f81bd" strokecolor="window" strokeweight="3pt">
                <v:shadow on="t" color="black" opacity="24903f" origin=",.5" offset="0,.55556mm"/>
                <v:path arrowok="t"/>
                <v:textbox>
                  <w:txbxContent>
                    <w:p w:rsidR="009103E6" w:rsidRPr="00721EF1" w:rsidRDefault="009103E6" w:rsidP="005D5A99">
                      <w:pPr>
                        <w:shd w:val="clear" w:color="auto" w:fill="013161"/>
                        <w:jc w:val="center"/>
                        <w:rPr>
                          <w:rFonts w:ascii="Calibri" w:hAnsi="Calibri"/>
                          <w:color w:val="FFFFFF"/>
                          <w:sz w:val="24"/>
                        </w:rPr>
                      </w:pPr>
                      <w:r w:rsidRPr="00721EF1">
                        <w:rPr>
                          <w:rFonts w:ascii="Calibri" w:hAnsi="Calibri"/>
                          <w:color w:val="FFFFFF"/>
                          <w:sz w:val="24"/>
                        </w:rPr>
                        <w:t>Tax Preparation</w:t>
                      </w:r>
                    </w:p>
                  </w:txbxContent>
                </v:textbox>
              </v:shape>
            </w:pict>
          </mc:Fallback>
        </mc:AlternateContent>
      </w:r>
    </w:p>
    <w:p w:rsidR="00BE3ADB" w:rsidRPr="00721EF1" w:rsidRDefault="00763E81" w:rsidP="000F131D">
      <w:pPr>
        <w:rPr>
          <w:rFonts w:ascii="Calibri" w:hAnsi="Calibri"/>
        </w:rPr>
      </w:pPr>
      <w:r>
        <w:rPr>
          <w:rFonts w:ascii="Calibri" w:hAnsi="Calibri"/>
          <w:noProof/>
          <w:color w:val="FFFFFF"/>
        </w:rPr>
        <mc:AlternateContent>
          <mc:Choice Requires="wps">
            <w:drawing>
              <wp:anchor distT="0" distB="0" distL="114300" distR="114300" simplePos="0" relativeHeight="251711488" behindDoc="0" locked="0" layoutInCell="1" allowOverlap="1">
                <wp:simplePos x="0" y="0"/>
                <wp:positionH relativeFrom="column">
                  <wp:posOffset>838200</wp:posOffset>
                </wp:positionH>
                <wp:positionV relativeFrom="paragraph">
                  <wp:posOffset>257810</wp:posOffset>
                </wp:positionV>
                <wp:extent cx="1973580" cy="581025"/>
                <wp:effectExtent l="76200" t="57150" r="64770" b="85725"/>
                <wp:wrapNone/>
                <wp:docPr id="2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3580" cy="581025"/>
                        </a:xfrm>
                        <a:prstGeom prst="rect">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9103E6" w:rsidRPr="00721EF1" w:rsidRDefault="009103E6" w:rsidP="005D5A99">
                            <w:pPr>
                              <w:shd w:val="clear" w:color="auto" w:fill="013161"/>
                              <w:jc w:val="center"/>
                              <w:rPr>
                                <w:rFonts w:ascii="Calibri" w:hAnsi="Calibri"/>
                                <w:color w:val="FFFFFF"/>
                                <w:sz w:val="24"/>
                              </w:rPr>
                            </w:pPr>
                            <w:r w:rsidRPr="00721EF1">
                              <w:rPr>
                                <w:rFonts w:ascii="Calibri" w:hAnsi="Calibri"/>
                                <w:color w:val="FFFFFF"/>
                                <w:sz w:val="24"/>
                              </w:rPr>
                              <w:t>Individual and Family Support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 o:spid="_x0000_s1052" type="#_x0000_t202" style="position:absolute;margin-left:66pt;margin-top:20.3pt;width:155.4pt;height:4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" fillcolor="#4f81bd" strokecolor="window" strokeweight="3pt">
                <v:shadow on="t" color="black" opacity="24903f" origin=",.5" offset="0,.55556mm"/>
                <v:path arrowok="t"/>
                <v:textbox>
                  <w:txbxContent>
                    <w:p w:rsidR="009103E6" w:rsidRPr="00721EF1" w:rsidRDefault="009103E6" w:rsidP="005D5A99">
                      <w:pPr>
                        <w:shd w:val="clear" w:color="auto" w:fill="013161"/>
                        <w:jc w:val="center"/>
                        <w:rPr>
                          <w:rFonts w:ascii="Calibri" w:hAnsi="Calibri"/>
                          <w:color w:val="FFFFFF"/>
                          <w:sz w:val="24"/>
                        </w:rPr>
                      </w:pPr>
                      <w:r w:rsidRPr="00721EF1">
                        <w:rPr>
                          <w:rFonts w:ascii="Calibri" w:hAnsi="Calibri"/>
                          <w:color w:val="FFFFFF"/>
                          <w:sz w:val="24"/>
                        </w:rPr>
                        <w:t>Individual and Family Support Services</w:t>
                      </w:r>
                    </w:p>
                  </w:txbxContent>
                </v:textbox>
              </v:shape>
            </w:pict>
          </mc:Fallback>
        </mc:AlternateContent>
      </w:r>
    </w:p>
    <w:p w:rsidR="00D86A11" w:rsidRPr="00721EF1" w:rsidRDefault="00763E81" w:rsidP="00B34F6B">
      <w:pPr>
        <w:pStyle w:val="Heading3"/>
        <w:spacing w:before="0" w:line="276" w:lineRule="auto"/>
        <w:rPr>
          <w:rFonts w:ascii="Calibri" w:hAnsi="Calibri"/>
        </w:rPr>
      </w:pPr>
      <w:r>
        <w:rPr>
          <w:noProof/>
        </w:rPr>
        <mc:AlternateContent>
          <mc:Choice Requires="wps">
            <w:drawing>
              <wp:anchor distT="0" distB="0" distL="114300" distR="114300" simplePos="0" relativeHeight="251638784" behindDoc="0" locked="0" layoutInCell="1" allowOverlap="1">
                <wp:simplePos x="0" y="0"/>
                <wp:positionH relativeFrom="margin">
                  <wp:posOffset>3063240</wp:posOffset>
                </wp:positionH>
                <wp:positionV relativeFrom="paragraph">
                  <wp:posOffset>52705</wp:posOffset>
                </wp:positionV>
                <wp:extent cx="335280" cy="419100"/>
                <wp:effectExtent l="0" t="0" r="0" b="0"/>
                <wp:wrapNone/>
                <wp:docPr id="2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Pr="00721EF1" w:rsidRDefault="009103E6" w:rsidP="00D86A11">
                            <w:pPr>
                              <w:rPr>
                                <w:rFonts w:ascii="Calibri" w:hAnsi="Calibri"/>
                                <w:color w:val="FFFFFF"/>
                                <w:sz w:val="40"/>
                                <w:szCs w:val="40"/>
                              </w:rPr>
                            </w:pPr>
                            <w:r w:rsidRPr="00721EF1">
                              <w:rPr>
                                <w:rFonts w:ascii="Calibri" w:hAnsi="Calibri"/>
                                <w:color w:val="FFFFFF"/>
                                <w:sz w:val="40"/>
                                <w:szCs w:val="4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41.2pt;margin-top:4.15pt;width:26.4pt;height:33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" filled="f" stroked="f" strokeweight=".5pt">
                <v:path arrowok="t"/>
                <v:textbox>
                  <w:txbxContent>
                    <w:p w:rsidR="009103E6" w:rsidRPr="00721EF1" w:rsidRDefault="009103E6" w:rsidP="00D86A11">
                      <w:pPr>
                        <w:rPr>
                          <w:rFonts w:ascii="Calibri" w:hAnsi="Calibri"/>
                          <w:color w:val="FFFFFF"/>
                          <w:sz w:val="40"/>
                          <w:szCs w:val="40"/>
                        </w:rPr>
                      </w:pPr>
                      <w:r w:rsidRPr="00721EF1">
                        <w:rPr>
                          <w:rFonts w:ascii="Calibri" w:hAnsi="Calibri"/>
                          <w:color w:val="FFFFFF"/>
                          <w:sz w:val="40"/>
                          <w:szCs w:val="40"/>
                        </w:rPr>
                        <w:t>5</w:t>
                      </w:r>
                    </w:p>
                  </w:txbxContent>
                </v:textbox>
                <w10:wrap anchorx="margin"/>
              </v:shape>
            </w:pict>
          </mc:Fallback>
        </mc:AlternateContent>
      </w:r>
      <w:r>
        <w:rPr>
          <w:noProof/>
          <w:color w:val="FFFFFF"/>
        </w:rPr>
        <mc:AlternateContent>
          <mc:Choice Requires="wps">
            <w:drawing>
              <wp:anchor distT="0" distB="0" distL="114300" distR="114300" simplePos="0" relativeHeight="251637760" behindDoc="0" locked="0" layoutInCell="1" allowOverlap="1">
                <wp:simplePos x="0" y="0"/>
                <wp:positionH relativeFrom="column">
                  <wp:posOffset>3528060</wp:posOffset>
                </wp:positionH>
                <wp:positionV relativeFrom="paragraph">
                  <wp:posOffset>93345</wp:posOffset>
                </wp:positionV>
                <wp:extent cx="1973580" cy="472440"/>
                <wp:effectExtent l="19050" t="19050" r="7620" b="41910"/>
                <wp:wrapNone/>
                <wp:docPr id="28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472440"/>
                        </a:xfrm>
                        <a:prstGeom prst="rect">
                          <a:avLst/>
                        </a:prstGeom>
                        <a:solidFill>
                          <a:srgbClr val="4F81BD"/>
                        </a:solidFill>
                        <a:ln w="38100">
                          <a:solidFill>
                            <a:srgbClr val="FFFFFF"/>
                          </a:solidFill>
                          <a:miter lim="800000"/>
                          <a:headEnd/>
                          <a:tailEnd/>
                        </a:ln>
                        <a:effectLst>
                          <a:outerShdw dist="20000" dir="5400000" rotWithShape="0">
                            <a:srgbClr val="808080">
                              <a:alpha val="37999"/>
                            </a:srgbClr>
                          </a:outerShdw>
                        </a:effectLst>
                      </wps:spPr>
                      <wps:txbx>
                        <w:txbxContent>
                          <w:p w:rsidR="009103E6" w:rsidRPr="00721EF1" w:rsidRDefault="009103E6" w:rsidP="00D86A11">
                            <w:pPr>
                              <w:shd w:val="clear" w:color="auto" w:fill="013161"/>
                              <w:jc w:val="center"/>
                              <w:rPr>
                                <w:rFonts w:ascii="Calibri" w:hAnsi="Calibri"/>
                                <w:color w:val="FFFFFF"/>
                              </w:rPr>
                            </w:pPr>
                            <w:r w:rsidRPr="00721EF1">
                              <w:rPr>
                                <w:rFonts w:ascii="Calibri" w:hAnsi="Calibri"/>
                                <w:color w:val="FFFFFF"/>
                              </w:rPr>
                              <w:t>Mental Health and Substance Abuse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4" type="#_x0000_t202" style="position:absolute;margin-left:277.8pt;margin-top:7.35pt;width:155.4pt;height:37.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" fillcolor="#4f81bd" strokecolor="white" strokeweight="3pt">
                <v:shadow on="t" opacity="24903f" origin=",.5" offset="0,.55556mm"/>
                <v:textbox>
                  <w:txbxContent>
                    <w:p w:rsidR="009103E6" w:rsidRPr="00721EF1" w:rsidRDefault="009103E6" w:rsidP="00D86A11">
                      <w:pPr>
                        <w:shd w:val="clear" w:color="auto" w:fill="013161"/>
                        <w:jc w:val="center"/>
                        <w:rPr>
                          <w:rFonts w:ascii="Calibri" w:hAnsi="Calibri"/>
                          <w:color w:val="FFFFFF"/>
                        </w:rPr>
                      </w:pPr>
                      <w:r w:rsidRPr="00721EF1">
                        <w:rPr>
                          <w:rFonts w:ascii="Calibri" w:hAnsi="Calibri"/>
                          <w:color w:val="FFFFFF"/>
                        </w:rPr>
                        <w:t>Mental Health and Substance Abuse Services</w:t>
                      </w:r>
                    </w:p>
                  </w:txbxContent>
                </v:textbox>
              </v:shape>
            </w:pict>
          </mc:Fallback>
        </mc:AlternateContent>
      </w:r>
      <w:r>
        <w:rPr>
          <w:noProof/>
          <w:color w:val="FFFFFF"/>
        </w:rPr>
        <mc:AlternateContent>
          <mc:Choice Requires="wps">
            <w:drawing>
              <wp:anchor distT="0" distB="0" distL="114300" distR="114300" simplePos="0" relativeHeight="251625472" behindDoc="0" locked="0" layoutInCell="1" allowOverlap="1">
                <wp:simplePos x="0" y="0"/>
                <wp:positionH relativeFrom="margin">
                  <wp:posOffset>365760</wp:posOffset>
                </wp:positionH>
                <wp:positionV relativeFrom="paragraph">
                  <wp:posOffset>67945</wp:posOffset>
                </wp:positionV>
                <wp:extent cx="335280" cy="419100"/>
                <wp:effectExtent l="0" t="0" r="0" b="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Pr="00721EF1" w:rsidRDefault="009103E6" w:rsidP="00D86A11">
                            <w:pPr>
                              <w:rPr>
                                <w:rFonts w:ascii="Calibri" w:hAnsi="Calibri"/>
                                <w:color w:val="FFFFFF"/>
                                <w:sz w:val="40"/>
                                <w:szCs w:val="40"/>
                              </w:rPr>
                            </w:pPr>
                            <w:r w:rsidRPr="00721EF1">
                              <w:rPr>
                                <w:rFonts w:ascii="Calibri" w:hAnsi="Calibri"/>
                                <w:color w:val="FFFFFF"/>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8.8pt;margin-top:5.35pt;width:26.4pt;height:33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" filled="f" stroked="f" strokeweight=".5pt">
                <v:path arrowok="t"/>
                <v:textbox>
                  <w:txbxContent>
                    <w:p w:rsidR="009103E6" w:rsidRPr="00721EF1" w:rsidRDefault="009103E6" w:rsidP="00D86A11">
                      <w:pPr>
                        <w:rPr>
                          <w:rFonts w:ascii="Calibri" w:hAnsi="Calibri"/>
                          <w:color w:val="FFFFFF"/>
                          <w:sz w:val="40"/>
                          <w:szCs w:val="40"/>
                        </w:rPr>
                      </w:pPr>
                      <w:r w:rsidRPr="00721EF1">
                        <w:rPr>
                          <w:rFonts w:ascii="Calibri" w:hAnsi="Calibri"/>
                          <w:color w:val="FFFFFF"/>
                          <w:sz w:val="40"/>
                          <w:szCs w:val="40"/>
                        </w:rPr>
                        <w:t>1</w:t>
                      </w:r>
                    </w:p>
                  </w:txbxContent>
                </v:textbox>
                <w10:wrap anchorx="margin"/>
              </v:shape>
            </w:pict>
          </mc:Fallback>
        </mc:AlternateContent>
      </w:r>
      <w:r>
        <w:rPr>
          <w:rFonts w:ascii="Calibri" w:hAnsi="Calibri"/>
          <w:noProof/>
          <w:color w:val="FFFFFF"/>
        </w:rPr>
        <mc:AlternateContent>
          <mc:Choice Requires="wps">
            <w:drawing>
              <wp:anchor distT="0" distB="0" distL="114300" distR="114300" simplePos="0" relativeHeight="251640832" behindDoc="0" locked="0" layoutInCell="1" allowOverlap="1">
                <wp:simplePos x="0" y="0"/>
                <wp:positionH relativeFrom="margin">
                  <wp:posOffset>3055620</wp:posOffset>
                </wp:positionH>
                <wp:positionV relativeFrom="paragraph">
                  <wp:posOffset>709295</wp:posOffset>
                </wp:positionV>
                <wp:extent cx="335280" cy="419100"/>
                <wp:effectExtent l="0" t="0" r="0" b="0"/>
                <wp:wrapNone/>
                <wp:docPr id="2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Default="009103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40.6pt;margin-top:55.85pt;width:26.4pt;height:33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" filled="f" stroked="f" strokeweight=".5pt">
                <v:path arrowok="t"/>
                <v:textbox>
                  <w:txbxContent>
                    <w:p w:rsidR="009103E6" w:rsidRDefault="009103E6"/>
                  </w:txbxContent>
                </v:textbox>
                <w10:wrap anchorx="margin"/>
              </v:shape>
            </w:pict>
          </mc:Fallback>
        </mc:AlternateContent>
      </w:r>
      <w:r>
        <w:rPr>
          <w:rFonts w:ascii="Calibri" w:hAnsi="Calibri"/>
          <w:noProof/>
          <w:color w:val="FFFFFF"/>
        </w:rPr>
        <mc:AlternateContent>
          <mc:Choice Requires="wps">
            <w:drawing>
              <wp:anchor distT="0" distB="0" distL="114300" distR="114300" simplePos="0" relativeHeight="251626496" behindDoc="0" locked="0" layoutInCell="1" allowOverlap="1">
                <wp:simplePos x="0" y="0"/>
                <wp:positionH relativeFrom="column">
                  <wp:posOffset>838200</wp:posOffset>
                </wp:positionH>
                <wp:positionV relativeFrom="paragraph">
                  <wp:posOffset>155575</wp:posOffset>
                </wp:positionV>
                <wp:extent cx="1973580" cy="317500"/>
                <wp:effectExtent l="19050" t="19050" r="7620" b="44450"/>
                <wp:wrapNone/>
                <wp:docPr id="2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17500"/>
                        </a:xfrm>
                        <a:prstGeom prst="rect">
                          <a:avLst/>
                        </a:prstGeom>
                        <a:solidFill>
                          <a:srgbClr val="4F81BD"/>
                        </a:solidFill>
                        <a:ln w="38100">
                          <a:solidFill>
                            <a:srgbClr val="FFFFFF"/>
                          </a:solidFill>
                          <a:miter lim="800000"/>
                          <a:headEnd/>
                          <a:tailEnd/>
                        </a:ln>
                        <a:effectLst>
                          <a:outerShdw dist="20000" dir="5400000" rotWithShape="0">
                            <a:srgbClr val="808080">
                              <a:alpha val="37999"/>
                            </a:srgbClr>
                          </a:outerShdw>
                        </a:effectLst>
                      </wps:spPr>
                      <wps:txbx>
                        <w:txbxContent>
                          <w:p w:rsidR="009103E6" w:rsidRPr="00721EF1" w:rsidRDefault="009103E6" w:rsidP="00D86A11">
                            <w:pPr>
                              <w:shd w:val="clear" w:color="auto" w:fill="013161"/>
                              <w:jc w:val="center"/>
                              <w:rPr>
                                <w:rFonts w:ascii="Calibri" w:hAnsi="Calibri"/>
                                <w:color w:val="FFFFFF"/>
                                <w:sz w:val="24"/>
                              </w:rPr>
                            </w:pPr>
                            <w:r w:rsidRPr="00721EF1">
                              <w:rPr>
                                <w:rFonts w:ascii="Calibri" w:hAnsi="Calibri"/>
                                <w:color w:val="FFFFFF"/>
                                <w:sz w:val="24"/>
                              </w:rPr>
                              <w:t>Housing and Shelter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57" type="#_x0000_t202" style="position:absolute;margin-left:66pt;margin-top:12.25pt;width:155.4pt;height: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" fillcolor="#4f81bd" strokecolor="white" strokeweight="3pt">
                <v:shadow on="t" opacity="24903f" origin=",.5" offset="0,.55556mm"/>
                <v:textbox>
                  <w:txbxContent>
                    <w:p w:rsidR="009103E6" w:rsidRPr="00721EF1" w:rsidRDefault="009103E6" w:rsidP="00D86A11">
                      <w:pPr>
                        <w:shd w:val="clear" w:color="auto" w:fill="013161"/>
                        <w:jc w:val="center"/>
                        <w:rPr>
                          <w:rFonts w:ascii="Calibri" w:hAnsi="Calibri"/>
                          <w:color w:val="FFFFFF"/>
                          <w:sz w:val="24"/>
                        </w:rPr>
                      </w:pPr>
                      <w:r w:rsidRPr="00721EF1">
                        <w:rPr>
                          <w:rFonts w:ascii="Calibri" w:hAnsi="Calibri"/>
                          <w:color w:val="FFFFFF"/>
                          <w:sz w:val="24"/>
                        </w:rPr>
                        <w:t>Housing and Shelter</w:t>
                      </w:r>
                    </w:p>
                  </w:txbxContent>
                </v:textbox>
              </v:shape>
            </w:pict>
          </mc:Fallback>
        </mc:AlternateContent>
      </w:r>
      <w:r>
        <w:rPr>
          <w:rFonts w:ascii="Calibri" w:hAnsi="Calibri"/>
          <w:noProof/>
          <w:color w:val="FFFFFF"/>
        </w:rPr>
        <mc:AlternateContent>
          <mc:Choice Requires="wps">
            <w:drawing>
              <wp:anchor distT="0" distB="0" distL="114300" distR="114300" simplePos="0" relativeHeight="251628544" behindDoc="0" locked="0" layoutInCell="1" allowOverlap="1">
                <wp:simplePos x="0" y="0"/>
                <wp:positionH relativeFrom="margin">
                  <wp:posOffset>373380</wp:posOffset>
                </wp:positionH>
                <wp:positionV relativeFrom="paragraph">
                  <wp:posOffset>655955</wp:posOffset>
                </wp:positionV>
                <wp:extent cx="335280" cy="419100"/>
                <wp:effectExtent l="0" t="0" r="0" b="0"/>
                <wp:wrapNone/>
                <wp:docPr id="2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Default="009103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9.4pt;margin-top:51.65pt;width:26.4pt;height:33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" filled="f" stroked="f" strokeweight=".5pt">
                <v:path arrowok="t"/>
                <v:textbox>
                  <w:txbxContent>
                    <w:p w:rsidR="009103E6" w:rsidRDefault="009103E6"/>
                  </w:txbxContent>
                </v:textbox>
                <w10:wrap anchorx="margin"/>
              </v:shape>
            </w:pict>
          </mc:Fallback>
        </mc:AlternateContent>
      </w:r>
      <w:r>
        <w:rPr>
          <w:rFonts w:ascii="Calibri" w:hAnsi="Calibri"/>
          <w:noProof/>
          <w:color w:val="FFFFFF"/>
        </w:rPr>
        <mc:AlternateContent>
          <mc:Choice Requires="wps">
            <w:drawing>
              <wp:anchor distT="0" distB="0" distL="114300" distR="114300" simplePos="0" relativeHeight="251634688" behindDoc="0" locked="0" layoutInCell="1" allowOverlap="1">
                <wp:simplePos x="0" y="0"/>
                <wp:positionH relativeFrom="margin">
                  <wp:posOffset>358140</wp:posOffset>
                </wp:positionH>
                <wp:positionV relativeFrom="paragraph">
                  <wp:posOffset>1966595</wp:posOffset>
                </wp:positionV>
                <wp:extent cx="335280" cy="419100"/>
                <wp:effectExtent l="0" t="0" r="0" b="0"/>
                <wp:wrapNone/>
                <wp:docPr id="27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Default="009103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8.2pt;margin-top:154.85pt;width:26.4pt;height:33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" filled="f" stroked="f" strokeweight=".5pt">
                <v:path arrowok="t"/>
                <v:textbox>
                  <w:txbxContent>
                    <w:p w:rsidR="009103E6" w:rsidRDefault="009103E6"/>
                  </w:txbxContent>
                </v:textbox>
                <w10:wrap anchorx="margin"/>
              </v:shape>
            </w:pict>
          </mc:Fallback>
        </mc:AlternateContent>
      </w:r>
    </w:p>
    <w:p w:rsidR="004D0AD4" w:rsidRDefault="004D0AD4" w:rsidP="00D86A11">
      <w:pPr>
        <w:pStyle w:val="Heading2"/>
        <w:rPr>
          <w:rStyle w:val="Heading1Char"/>
          <w:b/>
          <w:color w:val="F6872B"/>
          <w:sz w:val="24"/>
        </w:rPr>
      </w:pPr>
    </w:p>
    <w:p w:rsidR="00D86A11" w:rsidRDefault="00763E81" w:rsidP="00176DFC">
      <w:pPr>
        <w:pStyle w:val="Heading2"/>
        <w:spacing w:beforeLines="200" w:before="480" w:afterLines="40" w:after="96" w:line="276" w:lineRule="auto"/>
        <w:rPr>
          <w:rStyle w:val="Heading1Char"/>
          <w:b/>
          <w:color w:val="F6872B"/>
          <w:sz w:val="24"/>
        </w:rPr>
      </w:pPr>
      <w:r>
        <w:rPr>
          <w:rFonts w:ascii="Calibri" w:hAnsi="Calibri"/>
          <w:noProof/>
          <w:color w:val="FFFFFF"/>
        </w:rPr>
        <mc:AlternateContent>
          <mc:Choice Requires="wps">
            <w:drawing>
              <wp:anchor distT="0" distB="0" distL="114300" distR="114300" simplePos="0" relativeHeight="251643904" behindDoc="0" locked="0" layoutInCell="1" allowOverlap="1">
                <wp:simplePos x="0" y="0"/>
                <wp:positionH relativeFrom="margin">
                  <wp:posOffset>3063240</wp:posOffset>
                </wp:positionH>
                <wp:positionV relativeFrom="paragraph">
                  <wp:posOffset>248920</wp:posOffset>
                </wp:positionV>
                <wp:extent cx="335280" cy="419100"/>
                <wp:effectExtent l="0" t="0" r="0" b="0"/>
                <wp:wrapNone/>
                <wp:docPr id="27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419100"/>
                        </a:xfrm>
                        <a:prstGeom prst="rect">
                          <a:avLst/>
                        </a:prstGeom>
                        <a:noFill/>
                        <a:ln w="6350">
                          <a:noFill/>
                        </a:ln>
                        <a:effectLst/>
                      </wps:spPr>
                      <wps:txbx>
                        <w:txbxContent>
                          <w:p w:rsidR="009103E6" w:rsidRDefault="009103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41.2pt;margin-top:19.6pt;width:26.4pt;height:3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" filled="f" stroked="f" strokeweight=".5pt">
                <v:path arrowok="t"/>
                <v:textbox>
                  <w:txbxContent>
                    <w:p w:rsidR="009103E6" w:rsidRDefault="009103E6"/>
                  </w:txbxContent>
                </v:textbox>
                <w10:wrap anchorx="margin"/>
              </v:shape>
            </w:pict>
          </mc:Fallback>
        </mc:AlternateContent>
      </w:r>
      <w:r w:rsidR="00D86A11">
        <w:rPr>
          <w:rStyle w:val="Heading1Char"/>
          <w:b/>
          <w:color w:val="F6872B"/>
          <w:sz w:val="24"/>
        </w:rPr>
        <w:t>Substance Abuse &amp; Mental Health Data</w:t>
      </w:r>
    </w:p>
    <w:tbl>
      <w:tblPr>
        <w:tblpPr w:leftFromText="180" w:rightFromText="180" w:vertAnchor="text" w:horzAnchor="margin" w:tblpXSpec="right" w:tblpY="4066"/>
        <w:tblW w:w="7398" w:type="dxa"/>
        <w:tblBorders>
          <w:top w:val="single" w:sz="18" w:space="0" w:color="F6872B"/>
          <w:bottom w:val="single" w:sz="18" w:space="0" w:color="F6872B"/>
          <w:insideV w:val="single" w:sz="18" w:space="0" w:color="F6872B"/>
        </w:tblBorders>
        <w:tblLayout w:type="fixed"/>
        <w:tblLook w:val="01E0" w:firstRow="1" w:lastRow="1" w:firstColumn="1" w:lastColumn="1" w:noHBand="0" w:noVBand="0"/>
      </w:tblPr>
      <w:tblGrid>
        <w:gridCol w:w="3618"/>
        <w:gridCol w:w="1170"/>
        <w:gridCol w:w="720"/>
        <w:gridCol w:w="1148"/>
        <w:gridCol w:w="742"/>
      </w:tblGrid>
      <w:tr w:rsidR="00FA4E22" w:rsidRPr="009A4D3F" w:rsidTr="00FA4E22">
        <w:trPr>
          <w:trHeight w:val="280"/>
        </w:trPr>
        <w:tc>
          <w:tcPr>
            <w:tcW w:w="7398" w:type="dxa"/>
            <w:gridSpan w:val="5"/>
            <w:shd w:val="clear" w:color="auto" w:fill="013161"/>
          </w:tcPr>
          <w:p w:rsidR="00FA4E22" w:rsidRPr="00CE4BCA" w:rsidRDefault="00FA4E22" w:rsidP="00FA4E22">
            <w:pPr>
              <w:spacing w:after="0" w:line="240" w:lineRule="auto"/>
              <w:jc w:val="center"/>
              <w:rPr>
                <w:rFonts w:ascii="Calibri" w:eastAsia="Calibri" w:hAnsi="Calibri" w:cs="Arial"/>
                <w:b/>
                <w:color w:val="auto"/>
                <w:szCs w:val="22"/>
              </w:rPr>
            </w:pPr>
            <w:r w:rsidRPr="00CE4BCA">
              <w:rPr>
                <w:rFonts w:ascii="Calibri" w:eastAsia="Calibri" w:hAnsi="Calibri" w:cs="Arial"/>
                <w:b/>
                <w:color w:val="auto"/>
                <w:szCs w:val="22"/>
              </w:rPr>
              <w:t>Exhibit 16. S</w:t>
            </w:r>
            <w:r>
              <w:rPr>
                <w:rFonts w:ascii="Calibri" w:eastAsia="Calibri" w:hAnsi="Calibri" w:cs="Arial"/>
                <w:b/>
                <w:color w:val="auto"/>
                <w:szCs w:val="22"/>
              </w:rPr>
              <w:t>ubstance Abuse and Mental Health</w:t>
            </w:r>
            <w:r w:rsidRPr="008314D7">
              <w:rPr>
                <w:rFonts w:ascii="Calibri" w:eastAsia="Calibri" w:hAnsi="Calibri" w:cs="Arial"/>
                <w:b/>
                <w:bCs/>
                <w:color w:val="FFFFFF"/>
                <w:sz w:val="24"/>
                <w:szCs w:val="22"/>
              </w:rPr>
              <w:t xml:space="preserve"> </w:t>
            </w:r>
            <w:r w:rsidRPr="008314D7">
              <w:rPr>
                <w:rFonts w:ascii="Calibri" w:eastAsia="Calibri" w:hAnsi="Calibri" w:cs="Arial"/>
                <w:b/>
                <w:bCs/>
                <w:color w:val="FFFFFF"/>
                <w:sz w:val="24"/>
                <w:szCs w:val="22"/>
                <w:vertAlign w:val="superscript"/>
              </w:rPr>
              <w:endnoteReference w:id="23"/>
            </w:r>
          </w:p>
        </w:tc>
      </w:tr>
      <w:tr w:rsidR="00FA4E22" w:rsidRPr="009A4D3F" w:rsidTr="00FA4E22">
        <w:trPr>
          <w:trHeight w:val="280"/>
        </w:trPr>
        <w:tc>
          <w:tcPr>
            <w:tcW w:w="3618" w:type="dxa"/>
            <w:tcBorders>
              <w:right w:val="nil"/>
            </w:tcBorders>
            <w:shd w:val="clear" w:color="auto" w:fill="013161"/>
          </w:tcPr>
          <w:p w:rsidR="00FA4E22" w:rsidRPr="009A4D3F" w:rsidRDefault="00FA4E22" w:rsidP="00FA4E22">
            <w:pPr>
              <w:spacing w:after="0" w:line="240" w:lineRule="auto"/>
              <w:jc w:val="center"/>
              <w:rPr>
                <w:rFonts w:ascii="Calibri" w:eastAsia="Calibri" w:hAnsi="Calibri" w:cs="Arial"/>
                <w:b/>
                <w:bCs/>
                <w:color w:val="auto"/>
                <w:szCs w:val="22"/>
              </w:rPr>
            </w:pPr>
          </w:p>
        </w:tc>
        <w:tc>
          <w:tcPr>
            <w:tcW w:w="1890" w:type="dxa"/>
            <w:gridSpan w:val="2"/>
            <w:tcBorders>
              <w:top w:val="nil"/>
              <w:left w:val="nil"/>
              <w:bottom w:val="nil"/>
              <w:right w:val="nil"/>
            </w:tcBorders>
            <w:shd w:val="clear" w:color="auto" w:fill="013161"/>
          </w:tcPr>
          <w:p w:rsidR="00FA4E22" w:rsidRPr="009A4D3F" w:rsidRDefault="00FA4E22" w:rsidP="00FA4E22">
            <w:pPr>
              <w:spacing w:after="0" w:line="240" w:lineRule="auto"/>
              <w:jc w:val="center"/>
              <w:rPr>
                <w:rFonts w:ascii="Calibri" w:eastAsia="Calibri" w:hAnsi="Calibri" w:cs="Arial"/>
                <w:b/>
                <w:color w:val="auto"/>
                <w:szCs w:val="22"/>
              </w:rPr>
            </w:pPr>
            <w:r>
              <w:rPr>
                <w:rFonts w:ascii="Calibri" w:eastAsia="Calibri" w:hAnsi="Calibri" w:cs="Arial"/>
                <w:b/>
                <w:color w:val="auto"/>
                <w:szCs w:val="22"/>
              </w:rPr>
              <w:t>2012</w:t>
            </w:r>
          </w:p>
        </w:tc>
        <w:tc>
          <w:tcPr>
            <w:tcW w:w="1890" w:type="dxa"/>
            <w:gridSpan w:val="2"/>
            <w:tcBorders>
              <w:top w:val="nil"/>
              <w:left w:val="nil"/>
              <w:bottom w:val="nil"/>
            </w:tcBorders>
            <w:shd w:val="clear" w:color="auto" w:fill="013161"/>
          </w:tcPr>
          <w:p w:rsidR="00FA4E22" w:rsidRPr="009A4D3F" w:rsidRDefault="00FA4E22" w:rsidP="00FA4E22">
            <w:pPr>
              <w:spacing w:after="0" w:line="240" w:lineRule="auto"/>
              <w:jc w:val="center"/>
              <w:rPr>
                <w:rFonts w:ascii="Calibri" w:eastAsia="Calibri" w:hAnsi="Calibri" w:cs="Arial"/>
                <w:b/>
                <w:bCs/>
                <w:color w:val="auto"/>
                <w:szCs w:val="22"/>
              </w:rPr>
            </w:pPr>
            <w:r>
              <w:rPr>
                <w:rFonts w:ascii="Calibri" w:eastAsia="Calibri" w:hAnsi="Calibri" w:cs="Arial"/>
                <w:b/>
                <w:bCs/>
                <w:color w:val="auto"/>
                <w:szCs w:val="22"/>
              </w:rPr>
              <w:t>2014</w:t>
            </w:r>
          </w:p>
        </w:tc>
      </w:tr>
      <w:tr w:rsidR="00FA4E22" w:rsidRPr="009A4D3F" w:rsidTr="00FA4E22">
        <w:trPr>
          <w:trHeight w:val="280"/>
        </w:trPr>
        <w:tc>
          <w:tcPr>
            <w:tcW w:w="3618" w:type="dxa"/>
            <w:tcBorders>
              <w:right w:val="nil"/>
            </w:tcBorders>
            <w:shd w:val="clear" w:color="auto" w:fill="013161"/>
          </w:tcPr>
          <w:p w:rsidR="00FA4E22" w:rsidRPr="009A4D3F" w:rsidRDefault="00FA4E22" w:rsidP="00FA4E22">
            <w:pPr>
              <w:spacing w:after="0" w:line="240" w:lineRule="auto"/>
              <w:jc w:val="center"/>
              <w:rPr>
                <w:rFonts w:ascii="Calibri" w:eastAsia="Calibri" w:hAnsi="Calibri" w:cs="Arial"/>
                <w:b/>
                <w:bCs/>
                <w:color w:val="FFFFFF"/>
                <w:szCs w:val="22"/>
              </w:rPr>
            </w:pPr>
          </w:p>
        </w:tc>
        <w:tc>
          <w:tcPr>
            <w:tcW w:w="1170" w:type="dxa"/>
            <w:tcBorders>
              <w:top w:val="nil"/>
              <w:left w:val="nil"/>
              <w:bottom w:val="nil"/>
              <w:right w:val="nil"/>
            </w:tcBorders>
            <w:shd w:val="clear" w:color="auto" w:fill="013161"/>
          </w:tcPr>
          <w:p w:rsidR="00FA4E22" w:rsidRPr="009A4D3F" w:rsidRDefault="00FA4E22" w:rsidP="00FA4E22">
            <w:pPr>
              <w:spacing w:after="0" w:line="240" w:lineRule="auto"/>
              <w:jc w:val="center"/>
              <w:rPr>
                <w:rFonts w:ascii="Calibri" w:eastAsia="Calibri" w:hAnsi="Calibri" w:cs="Arial"/>
                <w:b/>
                <w:color w:val="FFFFFF"/>
                <w:szCs w:val="22"/>
              </w:rPr>
            </w:pPr>
            <w:r>
              <w:rPr>
                <w:rFonts w:ascii="Calibri" w:eastAsia="Calibri" w:hAnsi="Calibri" w:cs="Arial"/>
                <w:b/>
                <w:color w:val="FFFFFF"/>
                <w:szCs w:val="22"/>
              </w:rPr>
              <w:t>San Diego</w:t>
            </w:r>
          </w:p>
        </w:tc>
        <w:tc>
          <w:tcPr>
            <w:tcW w:w="720" w:type="dxa"/>
            <w:tcBorders>
              <w:top w:val="nil"/>
              <w:left w:val="nil"/>
              <w:bottom w:val="nil"/>
              <w:right w:val="nil"/>
            </w:tcBorders>
            <w:shd w:val="clear" w:color="auto" w:fill="013161"/>
          </w:tcPr>
          <w:p w:rsidR="00FA4E22" w:rsidRPr="009A4D3F" w:rsidRDefault="00FA4E22" w:rsidP="00FA4E22">
            <w:pPr>
              <w:spacing w:after="0" w:line="240" w:lineRule="auto"/>
              <w:jc w:val="center"/>
              <w:rPr>
                <w:rFonts w:ascii="Calibri" w:eastAsia="Calibri" w:hAnsi="Calibri" w:cs="Arial"/>
                <w:b/>
                <w:color w:val="FFFFFF"/>
                <w:szCs w:val="22"/>
              </w:rPr>
            </w:pPr>
            <w:r>
              <w:rPr>
                <w:rFonts w:ascii="Calibri" w:eastAsia="Calibri" w:hAnsi="Calibri" w:cs="Arial"/>
                <w:b/>
                <w:color w:val="FFFFFF"/>
                <w:szCs w:val="22"/>
              </w:rPr>
              <w:t>CA</w:t>
            </w:r>
          </w:p>
        </w:tc>
        <w:tc>
          <w:tcPr>
            <w:tcW w:w="1148" w:type="dxa"/>
            <w:tcBorders>
              <w:top w:val="nil"/>
              <w:left w:val="nil"/>
              <w:bottom w:val="nil"/>
              <w:right w:val="nil"/>
            </w:tcBorders>
            <w:shd w:val="clear" w:color="auto" w:fill="013161"/>
          </w:tcPr>
          <w:p w:rsidR="00FA4E22" w:rsidRPr="009A4D3F" w:rsidRDefault="00FA4E22" w:rsidP="00FA4E22">
            <w:pPr>
              <w:spacing w:after="0" w:line="240" w:lineRule="auto"/>
              <w:jc w:val="center"/>
              <w:rPr>
                <w:rFonts w:ascii="Calibri" w:eastAsia="Calibri" w:hAnsi="Calibri" w:cs="Arial"/>
                <w:b/>
                <w:color w:val="FFFFFF"/>
                <w:szCs w:val="22"/>
              </w:rPr>
            </w:pPr>
            <w:r>
              <w:rPr>
                <w:rFonts w:ascii="Calibri" w:eastAsia="Calibri" w:hAnsi="Calibri" w:cs="Arial"/>
                <w:b/>
                <w:color w:val="FFFFFF"/>
                <w:szCs w:val="22"/>
              </w:rPr>
              <w:t>San Diego</w:t>
            </w:r>
          </w:p>
        </w:tc>
        <w:tc>
          <w:tcPr>
            <w:tcW w:w="742" w:type="dxa"/>
            <w:tcBorders>
              <w:left w:val="nil"/>
            </w:tcBorders>
            <w:shd w:val="clear" w:color="auto" w:fill="013161"/>
          </w:tcPr>
          <w:p w:rsidR="00FA4E22" w:rsidRPr="009A4D3F" w:rsidRDefault="00FA4E22" w:rsidP="00FA4E22">
            <w:pPr>
              <w:spacing w:after="0" w:line="240" w:lineRule="auto"/>
              <w:jc w:val="center"/>
              <w:rPr>
                <w:rFonts w:ascii="Calibri" w:eastAsia="Calibri" w:hAnsi="Calibri" w:cs="Arial"/>
                <w:b/>
                <w:bCs/>
                <w:color w:val="FFFFFF"/>
                <w:szCs w:val="22"/>
              </w:rPr>
            </w:pPr>
            <w:r>
              <w:rPr>
                <w:rFonts w:ascii="Calibri" w:eastAsia="Calibri" w:hAnsi="Calibri" w:cs="Arial"/>
                <w:b/>
                <w:bCs/>
                <w:color w:val="FFFFFF"/>
                <w:szCs w:val="22"/>
              </w:rPr>
              <w:t>CA</w:t>
            </w:r>
          </w:p>
        </w:tc>
      </w:tr>
      <w:tr w:rsidR="00FA4E22" w:rsidRPr="009A4D3F" w:rsidTr="00FA4E22">
        <w:trPr>
          <w:trHeight w:val="187"/>
        </w:trPr>
        <w:tc>
          <w:tcPr>
            <w:tcW w:w="3618" w:type="dxa"/>
            <w:tcBorders>
              <w:right w:val="nil"/>
            </w:tcBorders>
            <w:shd w:val="clear" w:color="auto" w:fill="DBE5F1"/>
          </w:tcPr>
          <w:p w:rsidR="00FA4E22" w:rsidRPr="009A4D3F" w:rsidRDefault="00FA4E22" w:rsidP="00FA4E22">
            <w:pPr>
              <w:autoSpaceDE w:val="0"/>
              <w:autoSpaceDN w:val="0"/>
              <w:adjustRightInd w:val="0"/>
              <w:spacing w:after="0" w:line="240" w:lineRule="auto"/>
              <w:rPr>
                <w:rFonts w:ascii="Calibri" w:eastAsia="Calibri" w:hAnsi="Calibri" w:cs="Arial"/>
                <w:b/>
                <w:bCs/>
                <w:color w:val="013161"/>
                <w:sz w:val="20"/>
              </w:rPr>
            </w:pPr>
            <w:r w:rsidRPr="00C537C4">
              <w:rPr>
                <w:rFonts w:ascii="Calibri" w:eastAsia="Calibri" w:hAnsi="Calibri" w:cs="Arial"/>
                <w:b/>
                <w:bCs/>
                <w:color w:val="013161"/>
                <w:sz w:val="20"/>
              </w:rPr>
              <w:t>Poor mental health days in past 30 days</w:t>
            </w:r>
          </w:p>
        </w:tc>
        <w:tc>
          <w:tcPr>
            <w:tcW w:w="1170" w:type="dxa"/>
            <w:tcBorders>
              <w:top w:val="nil"/>
              <w:left w:val="nil"/>
              <w:bottom w:val="nil"/>
              <w:right w:val="nil"/>
            </w:tcBorders>
            <w:shd w:val="clear" w:color="auto" w:fill="DBE5F1"/>
          </w:tcPr>
          <w:p w:rsidR="00FA4E22" w:rsidRPr="009A4D3F" w:rsidRDefault="00FA4E22" w:rsidP="00FA4E22">
            <w:pPr>
              <w:autoSpaceDE w:val="0"/>
              <w:autoSpaceDN w:val="0"/>
              <w:adjustRightInd w:val="0"/>
              <w:spacing w:after="0" w:line="240" w:lineRule="auto"/>
              <w:jc w:val="center"/>
              <w:rPr>
                <w:rFonts w:ascii="Calibri" w:eastAsia="Calibri" w:hAnsi="Calibri" w:cs="Arial"/>
                <w:b/>
                <w:color w:val="013161"/>
                <w:sz w:val="20"/>
              </w:rPr>
            </w:pPr>
            <w:r>
              <w:rPr>
                <w:rFonts w:ascii="Calibri" w:eastAsia="Calibri" w:hAnsi="Calibri" w:cs="Arial"/>
                <w:b/>
                <w:color w:val="013161"/>
                <w:sz w:val="20"/>
              </w:rPr>
              <w:t>n/a</w:t>
            </w:r>
          </w:p>
        </w:tc>
        <w:tc>
          <w:tcPr>
            <w:tcW w:w="720" w:type="dxa"/>
            <w:tcBorders>
              <w:top w:val="nil"/>
              <w:left w:val="nil"/>
              <w:bottom w:val="nil"/>
              <w:right w:val="nil"/>
            </w:tcBorders>
            <w:shd w:val="clear" w:color="auto" w:fill="DBE5F1"/>
          </w:tcPr>
          <w:p w:rsidR="00FA4E22" w:rsidRPr="009A4D3F" w:rsidRDefault="00FA4E22" w:rsidP="00FA4E22">
            <w:pPr>
              <w:autoSpaceDE w:val="0"/>
              <w:autoSpaceDN w:val="0"/>
              <w:adjustRightInd w:val="0"/>
              <w:spacing w:after="0" w:line="240" w:lineRule="auto"/>
              <w:jc w:val="center"/>
              <w:rPr>
                <w:rFonts w:ascii="Calibri" w:eastAsia="Calibri" w:hAnsi="Calibri" w:cs="Arial"/>
                <w:b/>
                <w:color w:val="013161"/>
                <w:sz w:val="20"/>
              </w:rPr>
            </w:pPr>
            <w:r>
              <w:rPr>
                <w:rFonts w:ascii="Calibri" w:eastAsia="Calibri" w:hAnsi="Calibri" w:cs="Arial"/>
                <w:b/>
                <w:color w:val="013161"/>
                <w:sz w:val="20"/>
              </w:rPr>
              <w:t>n/a</w:t>
            </w:r>
          </w:p>
        </w:tc>
        <w:tc>
          <w:tcPr>
            <w:tcW w:w="1148" w:type="dxa"/>
            <w:tcBorders>
              <w:top w:val="nil"/>
              <w:left w:val="nil"/>
              <w:bottom w:val="nil"/>
              <w:right w:val="nil"/>
            </w:tcBorders>
            <w:shd w:val="clear" w:color="auto" w:fill="DBE5F1"/>
          </w:tcPr>
          <w:p w:rsidR="00FA4E22" w:rsidRPr="009A4D3F" w:rsidRDefault="00FA4E22" w:rsidP="00FA4E22">
            <w:pPr>
              <w:autoSpaceDE w:val="0"/>
              <w:autoSpaceDN w:val="0"/>
              <w:adjustRightInd w:val="0"/>
              <w:spacing w:after="0" w:line="240" w:lineRule="auto"/>
              <w:jc w:val="center"/>
              <w:rPr>
                <w:rFonts w:ascii="Calibri" w:eastAsia="Calibri" w:hAnsi="Calibri" w:cs="Arial"/>
                <w:b/>
                <w:color w:val="013161"/>
                <w:sz w:val="20"/>
              </w:rPr>
            </w:pPr>
            <w:r>
              <w:rPr>
                <w:rFonts w:ascii="Calibri" w:eastAsia="Calibri" w:hAnsi="Calibri" w:cs="Arial"/>
                <w:b/>
                <w:color w:val="013161"/>
                <w:sz w:val="20"/>
              </w:rPr>
              <w:t>3.6</w:t>
            </w:r>
          </w:p>
        </w:tc>
        <w:tc>
          <w:tcPr>
            <w:tcW w:w="742" w:type="dxa"/>
            <w:tcBorders>
              <w:left w:val="nil"/>
            </w:tcBorders>
            <w:shd w:val="clear" w:color="auto" w:fill="DBE5F1"/>
          </w:tcPr>
          <w:p w:rsidR="00FA4E22" w:rsidRPr="009A4D3F" w:rsidRDefault="00FA4E22" w:rsidP="00FA4E22">
            <w:pPr>
              <w:autoSpaceDE w:val="0"/>
              <w:autoSpaceDN w:val="0"/>
              <w:adjustRightInd w:val="0"/>
              <w:spacing w:after="0" w:line="240" w:lineRule="auto"/>
              <w:jc w:val="center"/>
              <w:rPr>
                <w:rFonts w:ascii="Calibri" w:eastAsia="Calibri" w:hAnsi="Calibri" w:cs="Arial"/>
                <w:b/>
                <w:bCs/>
                <w:color w:val="013161"/>
                <w:sz w:val="20"/>
              </w:rPr>
            </w:pPr>
            <w:r>
              <w:rPr>
                <w:rFonts w:ascii="Calibri" w:eastAsia="Calibri" w:hAnsi="Calibri" w:cs="Arial"/>
                <w:b/>
                <w:bCs/>
                <w:color w:val="013161"/>
                <w:sz w:val="20"/>
              </w:rPr>
              <w:t>3.6</w:t>
            </w:r>
          </w:p>
        </w:tc>
      </w:tr>
      <w:tr w:rsidR="00FA4E22" w:rsidRPr="009A4D3F" w:rsidTr="00FA4E22">
        <w:trPr>
          <w:trHeight w:val="267"/>
        </w:trPr>
        <w:tc>
          <w:tcPr>
            <w:tcW w:w="3618" w:type="dxa"/>
            <w:tcBorders>
              <w:right w:val="nil"/>
            </w:tcBorders>
            <w:shd w:val="clear" w:color="auto" w:fill="auto"/>
          </w:tcPr>
          <w:p w:rsidR="00FA4E22" w:rsidRPr="009A4D3F" w:rsidRDefault="00FA4E22" w:rsidP="00FA4E22">
            <w:pPr>
              <w:autoSpaceDE w:val="0"/>
              <w:autoSpaceDN w:val="0"/>
              <w:adjustRightInd w:val="0"/>
              <w:spacing w:after="0" w:line="240" w:lineRule="auto"/>
              <w:rPr>
                <w:rFonts w:ascii="Calibri" w:eastAsia="Calibri" w:hAnsi="Calibri" w:cs="Arial"/>
                <w:b/>
                <w:bCs/>
                <w:color w:val="013161"/>
                <w:sz w:val="20"/>
              </w:rPr>
            </w:pPr>
            <w:r w:rsidRPr="00C537C4">
              <w:rPr>
                <w:rFonts w:ascii="Calibri" w:eastAsia="Calibri" w:hAnsi="Calibri" w:cs="Arial"/>
                <w:b/>
                <w:bCs/>
                <w:color w:val="013161"/>
                <w:sz w:val="20"/>
              </w:rPr>
              <w:t>Excessive drinking in past 30 days</w:t>
            </w:r>
          </w:p>
        </w:tc>
        <w:tc>
          <w:tcPr>
            <w:tcW w:w="1170" w:type="dxa"/>
            <w:tcBorders>
              <w:top w:val="nil"/>
              <w:left w:val="nil"/>
              <w:bottom w:val="nil"/>
              <w:right w:val="nil"/>
            </w:tcBorders>
            <w:shd w:val="clear" w:color="auto" w:fill="auto"/>
          </w:tcPr>
          <w:p w:rsidR="00FA4E22" w:rsidRPr="009A4D3F" w:rsidRDefault="00FA4E22" w:rsidP="00FA4E22">
            <w:pPr>
              <w:autoSpaceDE w:val="0"/>
              <w:autoSpaceDN w:val="0"/>
              <w:adjustRightInd w:val="0"/>
              <w:spacing w:after="0" w:line="240" w:lineRule="auto"/>
              <w:jc w:val="center"/>
              <w:rPr>
                <w:rFonts w:ascii="Calibri" w:eastAsia="Calibri" w:hAnsi="Calibri" w:cs="Arial"/>
                <w:b/>
                <w:color w:val="013161"/>
                <w:sz w:val="20"/>
              </w:rPr>
            </w:pPr>
            <w:r>
              <w:rPr>
                <w:rFonts w:ascii="Calibri" w:eastAsia="Calibri" w:hAnsi="Calibri" w:cs="Arial"/>
                <w:b/>
                <w:color w:val="013161"/>
                <w:sz w:val="20"/>
              </w:rPr>
              <w:t>n/a</w:t>
            </w:r>
          </w:p>
        </w:tc>
        <w:tc>
          <w:tcPr>
            <w:tcW w:w="720" w:type="dxa"/>
            <w:tcBorders>
              <w:top w:val="nil"/>
              <w:left w:val="nil"/>
              <w:bottom w:val="nil"/>
              <w:right w:val="nil"/>
            </w:tcBorders>
            <w:shd w:val="clear" w:color="auto" w:fill="auto"/>
          </w:tcPr>
          <w:p w:rsidR="00FA4E22" w:rsidRPr="009A4D3F" w:rsidRDefault="00FA4E22" w:rsidP="00FA4E22">
            <w:pPr>
              <w:autoSpaceDE w:val="0"/>
              <w:autoSpaceDN w:val="0"/>
              <w:adjustRightInd w:val="0"/>
              <w:spacing w:after="0" w:line="240" w:lineRule="auto"/>
              <w:jc w:val="center"/>
              <w:rPr>
                <w:rFonts w:ascii="Calibri" w:eastAsia="Calibri" w:hAnsi="Calibri" w:cs="Arial"/>
                <w:b/>
                <w:color w:val="013161"/>
                <w:sz w:val="20"/>
              </w:rPr>
            </w:pPr>
            <w:r>
              <w:rPr>
                <w:rFonts w:ascii="Calibri" w:eastAsia="Calibri" w:hAnsi="Calibri" w:cs="Arial"/>
                <w:b/>
                <w:color w:val="013161"/>
                <w:sz w:val="20"/>
              </w:rPr>
              <w:t>n/a</w:t>
            </w:r>
          </w:p>
        </w:tc>
        <w:tc>
          <w:tcPr>
            <w:tcW w:w="1148" w:type="dxa"/>
            <w:tcBorders>
              <w:top w:val="nil"/>
              <w:left w:val="nil"/>
              <w:bottom w:val="nil"/>
              <w:right w:val="nil"/>
            </w:tcBorders>
            <w:shd w:val="clear" w:color="auto" w:fill="auto"/>
          </w:tcPr>
          <w:p w:rsidR="00FA4E22" w:rsidRPr="009A4D3F" w:rsidRDefault="00FA4E22" w:rsidP="00FA4E22">
            <w:pPr>
              <w:autoSpaceDE w:val="0"/>
              <w:autoSpaceDN w:val="0"/>
              <w:adjustRightInd w:val="0"/>
              <w:spacing w:after="0" w:line="240" w:lineRule="auto"/>
              <w:jc w:val="center"/>
              <w:rPr>
                <w:rFonts w:ascii="Calibri" w:eastAsia="Calibri" w:hAnsi="Calibri" w:cs="Arial"/>
                <w:b/>
                <w:color w:val="013161"/>
                <w:sz w:val="20"/>
              </w:rPr>
            </w:pPr>
            <w:r>
              <w:rPr>
                <w:rFonts w:ascii="Calibri" w:eastAsia="Calibri" w:hAnsi="Calibri" w:cs="Arial"/>
                <w:b/>
                <w:color w:val="013161"/>
                <w:sz w:val="20"/>
              </w:rPr>
              <w:t>20%</w:t>
            </w:r>
          </w:p>
        </w:tc>
        <w:tc>
          <w:tcPr>
            <w:tcW w:w="742" w:type="dxa"/>
            <w:tcBorders>
              <w:left w:val="nil"/>
            </w:tcBorders>
            <w:shd w:val="clear" w:color="auto" w:fill="auto"/>
          </w:tcPr>
          <w:p w:rsidR="00FA4E22" w:rsidRPr="009A4D3F" w:rsidRDefault="00FA4E22" w:rsidP="00FA4E22">
            <w:pPr>
              <w:autoSpaceDE w:val="0"/>
              <w:autoSpaceDN w:val="0"/>
              <w:adjustRightInd w:val="0"/>
              <w:spacing w:after="0" w:line="240" w:lineRule="auto"/>
              <w:jc w:val="center"/>
              <w:rPr>
                <w:rFonts w:ascii="Calibri" w:eastAsia="Calibri" w:hAnsi="Calibri" w:cs="Arial"/>
                <w:b/>
                <w:bCs/>
                <w:color w:val="013161"/>
                <w:sz w:val="20"/>
              </w:rPr>
            </w:pPr>
            <w:r>
              <w:rPr>
                <w:rFonts w:ascii="Calibri" w:eastAsia="Calibri" w:hAnsi="Calibri" w:cs="Arial"/>
                <w:b/>
                <w:bCs/>
                <w:color w:val="013161"/>
                <w:sz w:val="20"/>
              </w:rPr>
              <w:t>17%</w:t>
            </w:r>
          </w:p>
        </w:tc>
      </w:tr>
      <w:tr w:rsidR="00FA4E22" w:rsidRPr="009A4D3F" w:rsidTr="00FA4E22">
        <w:trPr>
          <w:trHeight w:val="254"/>
        </w:trPr>
        <w:tc>
          <w:tcPr>
            <w:tcW w:w="3618" w:type="dxa"/>
            <w:tcBorders>
              <w:right w:val="nil"/>
            </w:tcBorders>
            <w:shd w:val="clear" w:color="auto" w:fill="DBE5F1"/>
          </w:tcPr>
          <w:p w:rsidR="00FA4E22" w:rsidRPr="009A4D3F" w:rsidRDefault="00FA4E22" w:rsidP="00FA4E22">
            <w:pPr>
              <w:autoSpaceDE w:val="0"/>
              <w:autoSpaceDN w:val="0"/>
              <w:adjustRightInd w:val="0"/>
              <w:spacing w:after="0" w:line="240" w:lineRule="auto"/>
              <w:rPr>
                <w:rFonts w:ascii="Calibri" w:eastAsia="Calibri" w:hAnsi="Calibri" w:cs="Arial"/>
                <w:b/>
                <w:bCs/>
                <w:color w:val="013161"/>
                <w:sz w:val="20"/>
              </w:rPr>
            </w:pPr>
            <w:r w:rsidRPr="00C64ACA">
              <w:rPr>
                <w:rFonts w:ascii="Calibri" w:eastAsia="Calibri" w:hAnsi="Calibri" w:cs="Arial"/>
                <w:b/>
                <w:bCs/>
                <w:color w:val="013161"/>
                <w:sz w:val="20"/>
              </w:rPr>
              <w:t>Driving deaths with alcohol involvement</w:t>
            </w:r>
          </w:p>
        </w:tc>
        <w:tc>
          <w:tcPr>
            <w:tcW w:w="1170" w:type="dxa"/>
            <w:tcBorders>
              <w:top w:val="nil"/>
              <w:left w:val="nil"/>
              <w:bottom w:val="nil"/>
              <w:right w:val="nil"/>
            </w:tcBorders>
            <w:shd w:val="clear" w:color="auto" w:fill="DBE5F1"/>
          </w:tcPr>
          <w:p w:rsidR="00FA4E22" w:rsidRPr="009A4D3F" w:rsidRDefault="00FA4E22" w:rsidP="00FA4E22">
            <w:pPr>
              <w:autoSpaceDE w:val="0"/>
              <w:autoSpaceDN w:val="0"/>
              <w:adjustRightInd w:val="0"/>
              <w:spacing w:after="0" w:line="240" w:lineRule="auto"/>
              <w:jc w:val="center"/>
              <w:rPr>
                <w:rFonts w:ascii="Calibri" w:eastAsia="Calibri" w:hAnsi="Calibri" w:cs="Arial"/>
                <w:b/>
                <w:color w:val="013161"/>
                <w:sz w:val="20"/>
              </w:rPr>
            </w:pPr>
            <w:r>
              <w:rPr>
                <w:rFonts w:ascii="Calibri" w:eastAsia="Calibri" w:hAnsi="Calibri" w:cs="Arial"/>
                <w:b/>
                <w:color w:val="013161"/>
                <w:sz w:val="20"/>
              </w:rPr>
              <w:t>33%</w:t>
            </w:r>
          </w:p>
        </w:tc>
        <w:tc>
          <w:tcPr>
            <w:tcW w:w="720" w:type="dxa"/>
            <w:tcBorders>
              <w:top w:val="nil"/>
              <w:left w:val="nil"/>
              <w:bottom w:val="nil"/>
              <w:right w:val="nil"/>
            </w:tcBorders>
            <w:shd w:val="clear" w:color="auto" w:fill="DBE5F1"/>
          </w:tcPr>
          <w:p w:rsidR="00FA4E22" w:rsidRPr="009A4D3F" w:rsidRDefault="00FA4E22" w:rsidP="00FA4E22">
            <w:pPr>
              <w:autoSpaceDE w:val="0"/>
              <w:autoSpaceDN w:val="0"/>
              <w:adjustRightInd w:val="0"/>
              <w:spacing w:after="0" w:line="240" w:lineRule="auto"/>
              <w:jc w:val="center"/>
              <w:rPr>
                <w:rFonts w:ascii="Calibri" w:eastAsia="Calibri" w:hAnsi="Calibri" w:cs="Arial"/>
                <w:b/>
                <w:color w:val="013161"/>
                <w:sz w:val="20"/>
              </w:rPr>
            </w:pPr>
            <w:r>
              <w:rPr>
                <w:rFonts w:ascii="Calibri" w:eastAsia="Calibri" w:hAnsi="Calibri" w:cs="Arial"/>
                <w:b/>
                <w:color w:val="013161"/>
                <w:sz w:val="20"/>
              </w:rPr>
              <w:t>32%</w:t>
            </w:r>
          </w:p>
        </w:tc>
        <w:tc>
          <w:tcPr>
            <w:tcW w:w="1148" w:type="dxa"/>
            <w:tcBorders>
              <w:top w:val="nil"/>
              <w:left w:val="nil"/>
              <w:bottom w:val="nil"/>
              <w:right w:val="nil"/>
            </w:tcBorders>
            <w:shd w:val="clear" w:color="auto" w:fill="DBE5F1"/>
          </w:tcPr>
          <w:p w:rsidR="00FA4E22" w:rsidRPr="009A4D3F" w:rsidRDefault="00FA4E22" w:rsidP="00FA4E22">
            <w:pPr>
              <w:autoSpaceDE w:val="0"/>
              <w:autoSpaceDN w:val="0"/>
              <w:adjustRightInd w:val="0"/>
              <w:spacing w:after="0" w:line="240" w:lineRule="auto"/>
              <w:jc w:val="center"/>
              <w:rPr>
                <w:rFonts w:ascii="Calibri" w:eastAsia="Calibri" w:hAnsi="Calibri" w:cs="Arial"/>
                <w:b/>
                <w:color w:val="013161"/>
                <w:sz w:val="20"/>
              </w:rPr>
            </w:pPr>
            <w:r>
              <w:rPr>
                <w:rFonts w:ascii="Calibri" w:eastAsia="Calibri" w:hAnsi="Calibri" w:cs="Arial"/>
                <w:b/>
                <w:color w:val="013161"/>
                <w:sz w:val="20"/>
              </w:rPr>
              <w:t>29%</w:t>
            </w:r>
          </w:p>
        </w:tc>
        <w:tc>
          <w:tcPr>
            <w:tcW w:w="742" w:type="dxa"/>
            <w:tcBorders>
              <w:left w:val="nil"/>
            </w:tcBorders>
            <w:shd w:val="clear" w:color="auto" w:fill="DBE5F1"/>
          </w:tcPr>
          <w:p w:rsidR="00FA4E22" w:rsidRPr="009A4D3F" w:rsidRDefault="00FA4E22" w:rsidP="00FA4E22">
            <w:pPr>
              <w:autoSpaceDE w:val="0"/>
              <w:autoSpaceDN w:val="0"/>
              <w:adjustRightInd w:val="0"/>
              <w:spacing w:after="0" w:line="240" w:lineRule="auto"/>
              <w:jc w:val="center"/>
              <w:rPr>
                <w:rFonts w:ascii="Calibri" w:eastAsia="Calibri" w:hAnsi="Calibri" w:cs="Arial"/>
                <w:b/>
                <w:bCs/>
                <w:color w:val="013161"/>
                <w:sz w:val="20"/>
              </w:rPr>
            </w:pPr>
            <w:r>
              <w:rPr>
                <w:rFonts w:ascii="Calibri" w:eastAsia="Calibri" w:hAnsi="Calibri" w:cs="Arial"/>
                <w:b/>
                <w:bCs/>
                <w:color w:val="013161"/>
                <w:sz w:val="20"/>
              </w:rPr>
              <w:t>30%</w:t>
            </w:r>
          </w:p>
        </w:tc>
      </w:tr>
      <w:tr w:rsidR="00FA4E22" w:rsidRPr="009A4D3F" w:rsidTr="00FA4E22">
        <w:trPr>
          <w:trHeight w:val="254"/>
        </w:trPr>
        <w:tc>
          <w:tcPr>
            <w:tcW w:w="3618" w:type="dxa"/>
            <w:tcBorders>
              <w:right w:val="nil"/>
            </w:tcBorders>
            <w:shd w:val="clear" w:color="auto" w:fill="auto"/>
          </w:tcPr>
          <w:p w:rsidR="00FA4E22" w:rsidRPr="009A4D3F" w:rsidRDefault="00FA4E22" w:rsidP="00FA4E22">
            <w:pPr>
              <w:autoSpaceDE w:val="0"/>
              <w:autoSpaceDN w:val="0"/>
              <w:adjustRightInd w:val="0"/>
              <w:spacing w:after="0" w:line="240" w:lineRule="auto"/>
              <w:rPr>
                <w:rFonts w:ascii="Calibri" w:eastAsia="Calibri" w:hAnsi="Calibri" w:cs="Arial"/>
                <w:b/>
                <w:bCs/>
                <w:color w:val="013161"/>
                <w:sz w:val="20"/>
              </w:rPr>
            </w:pPr>
            <w:r>
              <w:rPr>
                <w:rFonts w:ascii="Calibri" w:eastAsia="Calibri" w:hAnsi="Calibri" w:cs="Arial"/>
                <w:b/>
                <w:bCs/>
                <w:color w:val="013161"/>
                <w:sz w:val="20"/>
              </w:rPr>
              <w:t xml:space="preserve">Drug overdose deaths </w:t>
            </w:r>
            <w:r w:rsidRPr="00C64ACA">
              <w:rPr>
                <w:rFonts w:ascii="Calibri" w:eastAsia="Calibri" w:hAnsi="Calibri" w:cs="Arial"/>
                <w:b/>
                <w:bCs/>
                <w:color w:val="013161"/>
                <w:sz w:val="19"/>
                <w:szCs w:val="19"/>
              </w:rPr>
              <w:t>(rate per 100,000)</w:t>
            </w:r>
            <w:r>
              <w:rPr>
                <w:rStyle w:val="FootnoteReference"/>
                <w:rFonts w:ascii="Calibri" w:eastAsia="Calibri" w:hAnsi="Calibri" w:cs="Arial"/>
                <w:b/>
                <w:bCs/>
                <w:color w:val="013161"/>
                <w:sz w:val="19"/>
                <w:szCs w:val="19"/>
              </w:rPr>
              <w:footnoteReference w:id="4"/>
            </w:r>
          </w:p>
        </w:tc>
        <w:tc>
          <w:tcPr>
            <w:tcW w:w="1170" w:type="dxa"/>
            <w:tcBorders>
              <w:top w:val="nil"/>
              <w:left w:val="nil"/>
              <w:bottom w:val="nil"/>
              <w:right w:val="nil"/>
            </w:tcBorders>
            <w:shd w:val="clear" w:color="auto" w:fill="auto"/>
          </w:tcPr>
          <w:p w:rsidR="00FA4E22" w:rsidRPr="009A4D3F" w:rsidRDefault="00FA4E22" w:rsidP="00FA4E22">
            <w:pPr>
              <w:autoSpaceDE w:val="0"/>
              <w:autoSpaceDN w:val="0"/>
              <w:adjustRightInd w:val="0"/>
              <w:spacing w:after="0" w:line="240" w:lineRule="auto"/>
              <w:jc w:val="center"/>
              <w:rPr>
                <w:rFonts w:ascii="Calibri" w:eastAsia="Calibri" w:hAnsi="Calibri" w:cs="Arial"/>
                <w:b/>
                <w:color w:val="013161"/>
                <w:sz w:val="20"/>
              </w:rPr>
            </w:pPr>
            <w:r>
              <w:rPr>
                <w:rFonts w:ascii="Calibri" w:eastAsia="Calibri" w:hAnsi="Calibri" w:cs="Arial"/>
                <w:b/>
                <w:color w:val="013161"/>
                <w:sz w:val="20"/>
              </w:rPr>
              <w:t>11</w:t>
            </w:r>
          </w:p>
        </w:tc>
        <w:tc>
          <w:tcPr>
            <w:tcW w:w="720" w:type="dxa"/>
            <w:tcBorders>
              <w:top w:val="nil"/>
              <w:left w:val="nil"/>
              <w:bottom w:val="nil"/>
              <w:right w:val="nil"/>
            </w:tcBorders>
            <w:shd w:val="clear" w:color="auto" w:fill="auto"/>
          </w:tcPr>
          <w:p w:rsidR="00FA4E22" w:rsidRPr="009A4D3F" w:rsidRDefault="00FA4E22" w:rsidP="00FA4E22">
            <w:pPr>
              <w:autoSpaceDE w:val="0"/>
              <w:autoSpaceDN w:val="0"/>
              <w:adjustRightInd w:val="0"/>
              <w:spacing w:after="0" w:line="240" w:lineRule="auto"/>
              <w:jc w:val="center"/>
              <w:rPr>
                <w:rFonts w:ascii="Calibri" w:eastAsia="Calibri" w:hAnsi="Calibri" w:cs="Arial"/>
                <w:b/>
                <w:color w:val="013161"/>
                <w:sz w:val="20"/>
              </w:rPr>
            </w:pPr>
            <w:r>
              <w:rPr>
                <w:rFonts w:ascii="Calibri" w:eastAsia="Calibri" w:hAnsi="Calibri" w:cs="Arial"/>
                <w:b/>
                <w:color w:val="013161"/>
                <w:sz w:val="20"/>
              </w:rPr>
              <w:t>10</w:t>
            </w:r>
          </w:p>
        </w:tc>
        <w:tc>
          <w:tcPr>
            <w:tcW w:w="1148" w:type="dxa"/>
            <w:tcBorders>
              <w:top w:val="nil"/>
              <w:left w:val="nil"/>
              <w:bottom w:val="nil"/>
              <w:right w:val="nil"/>
            </w:tcBorders>
            <w:shd w:val="clear" w:color="auto" w:fill="auto"/>
          </w:tcPr>
          <w:p w:rsidR="00FA4E22" w:rsidRPr="009A4D3F" w:rsidRDefault="00FA4E22" w:rsidP="00FA4E22">
            <w:pPr>
              <w:autoSpaceDE w:val="0"/>
              <w:autoSpaceDN w:val="0"/>
              <w:adjustRightInd w:val="0"/>
              <w:spacing w:after="0" w:line="240" w:lineRule="auto"/>
              <w:jc w:val="center"/>
              <w:rPr>
                <w:rFonts w:ascii="Calibri" w:eastAsia="Calibri" w:hAnsi="Calibri" w:cs="Arial"/>
                <w:b/>
                <w:color w:val="013161"/>
                <w:sz w:val="20"/>
              </w:rPr>
            </w:pPr>
            <w:r>
              <w:rPr>
                <w:rFonts w:ascii="Calibri" w:eastAsia="Calibri" w:hAnsi="Calibri" w:cs="Arial"/>
                <w:b/>
                <w:color w:val="013161"/>
                <w:sz w:val="20"/>
              </w:rPr>
              <w:t>13</w:t>
            </w:r>
          </w:p>
        </w:tc>
        <w:tc>
          <w:tcPr>
            <w:tcW w:w="742" w:type="dxa"/>
            <w:tcBorders>
              <w:left w:val="nil"/>
            </w:tcBorders>
            <w:shd w:val="clear" w:color="auto" w:fill="auto"/>
          </w:tcPr>
          <w:p w:rsidR="00FA4E22" w:rsidRPr="009A4D3F" w:rsidRDefault="00FA4E22" w:rsidP="00FA4E22">
            <w:pPr>
              <w:autoSpaceDE w:val="0"/>
              <w:autoSpaceDN w:val="0"/>
              <w:adjustRightInd w:val="0"/>
              <w:spacing w:after="0" w:line="240" w:lineRule="auto"/>
              <w:jc w:val="center"/>
              <w:rPr>
                <w:rFonts w:ascii="Calibri" w:eastAsia="Calibri" w:hAnsi="Calibri" w:cs="Arial"/>
                <w:b/>
                <w:bCs/>
                <w:color w:val="013161"/>
                <w:sz w:val="20"/>
              </w:rPr>
            </w:pPr>
            <w:r>
              <w:rPr>
                <w:rFonts w:ascii="Calibri" w:eastAsia="Calibri" w:hAnsi="Calibri" w:cs="Arial"/>
                <w:b/>
                <w:bCs/>
                <w:color w:val="013161"/>
                <w:sz w:val="20"/>
              </w:rPr>
              <w:t>11</w:t>
            </w:r>
          </w:p>
        </w:tc>
      </w:tr>
      <w:tr w:rsidR="00FA4E22" w:rsidRPr="009A4D3F" w:rsidTr="00FA4E22">
        <w:trPr>
          <w:trHeight w:val="108"/>
        </w:trPr>
        <w:tc>
          <w:tcPr>
            <w:tcW w:w="3618" w:type="dxa"/>
            <w:tcBorders>
              <w:bottom w:val="single" w:sz="18" w:space="0" w:color="F6872B"/>
              <w:right w:val="nil"/>
            </w:tcBorders>
            <w:shd w:val="clear" w:color="auto" w:fill="auto"/>
          </w:tcPr>
          <w:p w:rsidR="00FA4E22" w:rsidRPr="00035FA9" w:rsidRDefault="00FA4E22" w:rsidP="00FA4E22">
            <w:pPr>
              <w:autoSpaceDE w:val="0"/>
              <w:autoSpaceDN w:val="0"/>
              <w:adjustRightInd w:val="0"/>
              <w:spacing w:after="0" w:line="240" w:lineRule="auto"/>
              <w:rPr>
                <w:rFonts w:ascii="Calibri" w:eastAsia="Calibri" w:hAnsi="Calibri" w:cs="Arial"/>
                <w:b/>
                <w:bCs/>
                <w:color w:val="013161"/>
                <w:sz w:val="4"/>
              </w:rPr>
            </w:pPr>
          </w:p>
        </w:tc>
        <w:tc>
          <w:tcPr>
            <w:tcW w:w="1170" w:type="dxa"/>
            <w:tcBorders>
              <w:top w:val="nil"/>
              <w:left w:val="nil"/>
              <w:bottom w:val="single" w:sz="18" w:space="0" w:color="F6872B"/>
              <w:right w:val="nil"/>
            </w:tcBorders>
            <w:shd w:val="clear" w:color="auto" w:fill="auto"/>
          </w:tcPr>
          <w:p w:rsidR="00FA4E22" w:rsidRPr="00035FA9" w:rsidRDefault="00FA4E22" w:rsidP="00FA4E22">
            <w:pPr>
              <w:autoSpaceDE w:val="0"/>
              <w:autoSpaceDN w:val="0"/>
              <w:adjustRightInd w:val="0"/>
              <w:spacing w:after="0" w:line="240" w:lineRule="auto"/>
              <w:jc w:val="center"/>
              <w:rPr>
                <w:rFonts w:ascii="Calibri" w:eastAsia="Calibri" w:hAnsi="Calibri" w:cs="Arial"/>
                <w:b/>
                <w:color w:val="013161"/>
                <w:sz w:val="4"/>
              </w:rPr>
            </w:pPr>
          </w:p>
        </w:tc>
        <w:tc>
          <w:tcPr>
            <w:tcW w:w="720" w:type="dxa"/>
            <w:tcBorders>
              <w:top w:val="nil"/>
              <w:left w:val="nil"/>
              <w:bottom w:val="single" w:sz="18" w:space="0" w:color="F6872B"/>
              <w:right w:val="nil"/>
            </w:tcBorders>
            <w:shd w:val="clear" w:color="auto" w:fill="auto"/>
          </w:tcPr>
          <w:p w:rsidR="00FA4E22" w:rsidRPr="00035FA9" w:rsidRDefault="00FA4E22" w:rsidP="00FA4E22">
            <w:pPr>
              <w:autoSpaceDE w:val="0"/>
              <w:autoSpaceDN w:val="0"/>
              <w:adjustRightInd w:val="0"/>
              <w:spacing w:after="0" w:line="240" w:lineRule="auto"/>
              <w:jc w:val="center"/>
              <w:rPr>
                <w:rFonts w:ascii="Calibri" w:eastAsia="Calibri" w:hAnsi="Calibri" w:cs="Arial"/>
                <w:b/>
                <w:color w:val="013161"/>
                <w:sz w:val="4"/>
              </w:rPr>
            </w:pPr>
          </w:p>
        </w:tc>
        <w:tc>
          <w:tcPr>
            <w:tcW w:w="1148" w:type="dxa"/>
            <w:tcBorders>
              <w:top w:val="nil"/>
              <w:left w:val="nil"/>
              <w:bottom w:val="single" w:sz="18" w:space="0" w:color="F6872B"/>
              <w:right w:val="nil"/>
            </w:tcBorders>
            <w:shd w:val="clear" w:color="auto" w:fill="auto"/>
          </w:tcPr>
          <w:p w:rsidR="00FA4E22" w:rsidRPr="00035FA9" w:rsidRDefault="00FA4E22" w:rsidP="00FA4E22">
            <w:pPr>
              <w:autoSpaceDE w:val="0"/>
              <w:autoSpaceDN w:val="0"/>
              <w:adjustRightInd w:val="0"/>
              <w:spacing w:after="0" w:line="240" w:lineRule="auto"/>
              <w:jc w:val="center"/>
              <w:rPr>
                <w:rFonts w:ascii="Calibri" w:eastAsia="Calibri" w:hAnsi="Calibri" w:cs="Arial"/>
                <w:b/>
                <w:color w:val="013161"/>
                <w:sz w:val="4"/>
              </w:rPr>
            </w:pPr>
          </w:p>
        </w:tc>
        <w:tc>
          <w:tcPr>
            <w:tcW w:w="742" w:type="dxa"/>
            <w:tcBorders>
              <w:left w:val="nil"/>
              <w:bottom w:val="single" w:sz="18" w:space="0" w:color="F6872B"/>
            </w:tcBorders>
            <w:shd w:val="clear" w:color="auto" w:fill="auto"/>
          </w:tcPr>
          <w:p w:rsidR="00FA4E22" w:rsidRPr="00035FA9" w:rsidRDefault="00FA4E22" w:rsidP="00FA4E22">
            <w:pPr>
              <w:autoSpaceDE w:val="0"/>
              <w:autoSpaceDN w:val="0"/>
              <w:adjustRightInd w:val="0"/>
              <w:spacing w:after="0" w:line="240" w:lineRule="auto"/>
              <w:jc w:val="center"/>
              <w:rPr>
                <w:rFonts w:ascii="Calibri" w:eastAsia="Calibri" w:hAnsi="Calibri" w:cs="Arial"/>
                <w:b/>
                <w:bCs/>
                <w:color w:val="013161"/>
                <w:sz w:val="4"/>
              </w:rPr>
            </w:pPr>
          </w:p>
        </w:tc>
      </w:tr>
    </w:tbl>
    <w:p w:rsidR="00D86A11" w:rsidRDefault="00D86A11" w:rsidP="00D86A11">
      <w:pPr>
        <w:pStyle w:val="Heading3"/>
        <w:spacing w:line="276" w:lineRule="auto"/>
        <w:rPr>
          <w:b w:val="0"/>
          <w:color w:val="auto"/>
          <w:sz w:val="22"/>
        </w:rPr>
      </w:pPr>
      <w:r w:rsidRPr="002F7516">
        <w:rPr>
          <w:b w:val="0"/>
          <w:color w:val="auto"/>
          <w:sz w:val="22"/>
        </w:rPr>
        <w:t xml:space="preserve">The percent of driving deaths that involved alcohol in </w:t>
      </w:r>
      <w:r>
        <w:rPr>
          <w:b w:val="0"/>
          <w:color w:val="auto"/>
          <w:sz w:val="22"/>
        </w:rPr>
        <w:t>the County of San Diego</w:t>
      </w:r>
      <w:r w:rsidRPr="002F7516">
        <w:rPr>
          <w:b w:val="0"/>
          <w:color w:val="auto"/>
          <w:sz w:val="22"/>
        </w:rPr>
        <w:t xml:space="preserve"> decreased from 33% in 2012 to 29% in 2014; however, the rate of drug overdose deaths increased. In addition, multiple meth</w:t>
      </w:r>
      <w:r>
        <w:rPr>
          <w:b w:val="0"/>
          <w:color w:val="auto"/>
          <w:sz w:val="22"/>
        </w:rPr>
        <w:t>amphetamine</w:t>
      </w:r>
      <w:r w:rsidRPr="002F7516">
        <w:rPr>
          <w:b w:val="0"/>
          <w:color w:val="auto"/>
          <w:sz w:val="22"/>
        </w:rPr>
        <w:t xml:space="preserve"> indicators such as arrests for sales and possession, meth</w:t>
      </w:r>
      <w:r>
        <w:rPr>
          <w:b w:val="0"/>
          <w:color w:val="auto"/>
          <w:sz w:val="22"/>
        </w:rPr>
        <w:t>amphetamine</w:t>
      </w:r>
      <w:r w:rsidRPr="002F7516">
        <w:rPr>
          <w:b w:val="0"/>
          <w:color w:val="auto"/>
          <w:sz w:val="22"/>
        </w:rPr>
        <w:t xml:space="preserve"> deaths, and positive drug testing for meth</w:t>
      </w:r>
      <w:r>
        <w:rPr>
          <w:b w:val="0"/>
          <w:color w:val="auto"/>
          <w:sz w:val="22"/>
        </w:rPr>
        <w:t>amphetamine</w:t>
      </w:r>
      <w:r w:rsidRPr="002F7516">
        <w:rPr>
          <w:b w:val="0"/>
          <w:color w:val="auto"/>
          <w:sz w:val="22"/>
        </w:rPr>
        <w:t xml:space="preserve"> (in adult and juvenile arrestees) have increased in recent years</w:t>
      </w:r>
      <w:r>
        <w:rPr>
          <w:b w:val="0"/>
          <w:color w:val="auto"/>
          <w:sz w:val="22"/>
        </w:rPr>
        <w:t xml:space="preserve"> (Exhibit 17</w:t>
      </w:r>
      <w:r w:rsidR="00B13F77">
        <w:rPr>
          <w:b w:val="0"/>
          <w:color w:val="auto"/>
          <w:sz w:val="22"/>
        </w:rPr>
        <w:t>, next page</w:t>
      </w:r>
      <w:r>
        <w:rPr>
          <w:b w:val="0"/>
          <w:color w:val="auto"/>
          <w:sz w:val="22"/>
        </w:rPr>
        <w:t>)</w:t>
      </w:r>
      <w:r w:rsidR="00F1013C" w:rsidRPr="00F1013C">
        <w:rPr>
          <w:b w:val="0"/>
          <w:color w:val="auto"/>
          <w:sz w:val="22"/>
        </w:rPr>
        <w:t xml:space="preserve">. The average number of poor mental health days reported, 3.6 days, was the same in both the County of San Diego and statewide in 2014. Participants in the CSA stakeholder meetings and Peer Review repeatedly mentioned the challenges to reunification when parents have substance abuse and/or mental health problems. </w:t>
      </w:r>
      <w:r w:rsidR="004D0AD4">
        <w:rPr>
          <w:b w:val="0"/>
          <w:color w:val="auto"/>
          <w:sz w:val="22"/>
        </w:rPr>
        <w:t>It is not known why there is a decline in driving deaths but some possible ideas that might be contributing to the decrease are overall there is more attention and increased scrutiny in this area over the last 10 years with stricter laws and consequences.  High schools are making high school students take a California Highway Patrol class with their parent(s) in order to get high school parking permits.</w:t>
      </w:r>
    </w:p>
    <w:p w:rsidR="00B13F77" w:rsidRPr="00B13F77" w:rsidRDefault="00B13F77" w:rsidP="00B13F77"/>
    <w:p w:rsidR="00D86A11" w:rsidRPr="00035FA9" w:rsidRDefault="00D86A11" w:rsidP="00D86A11">
      <w:pPr>
        <w:rPr>
          <w:sz w:val="4"/>
        </w:rPr>
      </w:pPr>
    </w:p>
    <w:tbl>
      <w:tblPr>
        <w:tblW w:w="9630" w:type="dxa"/>
        <w:tblInd w:w="18" w:type="dxa"/>
        <w:tblLayout w:type="fixed"/>
        <w:tblLook w:val="01E0" w:firstRow="1" w:lastRow="1" w:firstColumn="1" w:lastColumn="1" w:noHBand="0" w:noVBand="0"/>
      </w:tblPr>
      <w:tblGrid>
        <w:gridCol w:w="4500"/>
        <w:gridCol w:w="900"/>
        <w:gridCol w:w="990"/>
        <w:gridCol w:w="900"/>
        <w:gridCol w:w="1170"/>
        <w:gridCol w:w="1170"/>
      </w:tblGrid>
      <w:tr w:rsidR="00D86A11" w:rsidRPr="009A4D3F">
        <w:trPr>
          <w:trHeight w:val="280"/>
          <w:tblHeader/>
        </w:trPr>
        <w:tc>
          <w:tcPr>
            <w:tcW w:w="9630" w:type="dxa"/>
            <w:gridSpan w:val="6"/>
            <w:tcBorders>
              <w:top w:val="single" w:sz="18" w:space="0" w:color="E36C0A"/>
            </w:tcBorders>
            <w:shd w:val="clear" w:color="auto" w:fill="013161"/>
            <w:vAlign w:val="center"/>
          </w:tcPr>
          <w:p w:rsidR="00D86A11" w:rsidRDefault="00D86A11" w:rsidP="00D86A11">
            <w:pPr>
              <w:spacing w:after="0" w:line="240" w:lineRule="auto"/>
              <w:jc w:val="center"/>
              <w:rPr>
                <w:rFonts w:ascii="Calibri" w:eastAsia="Calibri" w:hAnsi="Calibri" w:cs="Arial"/>
                <w:b/>
                <w:bCs/>
                <w:color w:val="FFFFFF"/>
                <w:sz w:val="24"/>
                <w:szCs w:val="22"/>
              </w:rPr>
            </w:pPr>
            <w:r>
              <w:rPr>
                <w:rFonts w:ascii="Calibri" w:eastAsia="Calibri" w:hAnsi="Calibri" w:cs="Arial"/>
                <w:b/>
                <w:bCs/>
                <w:color w:val="FFFFFF"/>
                <w:sz w:val="24"/>
                <w:szCs w:val="22"/>
              </w:rPr>
              <w:t xml:space="preserve">Exhibit 17. County of San Diego </w:t>
            </w:r>
            <w:r w:rsidRPr="00B53CA4">
              <w:rPr>
                <w:rFonts w:ascii="Calibri" w:eastAsia="Calibri" w:hAnsi="Calibri" w:cs="Arial"/>
                <w:b/>
                <w:bCs/>
                <w:color w:val="FFFFFF"/>
                <w:sz w:val="24"/>
                <w:szCs w:val="22"/>
              </w:rPr>
              <w:t>2015 Methamphetamine Strike Force Report Card</w:t>
            </w:r>
            <w:r w:rsidRPr="00B53CA4">
              <w:rPr>
                <w:rStyle w:val="EndnoteReference"/>
                <w:rFonts w:ascii="Calibri" w:eastAsia="Calibri" w:hAnsi="Calibri" w:cs="Arial"/>
                <w:b/>
                <w:bCs/>
                <w:color w:val="FFFFFF"/>
                <w:sz w:val="24"/>
                <w:szCs w:val="22"/>
              </w:rPr>
              <w:endnoteReference w:id="24"/>
            </w:r>
          </w:p>
        </w:tc>
      </w:tr>
      <w:tr w:rsidR="00D86A11" w:rsidRPr="009A4D3F">
        <w:trPr>
          <w:trHeight w:val="280"/>
          <w:tblHeader/>
        </w:trPr>
        <w:tc>
          <w:tcPr>
            <w:tcW w:w="4500" w:type="dxa"/>
            <w:shd w:val="clear" w:color="auto" w:fill="013161"/>
            <w:vAlign w:val="center"/>
          </w:tcPr>
          <w:p w:rsidR="00D86A11" w:rsidRPr="009A4D3F" w:rsidRDefault="00D86A11" w:rsidP="00D86A11">
            <w:pPr>
              <w:spacing w:after="0" w:line="240" w:lineRule="auto"/>
              <w:jc w:val="center"/>
              <w:rPr>
                <w:rFonts w:ascii="Calibri" w:eastAsia="Calibri" w:hAnsi="Calibri" w:cs="Arial"/>
                <w:b/>
                <w:bCs/>
                <w:color w:val="FFFFFF"/>
                <w:szCs w:val="22"/>
              </w:rPr>
            </w:pPr>
          </w:p>
        </w:tc>
        <w:tc>
          <w:tcPr>
            <w:tcW w:w="900" w:type="dxa"/>
            <w:shd w:val="clear" w:color="auto" w:fill="013161"/>
            <w:vAlign w:val="center"/>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Cs w:val="22"/>
              </w:rPr>
              <w:t>2010</w:t>
            </w:r>
          </w:p>
        </w:tc>
        <w:tc>
          <w:tcPr>
            <w:tcW w:w="990" w:type="dxa"/>
            <w:shd w:val="clear" w:color="auto" w:fill="013161"/>
            <w:vAlign w:val="center"/>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Cs w:val="22"/>
              </w:rPr>
              <w:t>2011</w:t>
            </w:r>
          </w:p>
        </w:tc>
        <w:tc>
          <w:tcPr>
            <w:tcW w:w="900" w:type="dxa"/>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Cs w:val="22"/>
              </w:rPr>
              <w:t>2012</w:t>
            </w:r>
          </w:p>
        </w:tc>
        <w:tc>
          <w:tcPr>
            <w:tcW w:w="1170" w:type="dxa"/>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Cs w:val="22"/>
              </w:rPr>
              <w:t>2013</w:t>
            </w:r>
          </w:p>
        </w:tc>
        <w:tc>
          <w:tcPr>
            <w:tcW w:w="1170" w:type="dxa"/>
            <w:shd w:val="clear" w:color="auto" w:fill="013161"/>
          </w:tcPr>
          <w:p w:rsidR="00D86A11"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Cs w:val="22"/>
              </w:rPr>
              <w:t>2014</w:t>
            </w:r>
          </w:p>
        </w:tc>
      </w:tr>
      <w:tr w:rsidR="00D86A11" w:rsidRPr="009A4D3F">
        <w:trPr>
          <w:trHeight w:val="254"/>
        </w:trPr>
        <w:tc>
          <w:tcPr>
            <w:tcW w:w="4500" w:type="dxa"/>
            <w:tcBorders>
              <w:bottom w:val="single" w:sz="2" w:space="0" w:color="FFFFFF"/>
              <w:right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Total meth deaths</w:t>
            </w:r>
          </w:p>
        </w:tc>
        <w:tc>
          <w:tcPr>
            <w:tcW w:w="900" w:type="dxa"/>
            <w:tcBorders>
              <w:left w:val="single" w:sz="2" w:space="0" w:color="FFFFFF"/>
              <w:bottom w:val="single" w:sz="2" w:space="0" w:color="FFFFFF"/>
              <w:right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157</w:t>
            </w:r>
          </w:p>
        </w:tc>
        <w:tc>
          <w:tcPr>
            <w:tcW w:w="990" w:type="dxa"/>
            <w:tcBorders>
              <w:left w:val="single" w:sz="2" w:space="0" w:color="FFFFFF"/>
              <w:bottom w:val="single" w:sz="2" w:space="0" w:color="FFFFFF"/>
              <w:right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171</w:t>
            </w:r>
          </w:p>
        </w:tc>
        <w:tc>
          <w:tcPr>
            <w:tcW w:w="900" w:type="dxa"/>
            <w:tcBorders>
              <w:left w:val="single" w:sz="2" w:space="0" w:color="FFFFFF"/>
              <w:bottom w:val="single" w:sz="2" w:space="0" w:color="FFFFFF"/>
              <w:right w:val="single" w:sz="2" w:space="0" w:color="FFFFFF"/>
            </w:tcBorders>
            <w:shd w:val="clear" w:color="auto" w:fill="DBE5F1"/>
          </w:tcPr>
          <w:p w:rsidR="00D86A11"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217</w:t>
            </w:r>
          </w:p>
        </w:tc>
        <w:tc>
          <w:tcPr>
            <w:tcW w:w="1170" w:type="dxa"/>
            <w:tcBorders>
              <w:left w:val="single" w:sz="2" w:space="0" w:color="FFFFFF"/>
              <w:bottom w:val="single" w:sz="2" w:space="0" w:color="FFFFFF"/>
              <w:right w:val="single" w:sz="2" w:space="0" w:color="FFFFFF"/>
            </w:tcBorders>
            <w:shd w:val="clear" w:color="auto" w:fill="DBE5F1"/>
          </w:tcPr>
          <w:p w:rsidR="00D86A11"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267</w:t>
            </w:r>
          </w:p>
        </w:tc>
        <w:tc>
          <w:tcPr>
            <w:tcW w:w="1170" w:type="dxa"/>
            <w:tcBorders>
              <w:left w:val="single" w:sz="2" w:space="0" w:color="FFFFFF"/>
              <w:bottom w:val="single" w:sz="2" w:space="0" w:color="FFFFFF"/>
              <w:right w:val="single" w:sz="2" w:space="0" w:color="FFFFFF"/>
            </w:tcBorders>
            <w:shd w:val="clear" w:color="auto" w:fill="DBE5F1"/>
          </w:tcPr>
          <w:p w:rsidR="00D86A11"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262</w:t>
            </w:r>
          </w:p>
        </w:tc>
      </w:tr>
      <w:tr w:rsidR="00D86A11" w:rsidRPr="009A4D3F">
        <w:trPr>
          <w:trHeight w:val="267"/>
        </w:trPr>
        <w:tc>
          <w:tcPr>
            <w:tcW w:w="4500" w:type="dxa"/>
            <w:tcBorders>
              <w:top w:val="single" w:sz="2" w:space="0" w:color="FFFFFF"/>
              <w:bottom w:val="single" w:sz="2" w:space="0" w:color="FFFFFF"/>
              <w:right w:val="single" w:sz="2" w:space="0" w:color="FFFFFF"/>
            </w:tcBorders>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Meth primary drug of choice (treatment admits)</w:t>
            </w:r>
          </w:p>
        </w:tc>
        <w:tc>
          <w:tcPr>
            <w:tcW w:w="900" w:type="dxa"/>
            <w:tcBorders>
              <w:top w:val="single" w:sz="2" w:space="0" w:color="FFFFFF"/>
              <w:left w:val="single" w:sz="2" w:space="0" w:color="FFFFFF"/>
              <w:bottom w:val="single" w:sz="2" w:space="0" w:color="FFFFFF"/>
              <w:right w:val="single" w:sz="2" w:space="0" w:color="FFFFFF"/>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34%</w:t>
            </w:r>
          </w:p>
        </w:tc>
        <w:tc>
          <w:tcPr>
            <w:tcW w:w="990" w:type="dxa"/>
            <w:tcBorders>
              <w:top w:val="single" w:sz="2" w:space="0" w:color="FFFFFF"/>
              <w:left w:val="single" w:sz="2" w:space="0" w:color="FFFFFF"/>
              <w:bottom w:val="single" w:sz="2" w:space="0" w:color="FFFFFF"/>
              <w:right w:val="single" w:sz="2" w:space="0" w:color="FFFFFF"/>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34%</w:t>
            </w:r>
          </w:p>
        </w:tc>
        <w:tc>
          <w:tcPr>
            <w:tcW w:w="900" w:type="dxa"/>
            <w:tcBorders>
              <w:top w:val="single" w:sz="2" w:space="0" w:color="FFFFFF"/>
              <w:left w:val="single" w:sz="2" w:space="0" w:color="FFFFFF"/>
              <w:bottom w:val="single" w:sz="2" w:space="0" w:color="FFFFFF"/>
              <w:right w:val="single" w:sz="2" w:space="0" w:color="FFFFFF"/>
            </w:tcBorders>
            <w:shd w:val="clear" w:color="auto" w:fill="FFFFFF"/>
          </w:tcPr>
          <w:p w:rsidR="00D86A11"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32%</w:t>
            </w:r>
          </w:p>
        </w:tc>
        <w:tc>
          <w:tcPr>
            <w:tcW w:w="1170" w:type="dxa"/>
            <w:tcBorders>
              <w:top w:val="single" w:sz="2" w:space="0" w:color="FFFFFF"/>
              <w:left w:val="single" w:sz="2" w:space="0" w:color="FFFFFF"/>
              <w:bottom w:val="single" w:sz="2" w:space="0" w:color="FFFFFF"/>
              <w:right w:val="single" w:sz="2" w:space="0" w:color="FFFFFF"/>
            </w:tcBorders>
            <w:shd w:val="clear" w:color="auto" w:fill="FFFFFF"/>
          </w:tcPr>
          <w:p w:rsidR="00D86A11"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34%</w:t>
            </w:r>
          </w:p>
        </w:tc>
        <w:tc>
          <w:tcPr>
            <w:tcW w:w="1170" w:type="dxa"/>
            <w:tcBorders>
              <w:top w:val="single" w:sz="2" w:space="0" w:color="FFFFFF"/>
              <w:left w:val="single" w:sz="2" w:space="0" w:color="FFFFFF"/>
              <w:bottom w:val="single" w:sz="2" w:space="0" w:color="FFFFFF"/>
              <w:right w:val="single" w:sz="2" w:space="0" w:color="FFFFFF"/>
            </w:tcBorders>
            <w:shd w:val="clear" w:color="auto" w:fill="FFFFFF"/>
          </w:tcPr>
          <w:p w:rsidR="00D86A11" w:rsidRDefault="000A7306"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37%</w:t>
            </w:r>
          </w:p>
        </w:tc>
      </w:tr>
      <w:tr w:rsidR="00D86A11" w:rsidRPr="009A4D3F">
        <w:trPr>
          <w:trHeight w:val="254"/>
        </w:trPr>
        <w:tc>
          <w:tcPr>
            <w:tcW w:w="4500" w:type="dxa"/>
            <w:tcBorders>
              <w:top w:val="single" w:sz="2" w:space="0" w:color="FFFFFF"/>
              <w:bottom w:val="single" w:sz="2" w:space="0" w:color="FFFFFF"/>
              <w:right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Positive meth tests – adult arrestees</w:t>
            </w:r>
          </w:p>
        </w:tc>
        <w:tc>
          <w:tcPr>
            <w:tcW w:w="900" w:type="dxa"/>
            <w:tcBorders>
              <w:top w:val="single" w:sz="2" w:space="0" w:color="FFFFFF"/>
              <w:left w:val="single" w:sz="2" w:space="0" w:color="FFFFFF"/>
              <w:bottom w:val="single" w:sz="2" w:space="0" w:color="FFFFFF"/>
              <w:right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27%</w:t>
            </w:r>
          </w:p>
        </w:tc>
        <w:tc>
          <w:tcPr>
            <w:tcW w:w="990" w:type="dxa"/>
            <w:tcBorders>
              <w:top w:val="single" w:sz="2" w:space="0" w:color="FFFFFF"/>
              <w:left w:val="single" w:sz="2" w:space="0" w:color="FFFFFF"/>
              <w:bottom w:val="single" w:sz="2" w:space="0" w:color="FFFFFF"/>
              <w:right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30%</w:t>
            </w:r>
          </w:p>
        </w:tc>
        <w:tc>
          <w:tcPr>
            <w:tcW w:w="900" w:type="dxa"/>
            <w:tcBorders>
              <w:top w:val="single" w:sz="2" w:space="0" w:color="FFFFFF"/>
              <w:left w:val="single" w:sz="2" w:space="0" w:color="FFFFFF"/>
              <w:bottom w:val="single" w:sz="2" w:space="0" w:color="FFFFFF"/>
              <w:right w:val="single" w:sz="2" w:space="0" w:color="FFFFFF"/>
            </w:tcBorders>
            <w:shd w:val="clear" w:color="auto" w:fill="DBE5F1"/>
          </w:tcPr>
          <w:p w:rsidR="00D86A11"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36%</w:t>
            </w:r>
          </w:p>
        </w:tc>
        <w:tc>
          <w:tcPr>
            <w:tcW w:w="1170" w:type="dxa"/>
            <w:tcBorders>
              <w:top w:val="single" w:sz="2" w:space="0" w:color="FFFFFF"/>
              <w:left w:val="single" w:sz="2" w:space="0" w:color="FFFFFF"/>
              <w:bottom w:val="single" w:sz="2" w:space="0" w:color="FFFFFF"/>
              <w:right w:val="single" w:sz="2" w:space="0" w:color="FFFFFF"/>
            </w:tcBorders>
            <w:shd w:val="clear" w:color="auto" w:fill="DBE5F1"/>
          </w:tcPr>
          <w:p w:rsidR="00D86A11"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43%</w:t>
            </w:r>
          </w:p>
        </w:tc>
        <w:tc>
          <w:tcPr>
            <w:tcW w:w="1170" w:type="dxa"/>
            <w:tcBorders>
              <w:top w:val="single" w:sz="2" w:space="0" w:color="FFFFFF"/>
              <w:left w:val="single" w:sz="2" w:space="0" w:color="FFFFFF"/>
              <w:bottom w:val="single" w:sz="2" w:space="0" w:color="FFFFFF"/>
              <w:right w:val="single" w:sz="2" w:space="0" w:color="FFFFFF"/>
            </w:tcBorders>
            <w:shd w:val="clear" w:color="auto" w:fill="DBE5F1"/>
          </w:tcPr>
          <w:p w:rsidR="00D86A11"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45%</w:t>
            </w:r>
          </w:p>
        </w:tc>
      </w:tr>
      <w:tr w:rsidR="00D86A11" w:rsidRPr="009A4D3F">
        <w:trPr>
          <w:trHeight w:val="288"/>
        </w:trPr>
        <w:tc>
          <w:tcPr>
            <w:tcW w:w="4500" w:type="dxa"/>
            <w:tcBorders>
              <w:top w:val="single" w:sz="2" w:space="0" w:color="FFFFFF"/>
              <w:bottom w:val="single" w:sz="2" w:space="0" w:color="FFFFFF"/>
              <w:right w:val="single" w:sz="2" w:space="0" w:color="FFFFFF"/>
            </w:tcBorders>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Positive meth tests – juvenile arrestees</w:t>
            </w:r>
          </w:p>
        </w:tc>
        <w:tc>
          <w:tcPr>
            <w:tcW w:w="900" w:type="dxa"/>
            <w:tcBorders>
              <w:top w:val="single" w:sz="2" w:space="0" w:color="FFFFFF"/>
              <w:left w:val="single" w:sz="2" w:space="0" w:color="FFFFFF"/>
              <w:bottom w:val="single" w:sz="2" w:space="0" w:color="FFFFFF"/>
              <w:right w:val="single" w:sz="2" w:space="0" w:color="FFFFFF"/>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8%</w:t>
            </w:r>
          </w:p>
        </w:tc>
        <w:tc>
          <w:tcPr>
            <w:tcW w:w="990" w:type="dxa"/>
            <w:tcBorders>
              <w:top w:val="single" w:sz="2" w:space="0" w:color="FFFFFF"/>
              <w:left w:val="single" w:sz="2" w:space="0" w:color="FFFFFF"/>
              <w:bottom w:val="single" w:sz="2" w:space="0" w:color="FFFFFF"/>
              <w:right w:val="single" w:sz="2" w:space="0" w:color="FFFFFF"/>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4%</w:t>
            </w:r>
          </w:p>
        </w:tc>
        <w:tc>
          <w:tcPr>
            <w:tcW w:w="900" w:type="dxa"/>
            <w:tcBorders>
              <w:top w:val="single" w:sz="2" w:space="0" w:color="FFFFFF"/>
              <w:left w:val="single" w:sz="2" w:space="0" w:color="FFFFFF"/>
              <w:bottom w:val="single" w:sz="2" w:space="0" w:color="FFFFFF"/>
              <w:right w:val="single" w:sz="2" w:space="0" w:color="FFFFFF"/>
            </w:tcBorders>
            <w:shd w:val="clear" w:color="auto" w:fill="FFFFFF"/>
          </w:tcPr>
          <w:p w:rsidR="00D86A11"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4%</w:t>
            </w:r>
          </w:p>
        </w:tc>
        <w:tc>
          <w:tcPr>
            <w:tcW w:w="1170" w:type="dxa"/>
            <w:tcBorders>
              <w:top w:val="single" w:sz="2" w:space="0" w:color="FFFFFF"/>
              <w:left w:val="single" w:sz="2" w:space="0" w:color="FFFFFF"/>
              <w:bottom w:val="single" w:sz="2" w:space="0" w:color="FFFFFF"/>
              <w:right w:val="single" w:sz="2" w:space="0" w:color="FFFFFF"/>
            </w:tcBorders>
            <w:shd w:val="clear" w:color="auto" w:fill="FFFFFF"/>
          </w:tcPr>
          <w:p w:rsidR="00D86A11"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10%</w:t>
            </w:r>
          </w:p>
        </w:tc>
        <w:tc>
          <w:tcPr>
            <w:tcW w:w="1170" w:type="dxa"/>
            <w:tcBorders>
              <w:top w:val="single" w:sz="2" w:space="0" w:color="FFFFFF"/>
              <w:left w:val="single" w:sz="2" w:space="0" w:color="FFFFFF"/>
              <w:bottom w:val="single" w:sz="2" w:space="0" w:color="FFFFFF"/>
              <w:right w:val="single" w:sz="2" w:space="0" w:color="FFFFFF"/>
            </w:tcBorders>
            <w:shd w:val="clear" w:color="auto" w:fill="FFFFFF"/>
          </w:tcPr>
          <w:p w:rsidR="00D86A11"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13%</w:t>
            </w:r>
          </w:p>
        </w:tc>
      </w:tr>
      <w:tr w:rsidR="00D86A11" w:rsidRPr="009A4D3F">
        <w:trPr>
          <w:trHeight w:val="288"/>
        </w:trPr>
        <w:tc>
          <w:tcPr>
            <w:tcW w:w="4500" w:type="dxa"/>
            <w:tcBorders>
              <w:top w:val="single" w:sz="2" w:space="0" w:color="FFFFFF"/>
              <w:bottom w:val="single" w:sz="18" w:space="0" w:color="F6872B"/>
              <w:right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Arrests for meth sales and possession</w:t>
            </w:r>
          </w:p>
        </w:tc>
        <w:tc>
          <w:tcPr>
            <w:tcW w:w="900" w:type="dxa"/>
            <w:tcBorders>
              <w:top w:val="single" w:sz="2" w:space="0" w:color="FFFFFF"/>
              <w:left w:val="single" w:sz="2" w:space="0" w:color="FFFFFF"/>
              <w:bottom w:val="single" w:sz="18" w:space="0" w:color="F6872B"/>
              <w:right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5,139</w:t>
            </w:r>
          </w:p>
        </w:tc>
        <w:tc>
          <w:tcPr>
            <w:tcW w:w="990" w:type="dxa"/>
            <w:tcBorders>
              <w:top w:val="single" w:sz="2" w:space="0" w:color="FFFFFF"/>
              <w:left w:val="single" w:sz="2" w:space="0" w:color="FFFFFF"/>
              <w:bottom w:val="single" w:sz="18" w:space="0" w:color="F6872B"/>
              <w:right w:val="single" w:sz="2" w:space="0" w:color="FFFFFF"/>
            </w:tcBorders>
            <w:shd w:val="clear" w:color="auto" w:fill="DBE5F1"/>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4,869</w:t>
            </w:r>
          </w:p>
        </w:tc>
        <w:tc>
          <w:tcPr>
            <w:tcW w:w="900" w:type="dxa"/>
            <w:tcBorders>
              <w:top w:val="single" w:sz="2" w:space="0" w:color="FFFFFF"/>
              <w:left w:val="single" w:sz="2" w:space="0" w:color="FFFFFF"/>
              <w:bottom w:val="single" w:sz="18" w:space="0" w:color="F6872B"/>
              <w:right w:val="single" w:sz="2" w:space="0" w:color="FFFFFF"/>
            </w:tcBorders>
            <w:shd w:val="clear" w:color="auto" w:fill="DBE5F1"/>
          </w:tcPr>
          <w:p w:rsidR="00D86A11"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5,190</w:t>
            </w:r>
          </w:p>
        </w:tc>
        <w:tc>
          <w:tcPr>
            <w:tcW w:w="1170" w:type="dxa"/>
            <w:tcBorders>
              <w:top w:val="single" w:sz="2" w:space="0" w:color="FFFFFF"/>
              <w:left w:val="single" w:sz="2" w:space="0" w:color="FFFFFF"/>
              <w:bottom w:val="single" w:sz="18" w:space="0" w:color="F6872B"/>
              <w:right w:val="single" w:sz="2" w:space="0" w:color="FFFFFF"/>
            </w:tcBorders>
            <w:shd w:val="clear" w:color="auto" w:fill="DBE5F1"/>
          </w:tcPr>
          <w:p w:rsidR="00D86A11"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6,658</w:t>
            </w:r>
          </w:p>
        </w:tc>
        <w:tc>
          <w:tcPr>
            <w:tcW w:w="1170" w:type="dxa"/>
            <w:tcBorders>
              <w:top w:val="single" w:sz="2" w:space="0" w:color="FFFFFF"/>
              <w:left w:val="single" w:sz="2" w:space="0" w:color="FFFFFF"/>
              <w:bottom w:val="single" w:sz="18" w:space="0" w:color="F6872B"/>
              <w:right w:val="single" w:sz="2" w:space="0" w:color="FFFFFF"/>
            </w:tcBorders>
            <w:shd w:val="clear" w:color="auto" w:fill="DBE5F1"/>
          </w:tcPr>
          <w:p w:rsidR="00D86A11"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Pr>
                <w:rFonts w:ascii="Calibri" w:eastAsia="Calibri" w:hAnsi="Calibri" w:cs="Arial"/>
                <w:b/>
                <w:color w:val="013161"/>
                <w:sz w:val="20"/>
                <w:szCs w:val="22"/>
              </w:rPr>
              <w:t>6,598</w:t>
            </w:r>
          </w:p>
        </w:tc>
      </w:tr>
    </w:tbl>
    <w:p w:rsidR="00D86A11" w:rsidRPr="004A07DC" w:rsidRDefault="00D86A11" w:rsidP="00D86A11">
      <w:pPr>
        <w:pStyle w:val="Heading2"/>
        <w:rPr>
          <w:b w:val="0"/>
        </w:rPr>
      </w:pPr>
      <w:r>
        <w:rPr>
          <w:rStyle w:val="Heading1Char"/>
          <w:b/>
          <w:color w:val="F6872B"/>
          <w:sz w:val="24"/>
        </w:rPr>
        <w:t>Child Fatalities</w:t>
      </w:r>
    </w:p>
    <w:p w:rsidR="00D86A11" w:rsidRPr="008336BB" w:rsidRDefault="00D86A11" w:rsidP="00D86A11">
      <w:pPr>
        <w:pStyle w:val="Heading3"/>
        <w:spacing w:line="276" w:lineRule="auto"/>
        <w:rPr>
          <w:b w:val="0"/>
          <w:color w:val="auto"/>
          <w:sz w:val="22"/>
        </w:rPr>
      </w:pPr>
      <w:r w:rsidRPr="008336BB">
        <w:rPr>
          <w:b w:val="0"/>
          <w:color w:val="auto"/>
          <w:sz w:val="22"/>
        </w:rPr>
        <w:t>The number of infants that died from accidental reasons increased from two deaths in 2011 to four deaths in 2014; the number of accidental deaths remained the same for children ages 1-12. The number of children, ages 1-12, that died from homicide decreased from six i</w:t>
      </w:r>
      <w:r>
        <w:rPr>
          <w:b w:val="0"/>
          <w:color w:val="auto"/>
          <w:sz w:val="22"/>
        </w:rPr>
        <w:t>n 2011 to two in 2014. However, small sample size does not allow us to make</w:t>
      </w:r>
      <w:r w:rsidRPr="008336BB">
        <w:rPr>
          <w:b w:val="0"/>
          <w:color w:val="auto"/>
          <w:sz w:val="22"/>
        </w:rPr>
        <w:t xml:space="preserve"> definitive statements about trends in child fatalities. </w:t>
      </w:r>
    </w:p>
    <w:tbl>
      <w:tblPr>
        <w:tblW w:w="9198" w:type="dxa"/>
        <w:tblBorders>
          <w:top w:val="single" w:sz="18" w:space="0" w:color="F6872B"/>
          <w:bottom w:val="single" w:sz="18" w:space="0" w:color="F6872B"/>
        </w:tblBorders>
        <w:tblLayout w:type="fixed"/>
        <w:tblLook w:val="01E0" w:firstRow="1" w:lastRow="1" w:firstColumn="1" w:lastColumn="1" w:noHBand="0" w:noVBand="0"/>
      </w:tblPr>
      <w:tblGrid>
        <w:gridCol w:w="1728"/>
        <w:gridCol w:w="1440"/>
        <w:gridCol w:w="1440"/>
        <w:gridCol w:w="1710"/>
        <w:gridCol w:w="1980"/>
        <w:gridCol w:w="900"/>
      </w:tblGrid>
      <w:tr w:rsidR="00D86A11" w:rsidRPr="009A4D3F">
        <w:trPr>
          <w:trHeight w:val="280"/>
        </w:trPr>
        <w:tc>
          <w:tcPr>
            <w:tcW w:w="9198" w:type="dxa"/>
            <w:gridSpan w:val="6"/>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 w:val="24"/>
                <w:szCs w:val="22"/>
              </w:rPr>
              <w:t xml:space="preserve">Exhibit 18. County of San Diego </w:t>
            </w:r>
            <w:r w:rsidRPr="00B53CA4">
              <w:rPr>
                <w:rFonts w:ascii="Calibri" w:eastAsia="Calibri" w:hAnsi="Calibri" w:cs="Arial"/>
                <w:b/>
                <w:bCs/>
                <w:color w:val="FFFFFF"/>
                <w:sz w:val="24"/>
                <w:szCs w:val="22"/>
              </w:rPr>
              <w:t>Child Fatalities</w:t>
            </w:r>
            <w:r w:rsidRPr="00B53CA4">
              <w:rPr>
                <w:rFonts w:ascii="Calibri" w:eastAsia="Calibri" w:hAnsi="Calibri" w:cs="Arial"/>
                <w:b/>
                <w:bCs/>
                <w:color w:val="FFFFFF"/>
                <w:sz w:val="24"/>
                <w:szCs w:val="22"/>
                <w:vertAlign w:val="superscript"/>
              </w:rPr>
              <w:endnoteReference w:id="25"/>
            </w:r>
          </w:p>
        </w:tc>
      </w:tr>
      <w:tr w:rsidR="00D86A11" w:rsidRPr="009A4D3F">
        <w:trPr>
          <w:trHeight w:val="280"/>
        </w:trPr>
        <w:tc>
          <w:tcPr>
            <w:tcW w:w="1728" w:type="dxa"/>
            <w:shd w:val="clear" w:color="auto" w:fill="013161"/>
            <w:vAlign w:val="center"/>
          </w:tcPr>
          <w:p w:rsidR="00D86A11" w:rsidRPr="009A4D3F" w:rsidRDefault="00D86A11" w:rsidP="00D86A11">
            <w:pPr>
              <w:spacing w:after="0" w:line="240" w:lineRule="auto"/>
              <w:rPr>
                <w:rFonts w:ascii="Calibri" w:eastAsia="Calibri" w:hAnsi="Calibri" w:cs="Arial"/>
                <w:b/>
                <w:bCs/>
                <w:color w:val="auto"/>
                <w:szCs w:val="22"/>
              </w:rPr>
            </w:pPr>
            <w:r w:rsidRPr="009A4D3F">
              <w:rPr>
                <w:rFonts w:ascii="Calibri" w:eastAsia="Calibri" w:hAnsi="Calibri" w:cs="Arial"/>
                <w:b/>
                <w:bCs/>
                <w:color w:val="auto"/>
                <w:szCs w:val="22"/>
              </w:rPr>
              <w:t>Cause</w:t>
            </w:r>
          </w:p>
        </w:tc>
        <w:tc>
          <w:tcPr>
            <w:tcW w:w="1440" w:type="dxa"/>
            <w:shd w:val="clear" w:color="auto" w:fill="013161"/>
            <w:vAlign w:val="center"/>
          </w:tcPr>
          <w:p w:rsidR="00D86A11" w:rsidRPr="009A4D3F" w:rsidRDefault="00D86A11" w:rsidP="00D86A11">
            <w:pPr>
              <w:spacing w:after="0" w:line="240" w:lineRule="auto"/>
              <w:jc w:val="center"/>
              <w:rPr>
                <w:rFonts w:ascii="Calibri" w:eastAsia="Calibri" w:hAnsi="Calibri" w:cs="Arial"/>
                <w:color w:val="auto"/>
                <w:szCs w:val="22"/>
              </w:rPr>
            </w:pPr>
          </w:p>
        </w:tc>
        <w:tc>
          <w:tcPr>
            <w:tcW w:w="1440" w:type="dxa"/>
            <w:shd w:val="clear" w:color="auto" w:fill="013161"/>
            <w:vAlign w:val="center"/>
          </w:tcPr>
          <w:p w:rsidR="00D86A11" w:rsidRPr="009A4D3F" w:rsidRDefault="00D86A11" w:rsidP="00D86A11">
            <w:pPr>
              <w:spacing w:after="0" w:line="240" w:lineRule="auto"/>
              <w:jc w:val="center"/>
              <w:rPr>
                <w:rFonts w:ascii="Calibri" w:eastAsia="Calibri" w:hAnsi="Calibri" w:cs="Arial"/>
                <w:b/>
                <w:color w:val="auto"/>
                <w:szCs w:val="22"/>
              </w:rPr>
            </w:pPr>
            <w:r>
              <w:rPr>
                <w:rFonts w:ascii="Calibri" w:eastAsia="Calibri" w:hAnsi="Calibri" w:cs="Arial"/>
                <w:b/>
                <w:color w:val="auto"/>
                <w:szCs w:val="22"/>
              </w:rPr>
              <w:t>&lt; 1 Year</w:t>
            </w:r>
            <w:r w:rsidRPr="009A4D3F">
              <w:rPr>
                <w:rFonts w:ascii="Calibri" w:eastAsia="Calibri" w:hAnsi="Calibri" w:cs="Arial"/>
                <w:b/>
                <w:color w:val="auto"/>
                <w:szCs w:val="22"/>
              </w:rPr>
              <w:t xml:space="preserve"> </w:t>
            </w:r>
          </w:p>
        </w:tc>
        <w:tc>
          <w:tcPr>
            <w:tcW w:w="1710" w:type="dxa"/>
            <w:shd w:val="clear" w:color="auto" w:fill="013161"/>
            <w:vAlign w:val="center"/>
          </w:tcPr>
          <w:p w:rsidR="00D86A11" w:rsidRPr="009A4D3F" w:rsidRDefault="00D86A11" w:rsidP="00D86A11">
            <w:pPr>
              <w:spacing w:after="0" w:line="240" w:lineRule="auto"/>
              <w:jc w:val="center"/>
              <w:rPr>
                <w:rFonts w:ascii="Calibri" w:eastAsia="Calibri" w:hAnsi="Calibri" w:cs="Arial"/>
                <w:b/>
                <w:color w:val="auto"/>
                <w:szCs w:val="22"/>
              </w:rPr>
            </w:pPr>
            <w:r>
              <w:rPr>
                <w:rFonts w:ascii="Calibri" w:eastAsia="Calibri" w:hAnsi="Calibri" w:cs="Arial"/>
                <w:b/>
                <w:color w:val="auto"/>
                <w:szCs w:val="22"/>
              </w:rPr>
              <w:t>1</w:t>
            </w:r>
            <w:r w:rsidRPr="009A4D3F">
              <w:rPr>
                <w:rFonts w:ascii="Calibri" w:eastAsia="Calibri" w:hAnsi="Calibri" w:cs="Arial"/>
                <w:b/>
                <w:color w:val="auto"/>
                <w:szCs w:val="22"/>
              </w:rPr>
              <w:t xml:space="preserve"> to 12 Years</w:t>
            </w:r>
          </w:p>
        </w:tc>
        <w:tc>
          <w:tcPr>
            <w:tcW w:w="1980" w:type="dxa"/>
            <w:shd w:val="clear" w:color="auto" w:fill="013161"/>
            <w:vAlign w:val="center"/>
          </w:tcPr>
          <w:p w:rsidR="00D86A11" w:rsidRPr="009A4D3F" w:rsidRDefault="00D86A11" w:rsidP="00D86A11">
            <w:pPr>
              <w:spacing w:after="0" w:line="240" w:lineRule="auto"/>
              <w:jc w:val="center"/>
              <w:rPr>
                <w:rFonts w:ascii="Calibri" w:eastAsia="Calibri" w:hAnsi="Calibri" w:cs="Arial"/>
                <w:b/>
                <w:color w:val="auto"/>
                <w:szCs w:val="22"/>
              </w:rPr>
            </w:pPr>
            <w:r w:rsidRPr="009A4D3F">
              <w:rPr>
                <w:rFonts w:ascii="Calibri" w:eastAsia="Calibri" w:hAnsi="Calibri" w:cs="Arial"/>
                <w:b/>
                <w:color w:val="auto"/>
                <w:szCs w:val="22"/>
              </w:rPr>
              <w:t>13 to 17 Years</w:t>
            </w:r>
            <w:r>
              <w:rPr>
                <w:rStyle w:val="FootnoteReference"/>
                <w:rFonts w:ascii="Calibri" w:eastAsia="Calibri" w:hAnsi="Calibri" w:cs="Arial"/>
                <w:b/>
                <w:color w:val="auto"/>
                <w:szCs w:val="22"/>
              </w:rPr>
              <w:footnoteReference w:id="5"/>
            </w:r>
          </w:p>
        </w:tc>
        <w:tc>
          <w:tcPr>
            <w:tcW w:w="900" w:type="dxa"/>
            <w:shd w:val="clear" w:color="auto" w:fill="013161"/>
            <w:vAlign w:val="center"/>
          </w:tcPr>
          <w:p w:rsidR="00D86A11" w:rsidRPr="009A4D3F" w:rsidRDefault="00D86A11" w:rsidP="00D86A11">
            <w:pPr>
              <w:spacing w:after="0" w:line="240" w:lineRule="auto"/>
              <w:jc w:val="center"/>
              <w:rPr>
                <w:rFonts w:ascii="Calibri" w:eastAsia="Calibri" w:hAnsi="Calibri" w:cs="Arial"/>
                <w:b/>
                <w:bCs/>
                <w:color w:val="auto"/>
                <w:szCs w:val="22"/>
              </w:rPr>
            </w:pPr>
            <w:r w:rsidRPr="009A4D3F">
              <w:rPr>
                <w:rFonts w:ascii="Calibri" w:eastAsia="Calibri" w:hAnsi="Calibri" w:cs="Arial"/>
                <w:b/>
                <w:bCs/>
                <w:color w:val="auto"/>
                <w:szCs w:val="22"/>
              </w:rPr>
              <w:t>Total</w:t>
            </w:r>
          </w:p>
        </w:tc>
      </w:tr>
      <w:tr w:rsidR="00D86A11" w:rsidRPr="009A4D3F">
        <w:trPr>
          <w:trHeight w:val="187"/>
        </w:trPr>
        <w:tc>
          <w:tcPr>
            <w:tcW w:w="1728" w:type="dxa"/>
            <w:vMerge w:val="restart"/>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Accident</w:t>
            </w:r>
          </w:p>
        </w:tc>
        <w:tc>
          <w:tcPr>
            <w:tcW w:w="1440" w:type="dxa"/>
            <w:shd w:val="clear" w:color="auto" w:fill="DBE5F1"/>
          </w:tcPr>
          <w:p w:rsidR="00D86A11" w:rsidRPr="00C254CE"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C254CE">
              <w:rPr>
                <w:rFonts w:ascii="Calibri" w:eastAsia="Calibri" w:hAnsi="Calibri" w:cs="Arial"/>
                <w:b/>
                <w:color w:val="013161"/>
                <w:sz w:val="20"/>
                <w:szCs w:val="22"/>
              </w:rPr>
              <w:t>2011</w:t>
            </w:r>
          </w:p>
        </w:tc>
        <w:tc>
          <w:tcPr>
            <w:tcW w:w="144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2</w:t>
            </w:r>
          </w:p>
        </w:tc>
        <w:tc>
          <w:tcPr>
            <w:tcW w:w="171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16</w:t>
            </w:r>
          </w:p>
        </w:tc>
        <w:tc>
          <w:tcPr>
            <w:tcW w:w="198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n/a</w:t>
            </w:r>
          </w:p>
        </w:tc>
        <w:tc>
          <w:tcPr>
            <w:tcW w:w="90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18</w:t>
            </w:r>
          </w:p>
        </w:tc>
      </w:tr>
      <w:tr w:rsidR="00D86A11" w:rsidRPr="009A4D3F">
        <w:trPr>
          <w:trHeight w:val="187"/>
        </w:trPr>
        <w:tc>
          <w:tcPr>
            <w:tcW w:w="1728" w:type="dxa"/>
            <w:vMerge/>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p>
        </w:tc>
        <w:tc>
          <w:tcPr>
            <w:tcW w:w="1440" w:type="dxa"/>
            <w:shd w:val="clear" w:color="auto" w:fill="DBE5F1"/>
          </w:tcPr>
          <w:p w:rsidR="00D86A11" w:rsidRPr="00C254CE"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C254CE">
              <w:rPr>
                <w:rFonts w:ascii="Calibri" w:eastAsia="Calibri" w:hAnsi="Calibri" w:cs="Arial"/>
                <w:b/>
                <w:color w:val="013161"/>
                <w:sz w:val="20"/>
                <w:szCs w:val="22"/>
              </w:rPr>
              <w:t>2014</w:t>
            </w:r>
          </w:p>
        </w:tc>
        <w:tc>
          <w:tcPr>
            <w:tcW w:w="144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4</w:t>
            </w:r>
          </w:p>
        </w:tc>
        <w:tc>
          <w:tcPr>
            <w:tcW w:w="171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16</w:t>
            </w:r>
          </w:p>
        </w:tc>
        <w:tc>
          <w:tcPr>
            <w:tcW w:w="198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8</w:t>
            </w:r>
          </w:p>
        </w:tc>
        <w:tc>
          <w:tcPr>
            <w:tcW w:w="90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28</w:t>
            </w:r>
          </w:p>
        </w:tc>
      </w:tr>
      <w:tr w:rsidR="00D86A11" w:rsidRPr="009A4D3F">
        <w:trPr>
          <w:trHeight w:val="267"/>
        </w:trPr>
        <w:tc>
          <w:tcPr>
            <w:tcW w:w="1728" w:type="dxa"/>
            <w:vMerge w:val="restart"/>
            <w:shd w:val="clear" w:color="auto" w:fill="auto"/>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Homicide</w:t>
            </w:r>
          </w:p>
        </w:tc>
        <w:tc>
          <w:tcPr>
            <w:tcW w:w="1440" w:type="dxa"/>
            <w:shd w:val="clear" w:color="auto" w:fill="auto"/>
          </w:tcPr>
          <w:p w:rsidR="00D86A11" w:rsidRPr="00C254CE"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C254CE">
              <w:rPr>
                <w:rFonts w:ascii="Calibri" w:eastAsia="Calibri" w:hAnsi="Calibri" w:cs="Arial"/>
                <w:b/>
                <w:color w:val="013161"/>
                <w:sz w:val="20"/>
                <w:szCs w:val="22"/>
              </w:rPr>
              <w:t>2011</w:t>
            </w:r>
          </w:p>
        </w:tc>
        <w:tc>
          <w:tcPr>
            <w:tcW w:w="144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w:t>
            </w:r>
          </w:p>
        </w:tc>
        <w:tc>
          <w:tcPr>
            <w:tcW w:w="171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6</w:t>
            </w:r>
          </w:p>
        </w:tc>
        <w:tc>
          <w:tcPr>
            <w:tcW w:w="198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n/a</w:t>
            </w:r>
          </w:p>
        </w:tc>
        <w:tc>
          <w:tcPr>
            <w:tcW w:w="90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7</w:t>
            </w:r>
          </w:p>
        </w:tc>
      </w:tr>
      <w:tr w:rsidR="00D86A11" w:rsidRPr="009A4D3F">
        <w:trPr>
          <w:trHeight w:val="267"/>
        </w:trPr>
        <w:tc>
          <w:tcPr>
            <w:tcW w:w="1728" w:type="dxa"/>
            <w:vMerge/>
            <w:shd w:val="clear" w:color="auto" w:fill="auto"/>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p>
        </w:tc>
        <w:tc>
          <w:tcPr>
            <w:tcW w:w="1440" w:type="dxa"/>
            <w:shd w:val="clear" w:color="auto" w:fill="auto"/>
          </w:tcPr>
          <w:p w:rsidR="00D86A11" w:rsidRPr="00C254CE"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C254CE">
              <w:rPr>
                <w:rFonts w:ascii="Calibri" w:eastAsia="Calibri" w:hAnsi="Calibri" w:cs="Arial"/>
                <w:b/>
                <w:color w:val="013161"/>
                <w:sz w:val="20"/>
                <w:szCs w:val="22"/>
              </w:rPr>
              <w:t>2014</w:t>
            </w:r>
          </w:p>
        </w:tc>
        <w:tc>
          <w:tcPr>
            <w:tcW w:w="144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w:t>
            </w:r>
          </w:p>
        </w:tc>
        <w:tc>
          <w:tcPr>
            <w:tcW w:w="171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2</w:t>
            </w:r>
          </w:p>
        </w:tc>
        <w:tc>
          <w:tcPr>
            <w:tcW w:w="198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0</w:t>
            </w:r>
          </w:p>
        </w:tc>
        <w:tc>
          <w:tcPr>
            <w:tcW w:w="90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3</w:t>
            </w:r>
          </w:p>
        </w:tc>
      </w:tr>
      <w:tr w:rsidR="00D86A11" w:rsidRPr="009A4D3F">
        <w:trPr>
          <w:trHeight w:val="254"/>
        </w:trPr>
        <w:tc>
          <w:tcPr>
            <w:tcW w:w="1728" w:type="dxa"/>
            <w:vMerge w:val="restart"/>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SIDS</w:t>
            </w:r>
          </w:p>
        </w:tc>
        <w:tc>
          <w:tcPr>
            <w:tcW w:w="1440" w:type="dxa"/>
            <w:shd w:val="clear" w:color="auto" w:fill="DBE5F1"/>
          </w:tcPr>
          <w:p w:rsidR="00D86A11" w:rsidRPr="00C254CE"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C254CE">
              <w:rPr>
                <w:rFonts w:ascii="Calibri" w:eastAsia="Calibri" w:hAnsi="Calibri" w:cs="Arial"/>
                <w:b/>
                <w:color w:val="013161"/>
                <w:sz w:val="20"/>
                <w:szCs w:val="22"/>
              </w:rPr>
              <w:t>2011</w:t>
            </w:r>
          </w:p>
        </w:tc>
        <w:tc>
          <w:tcPr>
            <w:tcW w:w="144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8</w:t>
            </w:r>
          </w:p>
        </w:tc>
        <w:tc>
          <w:tcPr>
            <w:tcW w:w="171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0</w:t>
            </w:r>
          </w:p>
        </w:tc>
        <w:tc>
          <w:tcPr>
            <w:tcW w:w="198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n/a</w:t>
            </w:r>
          </w:p>
        </w:tc>
        <w:tc>
          <w:tcPr>
            <w:tcW w:w="90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8</w:t>
            </w:r>
          </w:p>
        </w:tc>
      </w:tr>
      <w:tr w:rsidR="00D86A11" w:rsidRPr="009A4D3F">
        <w:trPr>
          <w:trHeight w:val="254"/>
        </w:trPr>
        <w:tc>
          <w:tcPr>
            <w:tcW w:w="1728" w:type="dxa"/>
            <w:vMerge/>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p>
        </w:tc>
        <w:tc>
          <w:tcPr>
            <w:tcW w:w="1440" w:type="dxa"/>
            <w:shd w:val="clear" w:color="auto" w:fill="DBE5F1"/>
          </w:tcPr>
          <w:p w:rsidR="00D86A11" w:rsidRPr="00C254CE"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C254CE">
              <w:rPr>
                <w:rFonts w:ascii="Calibri" w:eastAsia="Calibri" w:hAnsi="Calibri" w:cs="Arial"/>
                <w:b/>
                <w:color w:val="013161"/>
                <w:sz w:val="20"/>
                <w:szCs w:val="22"/>
              </w:rPr>
              <w:t>2014</w:t>
            </w:r>
          </w:p>
        </w:tc>
        <w:tc>
          <w:tcPr>
            <w:tcW w:w="144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9</w:t>
            </w:r>
          </w:p>
        </w:tc>
        <w:tc>
          <w:tcPr>
            <w:tcW w:w="171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0</w:t>
            </w:r>
          </w:p>
        </w:tc>
        <w:tc>
          <w:tcPr>
            <w:tcW w:w="198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0</w:t>
            </w:r>
          </w:p>
        </w:tc>
        <w:tc>
          <w:tcPr>
            <w:tcW w:w="90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9</w:t>
            </w:r>
          </w:p>
        </w:tc>
      </w:tr>
      <w:tr w:rsidR="00D86A11" w:rsidRPr="009A4D3F">
        <w:trPr>
          <w:trHeight w:val="288"/>
        </w:trPr>
        <w:tc>
          <w:tcPr>
            <w:tcW w:w="1728" w:type="dxa"/>
            <w:vMerge w:val="restart"/>
            <w:shd w:val="clear" w:color="auto" w:fill="auto"/>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Other Natural</w:t>
            </w:r>
          </w:p>
        </w:tc>
        <w:tc>
          <w:tcPr>
            <w:tcW w:w="1440" w:type="dxa"/>
            <w:shd w:val="clear" w:color="auto" w:fill="auto"/>
          </w:tcPr>
          <w:p w:rsidR="00D86A11" w:rsidRPr="00C254CE"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C254CE">
              <w:rPr>
                <w:rFonts w:ascii="Calibri" w:eastAsia="Calibri" w:hAnsi="Calibri" w:cs="Arial"/>
                <w:b/>
                <w:color w:val="013161"/>
                <w:sz w:val="20"/>
                <w:szCs w:val="22"/>
              </w:rPr>
              <w:t>2011</w:t>
            </w:r>
          </w:p>
        </w:tc>
        <w:tc>
          <w:tcPr>
            <w:tcW w:w="144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8</w:t>
            </w:r>
          </w:p>
        </w:tc>
        <w:tc>
          <w:tcPr>
            <w:tcW w:w="171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6</w:t>
            </w:r>
          </w:p>
        </w:tc>
        <w:tc>
          <w:tcPr>
            <w:tcW w:w="198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n/a</w:t>
            </w:r>
          </w:p>
        </w:tc>
        <w:tc>
          <w:tcPr>
            <w:tcW w:w="90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14</w:t>
            </w:r>
          </w:p>
        </w:tc>
      </w:tr>
      <w:tr w:rsidR="00D86A11" w:rsidRPr="009A4D3F">
        <w:trPr>
          <w:trHeight w:val="288"/>
        </w:trPr>
        <w:tc>
          <w:tcPr>
            <w:tcW w:w="1728" w:type="dxa"/>
            <w:vMerge/>
            <w:shd w:val="clear" w:color="auto" w:fill="auto"/>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p>
        </w:tc>
        <w:tc>
          <w:tcPr>
            <w:tcW w:w="1440" w:type="dxa"/>
            <w:shd w:val="clear" w:color="auto" w:fill="auto"/>
          </w:tcPr>
          <w:p w:rsidR="00D86A11" w:rsidRPr="00C254CE"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C254CE">
              <w:rPr>
                <w:rFonts w:ascii="Calibri" w:eastAsia="Calibri" w:hAnsi="Calibri" w:cs="Arial"/>
                <w:b/>
                <w:color w:val="013161"/>
                <w:sz w:val="20"/>
                <w:szCs w:val="22"/>
              </w:rPr>
              <w:t>2014</w:t>
            </w:r>
          </w:p>
        </w:tc>
        <w:tc>
          <w:tcPr>
            <w:tcW w:w="144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5</w:t>
            </w:r>
          </w:p>
        </w:tc>
        <w:tc>
          <w:tcPr>
            <w:tcW w:w="171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2</w:t>
            </w:r>
          </w:p>
        </w:tc>
        <w:tc>
          <w:tcPr>
            <w:tcW w:w="198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2</w:t>
            </w:r>
          </w:p>
        </w:tc>
        <w:tc>
          <w:tcPr>
            <w:tcW w:w="90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9</w:t>
            </w:r>
          </w:p>
        </w:tc>
      </w:tr>
      <w:tr w:rsidR="00D86A11" w:rsidRPr="009A4D3F">
        <w:trPr>
          <w:trHeight w:val="267"/>
        </w:trPr>
        <w:tc>
          <w:tcPr>
            <w:tcW w:w="1728" w:type="dxa"/>
            <w:vMerge w:val="restart"/>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highlight w:val="yellow"/>
              </w:rPr>
            </w:pPr>
            <w:r w:rsidRPr="009A4D3F">
              <w:rPr>
                <w:rFonts w:ascii="Calibri" w:eastAsia="Calibri" w:hAnsi="Calibri" w:cs="Arial"/>
                <w:b/>
                <w:bCs/>
                <w:color w:val="013161"/>
                <w:sz w:val="20"/>
                <w:szCs w:val="22"/>
              </w:rPr>
              <w:t>Suicide</w:t>
            </w:r>
          </w:p>
        </w:tc>
        <w:tc>
          <w:tcPr>
            <w:tcW w:w="1440" w:type="dxa"/>
            <w:shd w:val="clear" w:color="auto" w:fill="DBE5F1"/>
          </w:tcPr>
          <w:p w:rsidR="00D86A11" w:rsidRPr="00C254CE"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C254CE">
              <w:rPr>
                <w:rFonts w:ascii="Calibri" w:eastAsia="Calibri" w:hAnsi="Calibri" w:cs="Arial"/>
                <w:b/>
                <w:color w:val="013161"/>
                <w:sz w:val="20"/>
                <w:szCs w:val="22"/>
              </w:rPr>
              <w:t>2011</w:t>
            </w:r>
          </w:p>
        </w:tc>
        <w:tc>
          <w:tcPr>
            <w:tcW w:w="144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0</w:t>
            </w:r>
          </w:p>
        </w:tc>
        <w:tc>
          <w:tcPr>
            <w:tcW w:w="171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1</w:t>
            </w:r>
          </w:p>
        </w:tc>
        <w:tc>
          <w:tcPr>
            <w:tcW w:w="198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n/a</w:t>
            </w:r>
          </w:p>
        </w:tc>
        <w:tc>
          <w:tcPr>
            <w:tcW w:w="90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w:t>
            </w:r>
          </w:p>
        </w:tc>
      </w:tr>
      <w:tr w:rsidR="00D86A11" w:rsidRPr="009A4D3F">
        <w:trPr>
          <w:trHeight w:val="267"/>
        </w:trPr>
        <w:tc>
          <w:tcPr>
            <w:tcW w:w="1728" w:type="dxa"/>
            <w:vMerge/>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p>
        </w:tc>
        <w:tc>
          <w:tcPr>
            <w:tcW w:w="1440" w:type="dxa"/>
            <w:shd w:val="clear" w:color="auto" w:fill="DBE5F1"/>
          </w:tcPr>
          <w:p w:rsidR="00D86A11" w:rsidRPr="00C254CE"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C254CE">
              <w:rPr>
                <w:rFonts w:ascii="Calibri" w:eastAsia="Calibri" w:hAnsi="Calibri" w:cs="Arial"/>
                <w:b/>
                <w:color w:val="013161"/>
                <w:sz w:val="20"/>
                <w:szCs w:val="22"/>
              </w:rPr>
              <w:t>2014</w:t>
            </w:r>
          </w:p>
        </w:tc>
        <w:tc>
          <w:tcPr>
            <w:tcW w:w="144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0</w:t>
            </w:r>
          </w:p>
        </w:tc>
        <w:tc>
          <w:tcPr>
            <w:tcW w:w="171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2</w:t>
            </w:r>
          </w:p>
        </w:tc>
        <w:tc>
          <w:tcPr>
            <w:tcW w:w="198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4</w:t>
            </w:r>
          </w:p>
        </w:tc>
        <w:tc>
          <w:tcPr>
            <w:tcW w:w="90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6</w:t>
            </w:r>
          </w:p>
        </w:tc>
      </w:tr>
      <w:tr w:rsidR="00D86A11" w:rsidRPr="009A4D3F">
        <w:trPr>
          <w:trHeight w:val="297"/>
        </w:trPr>
        <w:tc>
          <w:tcPr>
            <w:tcW w:w="1728" w:type="dxa"/>
            <w:vMerge w:val="restart"/>
            <w:shd w:val="clear" w:color="auto" w:fill="auto"/>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Undetermined</w:t>
            </w:r>
          </w:p>
        </w:tc>
        <w:tc>
          <w:tcPr>
            <w:tcW w:w="1440" w:type="dxa"/>
            <w:shd w:val="clear" w:color="auto" w:fill="auto"/>
          </w:tcPr>
          <w:p w:rsidR="00D86A11" w:rsidRPr="00C254CE"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C254CE">
              <w:rPr>
                <w:rFonts w:ascii="Calibri" w:eastAsia="Calibri" w:hAnsi="Calibri" w:cs="Arial"/>
                <w:b/>
                <w:color w:val="013161"/>
                <w:sz w:val="20"/>
                <w:szCs w:val="22"/>
              </w:rPr>
              <w:t>2011</w:t>
            </w:r>
          </w:p>
        </w:tc>
        <w:tc>
          <w:tcPr>
            <w:tcW w:w="144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5</w:t>
            </w:r>
          </w:p>
        </w:tc>
        <w:tc>
          <w:tcPr>
            <w:tcW w:w="171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2</w:t>
            </w:r>
          </w:p>
        </w:tc>
        <w:tc>
          <w:tcPr>
            <w:tcW w:w="198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n/a</w:t>
            </w:r>
          </w:p>
        </w:tc>
        <w:tc>
          <w:tcPr>
            <w:tcW w:w="90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7</w:t>
            </w:r>
          </w:p>
        </w:tc>
      </w:tr>
      <w:tr w:rsidR="00D86A11" w:rsidRPr="009A4D3F">
        <w:trPr>
          <w:trHeight w:val="297"/>
        </w:trPr>
        <w:tc>
          <w:tcPr>
            <w:tcW w:w="1728" w:type="dxa"/>
            <w:vMerge/>
            <w:shd w:val="clear" w:color="auto" w:fill="auto"/>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p>
        </w:tc>
        <w:tc>
          <w:tcPr>
            <w:tcW w:w="1440" w:type="dxa"/>
            <w:shd w:val="clear" w:color="auto" w:fill="auto"/>
          </w:tcPr>
          <w:p w:rsidR="00D86A11" w:rsidRPr="00C254CE"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C254CE">
              <w:rPr>
                <w:rFonts w:ascii="Calibri" w:eastAsia="Calibri" w:hAnsi="Calibri" w:cs="Arial"/>
                <w:b/>
                <w:color w:val="013161"/>
                <w:sz w:val="20"/>
                <w:szCs w:val="22"/>
              </w:rPr>
              <w:t>2014</w:t>
            </w:r>
          </w:p>
        </w:tc>
        <w:tc>
          <w:tcPr>
            <w:tcW w:w="144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5</w:t>
            </w:r>
          </w:p>
        </w:tc>
        <w:tc>
          <w:tcPr>
            <w:tcW w:w="171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2</w:t>
            </w:r>
          </w:p>
        </w:tc>
        <w:tc>
          <w:tcPr>
            <w:tcW w:w="198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0</w:t>
            </w:r>
          </w:p>
        </w:tc>
        <w:tc>
          <w:tcPr>
            <w:tcW w:w="900" w:type="dxa"/>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7</w:t>
            </w:r>
          </w:p>
        </w:tc>
      </w:tr>
      <w:tr w:rsidR="00D86A11" w:rsidRPr="009A4D3F">
        <w:trPr>
          <w:trHeight w:val="297"/>
        </w:trPr>
        <w:tc>
          <w:tcPr>
            <w:tcW w:w="1728" w:type="dxa"/>
            <w:vMerge w:val="restart"/>
            <w:shd w:val="clear" w:color="auto" w:fill="DBE5F1"/>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9A4D3F">
              <w:rPr>
                <w:rFonts w:ascii="Calibri" w:eastAsia="Calibri" w:hAnsi="Calibri" w:cs="Arial"/>
                <w:b/>
                <w:bCs/>
                <w:color w:val="013161"/>
                <w:sz w:val="20"/>
                <w:szCs w:val="22"/>
              </w:rPr>
              <w:t>Total</w:t>
            </w:r>
          </w:p>
        </w:tc>
        <w:tc>
          <w:tcPr>
            <w:tcW w:w="1440" w:type="dxa"/>
            <w:shd w:val="clear" w:color="auto" w:fill="DBE5F1"/>
          </w:tcPr>
          <w:p w:rsidR="00D86A11" w:rsidRPr="00E26673"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E26673">
              <w:rPr>
                <w:rFonts w:ascii="Calibri" w:eastAsia="Calibri" w:hAnsi="Calibri" w:cs="Arial"/>
                <w:b/>
                <w:color w:val="013161"/>
                <w:sz w:val="20"/>
                <w:szCs w:val="22"/>
              </w:rPr>
              <w:t>2011</w:t>
            </w:r>
          </w:p>
        </w:tc>
        <w:tc>
          <w:tcPr>
            <w:tcW w:w="144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24</w:t>
            </w:r>
          </w:p>
        </w:tc>
        <w:tc>
          <w:tcPr>
            <w:tcW w:w="171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9A4D3F">
              <w:rPr>
                <w:rFonts w:ascii="Calibri" w:eastAsia="Calibri" w:hAnsi="Calibri" w:cs="Arial"/>
                <w:b/>
                <w:color w:val="013161"/>
                <w:sz w:val="20"/>
                <w:szCs w:val="22"/>
              </w:rPr>
              <w:t>31</w:t>
            </w:r>
          </w:p>
        </w:tc>
        <w:tc>
          <w:tcPr>
            <w:tcW w:w="198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color w:val="013161"/>
                <w:sz w:val="20"/>
                <w:szCs w:val="22"/>
              </w:rPr>
            </w:pPr>
            <w:r w:rsidRPr="009A4D3F">
              <w:rPr>
                <w:rFonts w:ascii="Calibri" w:eastAsia="Calibri" w:hAnsi="Calibri" w:cs="Arial"/>
                <w:color w:val="013161"/>
                <w:sz w:val="20"/>
                <w:szCs w:val="22"/>
              </w:rPr>
              <w:t>n/a</w:t>
            </w:r>
          </w:p>
        </w:tc>
        <w:tc>
          <w:tcPr>
            <w:tcW w:w="90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55</w:t>
            </w:r>
          </w:p>
        </w:tc>
      </w:tr>
      <w:tr w:rsidR="00D86A11" w:rsidRPr="009A4D3F">
        <w:trPr>
          <w:trHeight w:val="297"/>
        </w:trPr>
        <w:tc>
          <w:tcPr>
            <w:tcW w:w="1728" w:type="dxa"/>
            <w:vMerge/>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p>
        </w:tc>
        <w:tc>
          <w:tcPr>
            <w:tcW w:w="144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2014</w:t>
            </w:r>
          </w:p>
        </w:tc>
        <w:tc>
          <w:tcPr>
            <w:tcW w:w="144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24</w:t>
            </w:r>
          </w:p>
        </w:tc>
        <w:tc>
          <w:tcPr>
            <w:tcW w:w="171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24</w:t>
            </w:r>
          </w:p>
        </w:tc>
        <w:tc>
          <w:tcPr>
            <w:tcW w:w="198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14</w:t>
            </w:r>
          </w:p>
        </w:tc>
        <w:tc>
          <w:tcPr>
            <w:tcW w:w="900" w:type="dxa"/>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9A4D3F">
              <w:rPr>
                <w:rFonts w:ascii="Calibri" w:eastAsia="Calibri" w:hAnsi="Calibri" w:cs="Arial"/>
                <w:b/>
                <w:bCs/>
                <w:color w:val="013161"/>
                <w:sz w:val="20"/>
                <w:szCs w:val="22"/>
              </w:rPr>
              <w:t>62</w:t>
            </w:r>
          </w:p>
        </w:tc>
      </w:tr>
    </w:tbl>
    <w:p w:rsidR="00D86A11" w:rsidRPr="009D395B" w:rsidRDefault="00D86A11" w:rsidP="00D86A11">
      <w:pPr>
        <w:rPr>
          <w:sz w:val="4"/>
        </w:rPr>
      </w:pPr>
    </w:p>
    <w:p w:rsidR="00D86A11" w:rsidRPr="004A07DC" w:rsidRDefault="00D86A11" w:rsidP="00D86A11">
      <w:pPr>
        <w:pStyle w:val="Heading2"/>
        <w:rPr>
          <w:b w:val="0"/>
        </w:rPr>
      </w:pPr>
      <w:r>
        <w:rPr>
          <w:rStyle w:val="Heading1Char"/>
          <w:b/>
          <w:color w:val="F6872B"/>
          <w:sz w:val="24"/>
        </w:rPr>
        <w:t>Children with Disabilities</w:t>
      </w:r>
    </w:p>
    <w:p w:rsidR="00D4027F" w:rsidRDefault="00D86A11" w:rsidP="00D86A11">
      <w:pPr>
        <w:pStyle w:val="Heading3"/>
        <w:spacing w:line="276" w:lineRule="auto"/>
        <w:rPr>
          <w:b w:val="0"/>
          <w:color w:val="auto"/>
          <w:sz w:val="22"/>
        </w:rPr>
      </w:pPr>
      <w:r w:rsidRPr="002F7516">
        <w:rPr>
          <w:b w:val="0"/>
          <w:color w:val="auto"/>
          <w:sz w:val="22"/>
        </w:rPr>
        <w:t>The percent of children enrolled in special education has increased from 10.5% in 2010 to 12.0% in 2015. The most common disabilities include learning disabilities, speech/language impairments, other health impairments and autism.</w:t>
      </w:r>
      <w:r w:rsidR="00AD674E">
        <w:rPr>
          <w:b w:val="0"/>
          <w:color w:val="auto"/>
          <w:sz w:val="22"/>
          <w:szCs w:val="28"/>
        </w:rPr>
        <w:t xml:space="preserve">  It is possible that the increase in the number of children enrolled in special education is because there are more social workers utilizing the support of the education liaisons located in each child welfare office.  Social workers are referring to Head Start and Early Head Start more frequently which helps with the identi</w:t>
      </w:r>
      <w:r w:rsidR="00400CD8">
        <w:rPr>
          <w:b w:val="0"/>
          <w:color w:val="auto"/>
          <w:sz w:val="22"/>
          <w:szCs w:val="28"/>
        </w:rPr>
        <w:t xml:space="preserve">fication of special education needs.  Another consideration is that </w:t>
      </w:r>
      <w:r w:rsidR="00D4027F">
        <w:rPr>
          <w:b w:val="0"/>
          <w:color w:val="auto"/>
          <w:sz w:val="22"/>
          <w:szCs w:val="28"/>
        </w:rPr>
        <w:t>Court Appointed Special Advocates (</w:t>
      </w:r>
      <w:r w:rsidR="00400CD8">
        <w:rPr>
          <w:b w:val="0"/>
          <w:color w:val="auto"/>
          <w:sz w:val="22"/>
          <w:szCs w:val="28"/>
        </w:rPr>
        <w:t>CASA</w:t>
      </w:r>
      <w:r w:rsidR="00D4027F">
        <w:rPr>
          <w:b w:val="0"/>
          <w:color w:val="auto"/>
          <w:sz w:val="22"/>
          <w:szCs w:val="28"/>
        </w:rPr>
        <w:t>) have been assigned to be the educational rights holder more regularly and they are advocating for the child’s needs.</w:t>
      </w:r>
    </w:p>
    <w:p w:rsidR="00D86A11" w:rsidRPr="00AD52D0" w:rsidRDefault="00D86A11" w:rsidP="00D86A11">
      <w:pPr>
        <w:pStyle w:val="Heading3"/>
        <w:spacing w:line="276" w:lineRule="auto"/>
        <w:rPr>
          <w:b w:val="0"/>
          <w:color w:val="auto"/>
          <w:sz w:val="18"/>
          <w:szCs w:val="28"/>
        </w:rPr>
      </w:pPr>
    </w:p>
    <w:tbl>
      <w:tblPr>
        <w:tblW w:w="8928" w:type="dxa"/>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3420"/>
        <w:gridCol w:w="1350"/>
        <w:gridCol w:w="1381"/>
        <w:gridCol w:w="1247"/>
        <w:gridCol w:w="1530"/>
      </w:tblGrid>
      <w:tr w:rsidR="00D86A11" w:rsidRPr="009A4D3F">
        <w:trPr>
          <w:trHeight w:val="280"/>
        </w:trPr>
        <w:tc>
          <w:tcPr>
            <w:tcW w:w="8928" w:type="dxa"/>
            <w:gridSpan w:val="5"/>
            <w:tcBorders>
              <w:top w:val="single" w:sz="18" w:space="0" w:color="F6872B"/>
              <w:bottom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 w:val="24"/>
                <w:szCs w:val="22"/>
              </w:rPr>
              <w:t xml:space="preserve">Exhibit 19. County of San Diego </w:t>
            </w:r>
            <w:r w:rsidRPr="009A4D3F">
              <w:rPr>
                <w:rFonts w:ascii="Calibri" w:eastAsia="Calibri" w:hAnsi="Calibri" w:cs="Arial"/>
                <w:b/>
                <w:bCs/>
                <w:color w:val="FFFFFF"/>
                <w:sz w:val="24"/>
                <w:szCs w:val="22"/>
              </w:rPr>
              <w:t>Special Education Enrollment</w:t>
            </w:r>
            <w:r w:rsidRPr="009A4D3F">
              <w:rPr>
                <w:rFonts w:ascii="Calibri" w:eastAsia="Calibri" w:hAnsi="Calibri" w:cs="Arial"/>
                <w:b/>
                <w:bCs/>
                <w:color w:val="FFFFFF"/>
                <w:sz w:val="24"/>
                <w:szCs w:val="22"/>
                <w:vertAlign w:val="superscript"/>
              </w:rPr>
              <w:endnoteReference w:id="26"/>
            </w:r>
          </w:p>
        </w:tc>
      </w:tr>
      <w:tr w:rsidR="00D86A11" w:rsidRPr="009A4D3F">
        <w:trPr>
          <w:trHeight w:val="280"/>
        </w:trPr>
        <w:tc>
          <w:tcPr>
            <w:tcW w:w="3420" w:type="dxa"/>
            <w:tcBorders>
              <w:top w:val="nil"/>
              <w:left w:val="nil"/>
              <w:bottom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auto"/>
                <w:szCs w:val="22"/>
              </w:rPr>
            </w:pPr>
          </w:p>
        </w:tc>
        <w:tc>
          <w:tcPr>
            <w:tcW w:w="2731" w:type="dxa"/>
            <w:gridSpan w:val="2"/>
            <w:tcBorders>
              <w:top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color w:val="auto"/>
                <w:szCs w:val="22"/>
              </w:rPr>
            </w:pPr>
            <w:r w:rsidRPr="009A4D3F">
              <w:rPr>
                <w:rFonts w:ascii="Calibri" w:eastAsia="Calibri" w:hAnsi="Calibri" w:cs="Arial"/>
                <w:b/>
                <w:color w:val="auto"/>
                <w:szCs w:val="22"/>
              </w:rPr>
              <w:t>2010</w:t>
            </w:r>
          </w:p>
        </w:tc>
        <w:tc>
          <w:tcPr>
            <w:tcW w:w="2777" w:type="dxa"/>
            <w:gridSpan w:val="2"/>
            <w:tcBorders>
              <w:top w:val="nil"/>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auto"/>
                <w:szCs w:val="22"/>
              </w:rPr>
            </w:pPr>
            <w:r w:rsidRPr="009A4D3F">
              <w:rPr>
                <w:rFonts w:ascii="Calibri" w:eastAsia="Calibri" w:hAnsi="Calibri" w:cs="Arial"/>
                <w:b/>
                <w:bCs/>
                <w:color w:val="auto"/>
                <w:szCs w:val="22"/>
              </w:rPr>
              <w:t>2015</w:t>
            </w:r>
          </w:p>
        </w:tc>
      </w:tr>
      <w:tr w:rsidR="00D86A11" w:rsidRPr="009A4D3F">
        <w:trPr>
          <w:trHeight w:val="280"/>
        </w:trPr>
        <w:tc>
          <w:tcPr>
            <w:tcW w:w="3420" w:type="dxa"/>
            <w:tcBorders>
              <w:top w:val="nil"/>
              <w:left w:val="nil"/>
              <w:bottom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p>
        </w:tc>
        <w:tc>
          <w:tcPr>
            <w:tcW w:w="1350" w:type="dxa"/>
            <w:tcBorders>
              <w:top w:val="nil"/>
              <w:bottom w:val="nil"/>
            </w:tcBorders>
            <w:shd w:val="clear" w:color="auto" w:fill="013161"/>
          </w:tcPr>
          <w:p w:rsidR="00D86A11" w:rsidRPr="009A4D3F" w:rsidRDefault="00D86A11" w:rsidP="00D86A11">
            <w:pPr>
              <w:spacing w:after="0" w:line="240" w:lineRule="auto"/>
              <w:jc w:val="center"/>
              <w:rPr>
                <w:rFonts w:ascii="Calibri" w:eastAsia="Calibri" w:hAnsi="Calibri" w:cs="Arial"/>
                <w:b/>
                <w:color w:val="FFFFFF"/>
                <w:szCs w:val="22"/>
              </w:rPr>
            </w:pPr>
            <w:r w:rsidRPr="009A4D3F">
              <w:rPr>
                <w:rFonts w:ascii="Calibri" w:eastAsia="Calibri" w:hAnsi="Calibri" w:cs="Arial"/>
                <w:b/>
                <w:color w:val="FFFFFF"/>
                <w:szCs w:val="22"/>
              </w:rPr>
              <w:t>Count</w:t>
            </w:r>
          </w:p>
        </w:tc>
        <w:tc>
          <w:tcPr>
            <w:tcW w:w="1381" w:type="dxa"/>
            <w:tcBorders>
              <w:top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color w:val="FFFFFF"/>
                <w:szCs w:val="22"/>
              </w:rPr>
            </w:pPr>
            <w:r w:rsidRPr="009A4D3F">
              <w:rPr>
                <w:rFonts w:ascii="Calibri" w:eastAsia="Calibri" w:hAnsi="Calibri" w:cs="Arial"/>
                <w:b/>
                <w:color w:val="FFFFFF"/>
                <w:szCs w:val="22"/>
              </w:rPr>
              <w:t>Percentage</w:t>
            </w:r>
          </w:p>
        </w:tc>
        <w:tc>
          <w:tcPr>
            <w:tcW w:w="1247" w:type="dxa"/>
            <w:tcBorders>
              <w:top w:val="nil"/>
              <w:left w:val="nil"/>
              <w:bottom w:val="nil"/>
            </w:tcBorders>
            <w:shd w:val="clear" w:color="auto" w:fill="013161"/>
          </w:tcPr>
          <w:p w:rsidR="00D86A11" w:rsidRPr="009A4D3F" w:rsidRDefault="00D86A11" w:rsidP="00D86A11">
            <w:pPr>
              <w:spacing w:after="0" w:line="240" w:lineRule="auto"/>
              <w:jc w:val="center"/>
              <w:rPr>
                <w:rFonts w:ascii="Calibri" w:eastAsia="Calibri" w:hAnsi="Calibri" w:cs="Arial"/>
                <w:b/>
                <w:color w:val="FFFFFF"/>
                <w:szCs w:val="22"/>
              </w:rPr>
            </w:pPr>
            <w:r w:rsidRPr="009A4D3F">
              <w:rPr>
                <w:rFonts w:ascii="Calibri" w:eastAsia="Calibri" w:hAnsi="Calibri" w:cs="Arial"/>
                <w:b/>
                <w:color w:val="FFFFFF"/>
                <w:szCs w:val="22"/>
              </w:rPr>
              <w:t>Count</w:t>
            </w:r>
          </w:p>
        </w:tc>
        <w:tc>
          <w:tcPr>
            <w:tcW w:w="1530" w:type="dxa"/>
            <w:tcBorders>
              <w:top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sidRPr="009A4D3F">
              <w:rPr>
                <w:rFonts w:ascii="Calibri" w:eastAsia="Calibri" w:hAnsi="Calibri" w:cs="Arial"/>
                <w:b/>
                <w:bCs/>
                <w:color w:val="FFFFFF"/>
                <w:szCs w:val="22"/>
              </w:rPr>
              <w:t>Percentage</w:t>
            </w:r>
          </w:p>
        </w:tc>
      </w:tr>
      <w:tr w:rsidR="00D86A11" w:rsidRPr="009A4D3F">
        <w:trPr>
          <w:trHeight w:val="187"/>
        </w:trPr>
        <w:tc>
          <w:tcPr>
            <w:tcW w:w="3420" w:type="dxa"/>
            <w:tcBorders>
              <w:top w:val="nil"/>
              <w:left w:val="nil"/>
              <w:bottom w:val="nil"/>
            </w:tcBorders>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Children enrolled in special education</w:t>
            </w:r>
          </w:p>
        </w:tc>
        <w:tc>
          <w:tcPr>
            <w:tcW w:w="1350" w:type="dxa"/>
            <w:tcBorders>
              <w:top w:val="nil"/>
              <w:bottom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52,076</w:t>
            </w:r>
          </w:p>
        </w:tc>
        <w:tc>
          <w:tcPr>
            <w:tcW w:w="1381" w:type="dxa"/>
            <w:tcBorders>
              <w:top w:val="nil"/>
              <w:bottom w:val="nil"/>
              <w:right w:val="single" w:sz="12" w:space="0" w:color="F6872B"/>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10.5%</w:t>
            </w:r>
          </w:p>
        </w:tc>
        <w:tc>
          <w:tcPr>
            <w:tcW w:w="1247" w:type="dxa"/>
            <w:tcBorders>
              <w:top w:val="nil"/>
              <w:left w:val="single" w:sz="12" w:space="0" w:color="F6872B"/>
              <w:bottom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60,315</w:t>
            </w:r>
          </w:p>
        </w:tc>
        <w:tc>
          <w:tcPr>
            <w:tcW w:w="1530" w:type="dxa"/>
            <w:tcBorders>
              <w:top w:val="nil"/>
              <w:bottom w:val="nil"/>
              <w:right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12.0%</w:t>
            </w:r>
          </w:p>
        </w:tc>
      </w:tr>
      <w:tr w:rsidR="00D86A11" w:rsidRPr="009A4D3F">
        <w:trPr>
          <w:trHeight w:val="267"/>
        </w:trPr>
        <w:tc>
          <w:tcPr>
            <w:tcW w:w="3420" w:type="dxa"/>
            <w:tcBorders>
              <w:top w:val="nil"/>
              <w:left w:val="nil"/>
              <w:bottom w:val="nil"/>
            </w:tcBorders>
            <w:shd w:val="clear" w:color="auto" w:fill="auto"/>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 xml:space="preserve">     Autism</w:t>
            </w:r>
          </w:p>
        </w:tc>
        <w:tc>
          <w:tcPr>
            <w:tcW w:w="1350" w:type="dxa"/>
            <w:tcBorders>
              <w:top w:val="nil"/>
              <w:bottom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3,894</w:t>
            </w:r>
          </w:p>
        </w:tc>
        <w:tc>
          <w:tcPr>
            <w:tcW w:w="1381" w:type="dxa"/>
            <w:tcBorders>
              <w:top w:val="nil"/>
              <w:bottom w:val="nil"/>
              <w:right w:val="single" w:sz="12" w:space="0" w:color="F6872B"/>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7.5%</w:t>
            </w:r>
          </w:p>
        </w:tc>
        <w:tc>
          <w:tcPr>
            <w:tcW w:w="1247" w:type="dxa"/>
            <w:tcBorders>
              <w:top w:val="nil"/>
              <w:left w:val="single" w:sz="12" w:space="0" w:color="F6872B"/>
              <w:bottom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7,979</w:t>
            </w:r>
          </w:p>
        </w:tc>
        <w:tc>
          <w:tcPr>
            <w:tcW w:w="1530" w:type="dxa"/>
            <w:tcBorders>
              <w:top w:val="nil"/>
              <w:bottom w:val="nil"/>
              <w:right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13.2%</w:t>
            </w:r>
          </w:p>
        </w:tc>
      </w:tr>
      <w:tr w:rsidR="00D86A11" w:rsidRPr="009A4D3F">
        <w:trPr>
          <w:trHeight w:val="254"/>
        </w:trPr>
        <w:tc>
          <w:tcPr>
            <w:tcW w:w="3420" w:type="dxa"/>
            <w:tcBorders>
              <w:top w:val="nil"/>
              <w:left w:val="nil"/>
              <w:bottom w:val="nil"/>
            </w:tcBorders>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 xml:space="preserve">     Deaf</w:t>
            </w:r>
          </w:p>
        </w:tc>
        <w:tc>
          <w:tcPr>
            <w:tcW w:w="1350" w:type="dxa"/>
            <w:tcBorders>
              <w:top w:val="nil"/>
              <w:bottom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259</w:t>
            </w:r>
          </w:p>
        </w:tc>
        <w:tc>
          <w:tcPr>
            <w:tcW w:w="1381" w:type="dxa"/>
            <w:tcBorders>
              <w:top w:val="nil"/>
              <w:bottom w:val="nil"/>
              <w:right w:val="single" w:sz="12" w:space="0" w:color="F6872B"/>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0.5%</w:t>
            </w:r>
          </w:p>
        </w:tc>
        <w:tc>
          <w:tcPr>
            <w:tcW w:w="1247" w:type="dxa"/>
            <w:tcBorders>
              <w:top w:val="nil"/>
              <w:left w:val="single" w:sz="12" w:space="0" w:color="F6872B"/>
              <w:bottom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303</w:t>
            </w:r>
          </w:p>
        </w:tc>
        <w:tc>
          <w:tcPr>
            <w:tcW w:w="1530" w:type="dxa"/>
            <w:tcBorders>
              <w:top w:val="nil"/>
              <w:bottom w:val="nil"/>
              <w:right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0.5%</w:t>
            </w:r>
          </w:p>
        </w:tc>
      </w:tr>
      <w:tr w:rsidR="00D86A11" w:rsidRPr="009A4D3F">
        <w:trPr>
          <w:trHeight w:val="288"/>
        </w:trPr>
        <w:tc>
          <w:tcPr>
            <w:tcW w:w="3420" w:type="dxa"/>
            <w:tcBorders>
              <w:top w:val="nil"/>
              <w:left w:val="nil"/>
              <w:bottom w:val="nil"/>
            </w:tcBorders>
            <w:shd w:val="clear" w:color="auto" w:fill="auto"/>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 xml:space="preserve">     Deaf-Blindness</w:t>
            </w:r>
          </w:p>
        </w:tc>
        <w:tc>
          <w:tcPr>
            <w:tcW w:w="1350" w:type="dxa"/>
            <w:tcBorders>
              <w:top w:val="nil"/>
              <w:bottom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12</w:t>
            </w:r>
          </w:p>
        </w:tc>
        <w:tc>
          <w:tcPr>
            <w:tcW w:w="1381" w:type="dxa"/>
            <w:tcBorders>
              <w:top w:val="nil"/>
              <w:bottom w:val="nil"/>
              <w:right w:val="single" w:sz="12" w:space="0" w:color="F6872B"/>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0.0%</w:t>
            </w:r>
          </w:p>
        </w:tc>
        <w:tc>
          <w:tcPr>
            <w:tcW w:w="1247" w:type="dxa"/>
            <w:tcBorders>
              <w:top w:val="nil"/>
              <w:left w:val="single" w:sz="12" w:space="0" w:color="F6872B"/>
              <w:bottom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14</w:t>
            </w:r>
          </w:p>
        </w:tc>
        <w:tc>
          <w:tcPr>
            <w:tcW w:w="1530" w:type="dxa"/>
            <w:tcBorders>
              <w:top w:val="nil"/>
              <w:bottom w:val="nil"/>
              <w:right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0.0%</w:t>
            </w:r>
          </w:p>
        </w:tc>
      </w:tr>
      <w:tr w:rsidR="00D86A11" w:rsidRPr="009A4D3F">
        <w:trPr>
          <w:trHeight w:val="267"/>
        </w:trPr>
        <w:tc>
          <w:tcPr>
            <w:tcW w:w="3420" w:type="dxa"/>
            <w:tcBorders>
              <w:top w:val="nil"/>
              <w:left w:val="nil"/>
              <w:bottom w:val="nil"/>
            </w:tcBorders>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highlight w:val="yellow"/>
              </w:rPr>
            </w:pPr>
            <w:r w:rsidRPr="009A4D3F">
              <w:rPr>
                <w:rFonts w:ascii="Calibri" w:eastAsia="Calibri" w:hAnsi="Calibri" w:cs="Arial"/>
                <w:b/>
                <w:bCs/>
                <w:color w:val="013161"/>
                <w:sz w:val="20"/>
              </w:rPr>
              <w:t xml:space="preserve">     Emotional Disturbance</w:t>
            </w:r>
          </w:p>
        </w:tc>
        <w:tc>
          <w:tcPr>
            <w:tcW w:w="1350" w:type="dxa"/>
            <w:tcBorders>
              <w:top w:val="nil"/>
              <w:bottom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2,426</w:t>
            </w:r>
          </w:p>
        </w:tc>
        <w:tc>
          <w:tcPr>
            <w:tcW w:w="1381" w:type="dxa"/>
            <w:tcBorders>
              <w:top w:val="nil"/>
              <w:bottom w:val="nil"/>
              <w:right w:val="single" w:sz="12" w:space="0" w:color="F6872B"/>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4.7%</w:t>
            </w:r>
          </w:p>
        </w:tc>
        <w:tc>
          <w:tcPr>
            <w:tcW w:w="1247" w:type="dxa"/>
            <w:tcBorders>
              <w:top w:val="nil"/>
              <w:left w:val="single" w:sz="12" w:space="0" w:color="F6872B"/>
              <w:bottom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1,684</w:t>
            </w:r>
          </w:p>
        </w:tc>
        <w:tc>
          <w:tcPr>
            <w:tcW w:w="1530" w:type="dxa"/>
            <w:tcBorders>
              <w:top w:val="nil"/>
              <w:bottom w:val="nil"/>
              <w:right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2.8%</w:t>
            </w:r>
          </w:p>
        </w:tc>
      </w:tr>
      <w:tr w:rsidR="00D86A11" w:rsidRPr="009A4D3F">
        <w:trPr>
          <w:trHeight w:val="297"/>
        </w:trPr>
        <w:tc>
          <w:tcPr>
            <w:tcW w:w="3420" w:type="dxa"/>
            <w:tcBorders>
              <w:top w:val="nil"/>
              <w:left w:val="nil"/>
              <w:bottom w:val="nil"/>
            </w:tcBorders>
            <w:shd w:val="clear" w:color="auto" w:fill="auto"/>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 xml:space="preserve">     Hard of Hearing</w:t>
            </w:r>
          </w:p>
        </w:tc>
        <w:tc>
          <w:tcPr>
            <w:tcW w:w="1350" w:type="dxa"/>
            <w:tcBorders>
              <w:top w:val="nil"/>
              <w:bottom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680</w:t>
            </w:r>
          </w:p>
        </w:tc>
        <w:tc>
          <w:tcPr>
            <w:tcW w:w="1381" w:type="dxa"/>
            <w:tcBorders>
              <w:top w:val="nil"/>
              <w:bottom w:val="nil"/>
              <w:right w:val="single" w:sz="12" w:space="0" w:color="F6872B"/>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1.3%</w:t>
            </w:r>
          </w:p>
        </w:tc>
        <w:tc>
          <w:tcPr>
            <w:tcW w:w="1247" w:type="dxa"/>
            <w:tcBorders>
              <w:top w:val="nil"/>
              <w:left w:val="single" w:sz="12" w:space="0" w:color="F6872B"/>
              <w:bottom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844</w:t>
            </w:r>
          </w:p>
        </w:tc>
        <w:tc>
          <w:tcPr>
            <w:tcW w:w="1530" w:type="dxa"/>
            <w:tcBorders>
              <w:top w:val="nil"/>
              <w:bottom w:val="nil"/>
              <w:right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1.4%</w:t>
            </w:r>
          </w:p>
        </w:tc>
      </w:tr>
      <w:tr w:rsidR="00D86A11" w:rsidRPr="009A4D3F">
        <w:trPr>
          <w:trHeight w:val="267"/>
        </w:trPr>
        <w:tc>
          <w:tcPr>
            <w:tcW w:w="3420" w:type="dxa"/>
            <w:tcBorders>
              <w:top w:val="nil"/>
              <w:left w:val="nil"/>
              <w:bottom w:val="nil"/>
            </w:tcBorders>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 xml:space="preserve">     Intellectual Disability</w:t>
            </w:r>
          </w:p>
        </w:tc>
        <w:tc>
          <w:tcPr>
            <w:tcW w:w="1350" w:type="dxa"/>
            <w:tcBorders>
              <w:top w:val="nil"/>
              <w:bottom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2,477</w:t>
            </w:r>
          </w:p>
        </w:tc>
        <w:tc>
          <w:tcPr>
            <w:tcW w:w="1381" w:type="dxa"/>
            <w:tcBorders>
              <w:top w:val="nil"/>
              <w:bottom w:val="nil"/>
              <w:right w:val="single" w:sz="12" w:space="0" w:color="F6872B"/>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4.8%</w:t>
            </w:r>
          </w:p>
        </w:tc>
        <w:tc>
          <w:tcPr>
            <w:tcW w:w="1247" w:type="dxa"/>
            <w:tcBorders>
              <w:top w:val="nil"/>
              <w:left w:val="single" w:sz="12" w:space="0" w:color="F6872B"/>
              <w:bottom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2,983</w:t>
            </w:r>
          </w:p>
        </w:tc>
        <w:tc>
          <w:tcPr>
            <w:tcW w:w="1530" w:type="dxa"/>
            <w:tcBorders>
              <w:top w:val="nil"/>
              <w:bottom w:val="nil"/>
              <w:right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4.9%</w:t>
            </w:r>
          </w:p>
        </w:tc>
      </w:tr>
      <w:tr w:rsidR="00D86A11" w:rsidRPr="009A4D3F">
        <w:trPr>
          <w:trHeight w:val="315"/>
        </w:trPr>
        <w:tc>
          <w:tcPr>
            <w:tcW w:w="3420" w:type="dxa"/>
            <w:tcBorders>
              <w:top w:val="nil"/>
              <w:left w:val="nil"/>
              <w:bottom w:val="nil"/>
            </w:tcBorders>
            <w:shd w:val="clear" w:color="auto" w:fill="auto"/>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 xml:space="preserve">     Learning Disability</w:t>
            </w:r>
          </w:p>
        </w:tc>
        <w:tc>
          <w:tcPr>
            <w:tcW w:w="1350" w:type="dxa"/>
            <w:tcBorders>
              <w:top w:val="nil"/>
              <w:bottom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22,022</w:t>
            </w:r>
          </w:p>
        </w:tc>
        <w:tc>
          <w:tcPr>
            <w:tcW w:w="1381" w:type="dxa"/>
            <w:tcBorders>
              <w:top w:val="nil"/>
              <w:bottom w:val="nil"/>
              <w:right w:val="single" w:sz="12" w:space="0" w:color="F6872B"/>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42.3%</w:t>
            </w:r>
          </w:p>
        </w:tc>
        <w:tc>
          <w:tcPr>
            <w:tcW w:w="1247" w:type="dxa"/>
            <w:tcBorders>
              <w:top w:val="nil"/>
              <w:left w:val="single" w:sz="12" w:space="0" w:color="F6872B"/>
              <w:bottom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20,867</w:t>
            </w:r>
          </w:p>
        </w:tc>
        <w:tc>
          <w:tcPr>
            <w:tcW w:w="1530" w:type="dxa"/>
            <w:tcBorders>
              <w:top w:val="nil"/>
              <w:bottom w:val="nil"/>
              <w:right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34.6%</w:t>
            </w:r>
          </w:p>
        </w:tc>
      </w:tr>
      <w:tr w:rsidR="00D86A11" w:rsidRPr="009A4D3F">
        <w:trPr>
          <w:trHeight w:val="254"/>
        </w:trPr>
        <w:tc>
          <w:tcPr>
            <w:tcW w:w="3420" w:type="dxa"/>
            <w:tcBorders>
              <w:top w:val="nil"/>
              <w:left w:val="nil"/>
              <w:bottom w:val="nil"/>
            </w:tcBorders>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 xml:space="preserve">     Multiple Disability </w:t>
            </w:r>
          </w:p>
        </w:tc>
        <w:tc>
          <w:tcPr>
            <w:tcW w:w="1350" w:type="dxa"/>
            <w:tcBorders>
              <w:top w:val="nil"/>
              <w:bottom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232</w:t>
            </w:r>
          </w:p>
        </w:tc>
        <w:tc>
          <w:tcPr>
            <w:tcW w:w="1381" w:type="dxa"/>
            <w:tcBorders>
              <w:top w:val="nil"/>
              <w:bottom w:val="nil"/>
              <w:right w:val="single" w:sz="12" w:space="0" w:color="F6872B"/>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0.4%</w:t>
            </w:r>
          </w:p>
        </w:tc>
        <w:tc>
          <w:tcPr>
            <w:tcW w:w="1247" w:type="dxa"/>
            <w:tcBorders>
              <w:top w:val="nil"/>
              <w:left w:val="single" w:sz="12" w:space="0" w:color="F6872B"/>
              <w:bottom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417</w:t>
            </w:r>
          </w:p>
        </w:tc>
        <w:tc>
          <w:tcPr>
            <w:tcW w:w="1530" w:type="dxa"/>
            <w:tcBorders>
              <w:top w:val="nil"/>
              <w:bottom w:val="nil"/>
              <w:right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0.7%</w:t>
            </w:r>
          </w:p>
        </w:tc>
      </w:tr>
      <w:tr w:rsidR="00D86A11" w:rsidRPr="009A4D3F">
        <w:trPr>
          <w:trHeight w:val="60"/>
        </w:trPr>
        <w:tc>
          <w:tcPr>
            <w:tcW w:w="3420" w:type="dxa"/>
            <w:tcBorders>
              <w:top w:val="nil"/>
              <w:left w:val="nil"/>
              <w:bottom w:val="nil"/>
            </w:tcBorders>
            <w:shd w:val="clear" w:color="auto" w:fill="auto"/>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 xml:space="preserve">     Orthopedic Impairment</w:t>
            </w:r>
          </w:p>
        </w:tc>
        <w:tc>
          <w:tcPr>
            <w:tcW w:w="1350" w:type="dxa"/>
            <w:tcBorders>
              <w:top w:val="nil"/>
              <w:bottom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1,313</w:t>
            </w:r>
          </w:p>
        </w:tc>
        <w:tc>
          <w:tcPr>
            <w:tcW w:w="1381" w:type="dxa"/>
            <w:tcBorders>
              <w:top w:val="nil"/>
              <w:bottom w:val="nil"/>
              <w:right w:val="single" w:sz="12" w:space="0" w:color="F6872B"/>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2.5%</w:t>
            </w:r>
          </w:p>
        </w:tc>
        <w:tc>
          <w:tcPr>
            <w:tcW w:w="1247" w:type="dxa"/>
            <w:tcBorders>
              <w:top w:val="nil"/>
              <w:left w:val="single" w:sz="12" w:space="0" w:color="F6872B"/>
              <w:bottom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1,429</w:t>
            </w:r>
          </w:p>
        </w:tc>
        <w:tc>
          <w:tcPr>
            <w:tcW w:w="1530" w:type="dxa"/>
            <w:tcBorders>
              <w:top w:val="nil"/>
              <w:bottom w:val="nil"/>
              <w:right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2.4%</w:t>
            </w:r>
          </w:p>
        </w:tc>
      </w:tr>
      <w:tr w:rsidR="00D86A11" w:rsidRPr="009A4D3F">
        <w:trPr>
          <w:trHeight w:val="60"/>
        </w:trPr>
        <w:tc>
          <w:tcPr>
            <w:tcW w:w="3420" w:type="dxa"/>
            <w:tcBorders>
              <w:top w:val="nil"/>
              <w:left w:val="nil"/>
              <w:bottom w:val="nil"/>
            </w:tcBorders>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 xml:space="preserve">     Other Health Impairment</w:t>
            </w:r>
          </w:p>
        </w:tc>
        <w:tc>
          <w:tcPr>
            <w:tcW w:w="1350" w:type="dxa"/>
            <w:tcBorders>
              <w:top w:val="nil"/>
              <w:bottom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7,089</w:t>
            </w:r>
          </w:p>
        </w:tc>
        <w:tc>
          <w:tcPr>
            <w:tcW w:w="1381" w:type="dxa"/>
            <w:tcBorders>
              <w:top w:val="nil"/>
              <w:bottom w:val="nil"/>
              <w:right w:val="single" w:sz="12" w:space="0" w:color="F6872B"/>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13.6%</w:t>
            </w:r>
          </w:p>
        </w:tc>
        <w:tc>
          <w:tcPr>
            <w:tcW w:w="1247" w:type="dxa"/>
            <w:tcBorders>
              <w:top w:val="nil"/>
              <w:left w:val="single" w:sz="12" w:space="0" w:color="F6872B"/>
              <w:bottom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9,283</w:t>
            </w:r>
          </w:p>
        </w:tc>
        <w:tc>
          <w:tcPr>
            <w:tcW w:w="1530" w:type="dxa"/>
            <w:tcBorders>
              <w:top w:val="nil"/>
              <w:bottom w:val="nil"/>
              <w:right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15.4%</w:t>
            </w:r>
          </w:p>
        </w:tc>
      </w:tr>
      <w:tr w:rsidR="00D86A11" w:rsidRPr="009A4D3F">
        <w:trPr>
          <w:trHeight w:val="60"/>
        </w:trPr>
        <w:tc>
          <w:tcPr>
            <w:tcW w:w="3420" w:type="dxa"/>
            <w:tcBorders>
              <w:top w:val="nil"/>
              <w:left w:val="nil"/>
              <w:bottom w:val="nil"/>
            </w:tcBorders>
            <w:shd w:val="clear" w:color="auto" w:fill="auto"/>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 xml:space="preserve">     Speech or Language Impairment</w:t>
            </w:r>
          </w:p>
        </w:tc>
        <w:tc>
          <w:tcPr>
            <w:tcW w:w="1350" w:type="dxa"/>
            <w:tcBorders>
              <w:top w:val="nil"/>
              <w:bottom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11,243</w:t>
            </w:r>
          </w:p>
        </w:tc>
        <w:tc>
          <w:tcPr>
            <w:tcW w:w="1381" w:type="dxa"/>
            <w:tcBorders>
              <w:top w:val="nil"/>
              <w:bottom w:val="nil"/>
              <w:right w:val="single" w:sz="12" w:space="0" w:color="F6872B"/>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21.6%</w:t>
            </w:r>
          </w:p>
        </w:tc>
        <w:tc>
          <w:tcPr>
            <w:tcW w:w="1247" w:type="dxa"/>
            <w:tcBorders>
              <w:top w:val="nil"/>
              <w:left w:val="single" w:sz="12" w:space="0" w:color="F6872B"/>
              <w:bottom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14,017</w:t>
            </w:r>
          </w:p>
        </w:tc>
        <w:tc>
          <w:tcPr>
            <w:tcW w:w="1530" w:type="dxa"/>
            <w:tcBorders>
              <w:top w:val="nil"/>
              <w:bottom w:val="nil"/>
              <w:right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23.2%</w:t>
            </w:r>
          </w:p>
        </w:tc>
      </w:tr>
      <w:tr w:rsidR="00D86A11" w:rsidRPr="009A4D3F">
        <w:trPr>
          <w:trHeight w:val="60"/>
        </w:trPr>
        <w:tc>
          <w:tcPr>
            <w:tcW w:w="3420" w:type="dxa"/>
            <w:tcBorders>
              <w:top w:val="nil"/>
              <w:left w:val="nil"/>
              <w:bottom w:val="nil"/>
            </w:tcBorders>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 xml:space="preserve">     Traumatic Brain Injury</w:t>
            </w:r>
          </w:p>
        </w:tc>
        <w:tc>
          <w:tcPr>
            <w:tcW w:w="1350" w:type="dxa"/>
            <w:tcBorders>
              <w:top w:val="nil"/>
              <w:bottom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187</w:t>
            </w:r>
          </w:p>
        </w:tc>
        <w:tc>
          <w:tcPr>
            <w:tcW w:w="1381" w:type="dxa"/>
            <w:tcBorders>
              <w:top w:val="nil"/>
              <w:bottom w:val="nil"/>
              <w:right w:val="single" w:sz="12" w:space="0" w:color="F6872B"/>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0.4%</w:t>
            </w:r>
          </w:p>
        </w:tc>
        <w:tc>
          <w:tcPr>
            <w:tcW w:w="1247" w:type="dxa"/>
            <w:tcBorders>
              <w:top w:val="nil"/>
              <w:left w:val="single" w:sz="12" w:space="0" w:color="F6872B"/>
              <w:bottom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color w:val="013161"/>
                <w:sz w:val="20"/>
              </w:rPr>
            </w:pPr>
            <w:r w:rsidRPr="009A4D3F">
              <w:rPr>
                <w:rFonts w:ascii="Calibri" w:eastAsia="Calibri" w:hAnsi="Calibri" w:cs="Arial"/>
                <w:b/>
                <w:color w:val="013161"/>
                <w:sz w:val="20"/>
              </w:rPr>
              <w:t>181</w:t>
            </w:r>
          </w:p>
        </w:tc>
        <w:tc>
          <w:tcPr>
            <w:tcW w:w="1530" w:type="dxa"/>
            <w:tcBorders>
              <w:top w:val="nil"/>
              <w:bottom w:val="nil"/>
              <w:right w:val="nil"/>
            </w:tcBorders>
            <w:shd w:val="clear" w:color="auto" w:fill="DBE5F1"/>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0.3%</w:t>
            </w:r>
          </w:p>
        </w:tc>
      </w:tr>
      <w:tr w:rsidR="00D86A11" w:rsidRPr="009A4D3F">
        <w:trPr>
          <w:trHeight w:val="60"/>
        </w:trPr>
        <w:tc>
          <w:tcPr>
            <w:tcW w:w="3420" w:type="dxa"/>
            <w:tcBorders>
              <w:top w:val="nil"/>
              <w:left w:val="nil"/>
              <w:bottom w:val="single" w:sz="18" w:space="0" w:color="F6872B"/>
            </w:tcBorders>
            <w:shd w:val="clear" w:color="auto" w:fill="auto"/>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 xml:space="preserve">     Visual Impairment</w:t>
            </w:r>
          </w:p>
        </w:tc>
        <w:tc>
          <w:tcPr>
            <w:tcW w:w="1350" w:type="dxa"/>
            <w:tcBorders>
              <w:top w:val="nil"/>
              <w:bottom w:val="single" w:sz="18" w:space="0" w:color="F6872B"/>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242</w:t>
            </w:r>
          </w:p>
        </w:tc>
        <w:tc>
          <w:tcPr>
            <w:tcW w:w="1381" w:type="dxa"/>
            <w:tcBorders>
              <w:top w:val="nil"/>
              <w:bottom w:val="single" w:sz="18" w:space="0" w:color="F6872B"/>
              <w:right w:val="single" w:sz="12" w:space="0" w:color="F6872B"/>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0.5%</w:t>
            </w:r>
          </w:p>
        </w:tc>
        <w:tc>
          <w:tcPr>
            <w:tcW w:w="1247" w:type="dxa"/>
            <w:tcBorders>
              <w:top w:val="nil"/>
              <w:left w:val="single" w:sz="12" w:space="0" w:color="F6872B"/>
              <w:bottom w:val="single" w:sz="18" w:space="0" w:color="F6872B"/>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248</w:t>
            </w:r>
          </w:p>
        </w:tc>
        <w:tc>
          <w:tcPr>
            <w:tcW w:w="1530" w:type="dxa"/>
            <w:tcBorders>
              <w:top w:val="nil"/>
              <w:bottom w:val="single" w:sz="18" w:space="0" w:color="F6872B"/>
              <w:right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9A4D3F">
              <w:rPr>
                <w:rFonts w:ascii="Calibri" w:eastAsia="Calibri" w:hAnsi="Calibri" w:cs="Arial"/>
                <w:b/>
                <w:bCs/>
                <w:color w:val="013161"/>
                <w:sz w:val="20"/>
              </w:rPr>
              <w:t>0.4%</w:t>
            </w:r>
          </w:p>
        </w:tc>
      </w:tr>
    </w:tbl>
    <w:p w:rsidR="00D86A11" w:rsidRPr="0074377D" w:rsidRDefault="00D86A11" w:rsidP="00D86A11">
      <w:pPr>
        <w:pStyle w:val="Heading2"/>
        <w:rPr>
          <w:rStyle w:val="Heading1Char"/>
          <w:b/>
          <w:color w:val="F6872B"/>
          <w:sz w:val="24"/>
        </w:rPr>
      </w:pPr>
      <w:r w:rsidRPr="0074377D">
        <w:rPr>
          <w:rStyle w:val="Heading1Char"/>
          <w:b/>
          <w:color w:val="F6872B"/>
          <w:sz w:val="24"/>
        </w:rPr>
        <w:t>Emergency Room Visits</w:t>
      </w:r>
    </w:p>
    <w:p w:rsidR="00D86A11" w:rsidRDefault="00D86A11" w:rsidP="00D86A11">
      <w:pPr>
        <w:pStyle w:val="Heading3"/>
        <w:spacing w:line="276" w:lineRule="auto"/>
        <w:rPr>
          <w:b w:val="0"/>
          <w:color w:val="auto"/>
          <w:sz w:val="22"/>
        </w:rPr>
      </w:pPr>
      <w:r w:rsidRPr="00910CBA">
        <w:rPr>
          <w:b w:val="0"/>
          <w:color w:val="auto"/>
          <w:sz w:val="22"/>
        </w:rPr>
        <w:t xml:space="preserve">The rate and number of emergency department discharges decreased between 2010 and 2013. This could be the result of improved prevention efforts and increasing numbers of children with insurance who may be receiving care at their primary care doctor’s office or urgent care center. </w:t>
      </w:r>
    </w:p>
    <w:p w:rsidR="00D86A11" w:rsidRPr="00DD0354" w:rsidRDefault="00D86A11" w:rsidP="00D86A11">
      <w:pPr>
        <w:rPr>
          <w:sz w:val="4"/>
        </w:rPr>
      </w:pPr>
    </w:p>
    <w:tbl>
      <w:tblPr>
        <w:tblW w:w="8928" w:type="dxa"/>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3420"/>
        <w:gridCol w:w="1350"/>
        <w:gridCol w:w="1381"/>
        <w:gridCol w:w="1247"/>
        <w:gridCol w:w="1530"/>
      </w:tblGrid>
      <w:tr w:rsidR="00D86A11" w:rsidRPr="009A4D3F">
        <w:trPr>
          <w:trHeight w:val="280"/>
        </w:trPr>
        <w:tc>
          <w:tcPr>
            <w:tcW w:w="8928" w:type="dxa"/>
            <w:gridSpan w:val="5"/>
            <w:tcBorders>
              <w:top w:val="single" w:sz="18" w:space="0" w:color="F6872B"/>
              <w:bottom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 w:val="24"/>
                <w:szCs w:val="22"/>
              </w:rPr>
              <w:t xml:space="preserve">Exhibit 20. </w:t>
            </w:r>
            <w:r w:rsidRPr="00B53CA4">
              <w:rPr>
                <w:rFonts w:ascii="Calibri" w:eastAsia="Calibri" w:hAnsi="Calibri" w:cs="Arial"/>
                <w:b/>
                <w:bCs/>
                <w:color w:val="FFFFFF"/>
                <w:sz w:val="24"/>
                <w:szCs w:val="22"/>
              </w:rPr>
              <w:t>Unintentional Injury Emergency Department Discharges</w:t>
            </w:r>
            <w:r w:rsidRPr="00B53CA4">
              <w:rPr>
                <w:rStyle w:val="EndnoteReference"/>
                <w:rFonts w:ascii="Calibri" w:eastAsia="Calibri" w:hAnsi="Calibri" w:cs="Arial"/>
                <w:b/>
                <w:bCs/>
                <w:color w:val="FFFFFF"/>
                <w:sz w:val="24"/>
                <w:szCs w:val="22"/>
              </w:rPr>
              <w:endnoteReference w:id="27"/>
            </w:r>
          </w:p>
        </w:tc>
      </w:tr>
      <w:tr w:rsidR="00D86A11" w:rsidRPr="009A4D3F">
        <w:trPr>
          <w:trHeight w:val="280"/>
        </w:trPr>
        <w:tc>
          <w:tcPr>
            <w:tcW w:w="3420" w:type="dxa"/>
            <w:tcBorders>
              <w:top w:val="nil"/>
              <w:left w:val="nil"/>
              <w:bottom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auto"/>
                <w:szCs w:val="22"/>
              </w:rPr>
            </w:pPr>
          </w:p>
        </w:tc>
        <w:tc>
          <w:tcPr>
            <w:tcW w:w="2731" w:type="dxa"/>
            <w:gridSpan w:val="2"/>
            <w:tcBorders>
              <w:top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color w:val="auto"/>
                <w:szCs w:val="22"/>
              </w:rPr>
            </w:pPr>
            <w:r w:rsidRPr="009A4D3F">
              <w:rPr>
                <w:rFonts w:ascii="Calibri" w:eastAsia="Calibri" w:hAnsi="Calibri" w:cs="Arial"/>
                <w:b/>
                <w:color w:val="auto"/>
                <w:szCs w:val="22"/>
              </w:rPr>
              <w:t>2010</w:t>
            </w:r>
          </w:p>
        </w:tc>
        <w:tc>
          <w:tcPr>
            <w:tcW w:w="2777" w:type="dxa"/>
            <w:gridSpan w:val="2"/>
            <w:tcBorders>
              <w:top w:val="nil"/>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auto"/>
                <w:szCs w:val="22"/>
              </w:rPr>
            </w:pPr>
            <w:r>
              <w:rPr>
                <w:rFonts w:ascii="Calibri" w:eastAsia="Calibri" w:hAnsi="Calibri" w:cs="Arial"/>
                <w:b/>
                <w:bCs/>
                <w:color w:val="auto"/>
                <w:szCs w:val="22"/>
              </w:rPr>
              <w:t>2013</w:t>
            </w:r>
          </w:p>
        </w:tc>
      </w:tr>
      <w:tr w:rsidR="00D86A11" w:rsidRPr="009A4D3F">
        <w:trPr>
          <w:trHeight w:val="280"/>
        </w:trPr>
        <w:tc>
          <w:tcPr>
            <w:tcW w:w="3420" w:type="dxa"/>
            <w:tcBorders>
              <w:top w:val="nil"/>
              <w:left w:val="nil"/>
              <w:bottom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p>
        </w:tc>
        <w:tc>
          <w:tcPr>
            <w:tcW w:w="1350" w:type="dxa"/>
            <w:tcBorders>
              <w:top w:val="nil"/>
              <w:bottom w:val="nil"/>
            </w:tcBorders>
            <w:shd w:val="clear" w:color="auto" w:fill="013161"/>
          </w:tcPr>
          <w:p w:rsidR="00D86A11" w:rsidRPr="009A4D3F" w:rsidRDefault="00D86A11" w:rsidP="00D86A11">
            <w:pPr>
              <w:spacing w:after="0" w:line="240" w:lineRule="auto"/>
              <w:jc w:val="center"/>
              <w:rPr>
                <w:rFonts w:ascii="Calibri" w:eastAsia="Calibri" w:hAnsi="Calibri" w:cs="Arial"/>
                <w:b/>
                <w:color w:val="FFFFFF"/>
                <w:szCs w:val="22"/>
              </w:rPr>
            </w:pPr>
            <w:r w:rsidRPr="009A4D3F">
              <w:rPr>
                <w:rFonts w:ascii="Calibri" w:eastAsia="Calibri" w:hAnsi="Calibri" w:cs="Arial"/>
                <w:b/>
                <w:color w:val="FFFFFF"/>
                <w:szCs w:val="22"/>
              </w:rPr>
              <w:t>Count</w:t>
            </w:r>
          </w:p>
        </w:tc>
        <w:tc>
          <w:tcPr>
            <w:tcW w:w="1381" w:type="dxa"/>
            <w:tcBorders>
              <w:top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color w:val="FFFFFF"/>
                <w:szCs w:val="22"/>
              </w:rPr>
            </w:pPr>
            <w:r>
              <w:rPr>
                <w:rFonts w:ascii="Calibri" w:eastAsia="Calibri" w:hAnsi="Calibri" w:cs="Arial"/>
                <w:b/>
                <w:color w:val="FFFFFF"/>
                <w:szCs w:val="22"/>
              </w:rPr>
              <w:t>Rate per 100,000</w:t>
            </w:r>
          </w:p>
        </w:tc>
        <w:tc>
          <w:tcPr>
            <w:tcW w:w="1247" w:type="dxa"/>
            <w:tcBorders>
              <w:top w:val="nil"/>
              <w:left w:val="nil"/>
              <w:bottom w:val="nil"/>
            </w:tcBorders>
            <w:shd w:val="clear" w:color="auto" w:fill="013161"/>
          </w:tcPr>
          <w:p w:rsidR="00D86A11" w:rsidRPr="009A4D3F" w:rsidRDefault="00D86A11" w:rsidP="00D86A11">
            <w:pPr>
              <w:spacing w:after="0" w:line="240" w:lineRule="auto"/>
              <w:jc w:val="center"/>
              <w:rPr>
                <w:rFonts w:ascii="Calibri" w:eastAsia="Calibri" w:hAnsi="Calibri" w:cs="Arial"/>
                <w:b/>
                <w:color w:val="FFFFFF"/>
                <w:szCs w:val="22"/>
              </w:rPr>
            </w:pPr>
            <w:r w:rsidRPr="009A4D3F">
              <w:rPr>
                <w:rFonts w:ascii="Calibri" w:eastAsia="Calibri" w:hAnsi="Calibri" w:cs="Arial"/>
                <w:b/>
                <w:color w:val="FFFFFF"/>
                <w:szCs w:val="22"/>
              </w:rPr>
              <w:t>Count</w:t>
            </w:r>
          </w:p>
        </w:tc>
        <w:tc>
          <w:tcPr>
            <w:tcW w:w="1530" w:type="dxa"/>
            <w:tcBorders>
              <w:top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Cs w:val="22"/>
              </w:rPr>
              <w:t>Rate per 100,000</w:t>
            </w:r>
          </w:p>
        </w:tc>
      </w:tr>
      <w:tr w:rsidR="00D86A11" w:rsidRPr="009A4D3F">
        <w:trPr>
          <w:trHeight w:val="60"/>
        </w:trPr>
        <w:tc>
          <w:tcPr>
            <w:tcW w:w="3420" w:type="dxa"/>
            <w:tcBorders>
              <w:top w:val="nil"/>
              <w:left w:val="nil"/>
              <w:bottom w:val="single" w:sz="18" w:space="0" w:color="F6872B"/>
            </w:tcBorders>
            <w:shd w:val="clear" w:color="auto" w:fill="auto"/>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rPr>
            </w:pPr>
            <w:r w:rsidRPr="009A4D3F">
              <w:rPr>
                <w:rFonts w:ascii="Calibri" w:eastAsia="Calibri" w:hAnsi="Calibri" w:cs="Arial"/>
                <w:b/>
                <w:bCs/>
                <w:color w:val="013161"/>
                <w:sz w:val="20"/>
              </w:rPr>
              <w:t xml:space="preserve">     </w:t>
            </w:r>
            <w:r>
              <w:rPr>
                <w:rFonts w:ascii="Calibri" w:eastAsia="Calibri" w:hAnsi="Calibri" w:cs="Arial"/>
                <w:b/>
                <w:bCs/>
                <w:color w:val="013161"/>
                <w:sz w:val="20"/>
              </w:rPr>
              <w:t>Children Ages 0 to 14</w:t>
            </w:r>
          </w:p>
        </w:tc>
        <w:tc>
          <w:tcPr>
            <w:tcW w:w="1350" w:type="dxa"/>
            <w:tcBorders>
              <w:top w:val="nil"/>
              <w:bottom w:val="single" w:sz="18" w:space="0" w:color="F6872B"/>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3E56FB">
              <w:rPr>
                <w:rFonts w:ascii="Calibri" w:eastAsia="Calibri" w:hAnsi="Calibri" w:cs="Arial"/>
                <w:b/>
                <w:bCs/>
                <w:color w:val="013161"/>
                <w:sz w:val="20"/>
              </w:rPr>
              <w:t>39</w:t>
            </w:r>
            <w:r>
              <w:rPr>
                <w:rFonts w:ascii="Calibri" w:eastAsia="Calibri" w:hAnsi="Calibri" w:cs="Arial"/>
                <w:b/>
                <w:bCs/>
                <w:color w:val="013161"/>
                <w:sz w:val="20"/>
              </w:rPr>
              <w:t>,</w:t>
            </w:r>
            <w:r w:rsidRPr="003E56FB">
              <w:rPr>
                <w:rFonts w:ascii="Calibri" w:eastAsia="Calibri" w:hAnsi="Calibri" w:cs="Arial"/>
                <w:b/>
                <w:bCs/>
                <w:color w:val="013161"/>
                <w:sz w:val="20"/>
              </w:rPr>
              <w:t>559</w:t>
            </w:r>
          </w:p>
        </w:tc>
        <w:tc>
          <w:tcPr>
            <w:tcW w:w="1381" w:type="dxa"/>
            <w:tcBorders>
              <w:top w:val="nil"/>
              <w:bottom w:val="single" w:sz="18" w:space="0" w:color="F6872B"/>
              <w:right w:val="single" w:sz="12" w:space="0" w:color="F6872B"/>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3E56FB">
              <w:rPr>
                <w:rFonts w:ascii="Calibri" w:eastAsia="Calibri" w:hAnsi="Calibri" w:cs="Arial"/>
                <w:b/>
                <w:bCs/>
                <w:color w:val="013161"/>
                <w:sz w:val="20"/>
              </w:rPr>
              <w:t>6</w:t>
            </w:r>
            <w:r>
              <w:rPr>
                <w:rFonts w:ascii="Calibri" w:eastAsia="Calibri" w:hAnsi="Calibri" w:cs="Arial"/>
                <w:b/>
                <w:bCs/>
                <w:color w:val="013161"/>
                <w:sz w:val="20"/>
              </w:rPr>
              <w:t>,</w:t>
            </w:r>
            <w:r w:rsidRPr="003E56FB">
              <w:rPr>
                <w:rFonts w:ascii="Calibri" w:eastAsia="Calibri" w:hAnsi="Calibri" w:cs="Arial"/>
                <w:b/>
                <w:bCs/>
                <w:color w:val="013161"/>
                <w:sz w:val="20"/>
              </w:rPr>
              <w:t>635</w:t>
            </w:r>
          </w:p>
        </w:tc>
        <w:tc>
          <w:tcPr>
            <w:tcW w:w="1247" w:type="dxa"/>
            <w:tcBorders>
              <w:top w:val="nil"/>
              <w:left w:val="single" w:sz="12" w:space="0" w:color="F6872B"/>
              <w:bottom w:val="single" w:sz="18" w:space="0" w:color="F6872B"/>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3E56FB">
              <w:rPr>
                <w:rFonts w:ascii="Calibri" w:eastAsia="Calibri" w:hAnsi="Calibri" w:cs="Arial"/>
                <w:b/>
                <w:bCs/>
                <w:color w:val="013161"/>
                <w:sz w:val="20"/>
              </w:rPr>
              <w:t>38</w:t>
            </w:r>
            <w:r>
              <w:rPr>
                <w:rFonts w:ascii="Calibri" w:eastAsia="Calibri" w:hAnsi="Calibri" w:cs="Arial"/>
                <w:b/>
                <w:bCs/>
                <w:color w:val="013161"/>
                <w:sz w:val="20"/>
              </w:rPr>
              <w:t>,</w:t>
            </w:r>
            <w:r w:rsidRPr="003E56FB">
              <w:rPr>
                <w:rFonts w:ascii="Calibri" w:eastAsia="Calibri" w:hAnsi="Calibri" w:cs="Arial"/>
                <w:b/>
                <w:bCs/>
                <w:color w:val="013161"/>
                <w:sz w:val="20"/>
              </w:rPr>
              <w:t>921</w:t>
            </w:r>
          </w:p>
        </w:tc>
        <w:tc>
          <w:tcPr>
            <w:tcW w:w="1530" w:type="dxa"/>
            <w:tcBorders>
              <w:top w:val="nil"/>
              <w:bottom w:val="single" w:sz="18" w:space="0" w:color="F6872B"/>
              <w:right w:val="nil"/>
            </w:tcBorders>
            <w:shd w:val="clear" w:color="auto" w:fill="auto"/>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3E56FB">
              <w:rPr>
                <w:rFonts w:ascii="Calibri" w:eastAsia="Calibri" w:hAnsi="Calibri" w:cs="Arial"/>
                <w:b/>
                <w:bCs/>
                <w:color w:val="013161"/>
                <w:sz w:val="20"/>
              </w:rPr>
              <w:t>6</w:t>
            </w:r>
            <w:r>
              <w:rPr>
                <w:rFonts w:ascii="Calibri" w:eastAsia="Calibri" w:hAnsi="Calibri" w:cs="Arial"/>
                <w:b/>
                <w:bCs/>
                <w:color w:val="013161"/>
                <w:sz w:val="20"/>
              </w:rPr>
              <w:t>,</w:t>
            </w:r>
            <w:r w:rsidRPr="003E56FB">
              <w:rPr>
                <w:rFonts w:ascii="Calibri" w:eastAsia="Calibri" w:hAnsi="Calibri" w:cs="Arial"/>
                <w:b/>
                <w:bCs/>
                <w:color w:val="013161"/>
                <w:sz w:val="20"/>
              </w:rPr>
              <w:t>439</w:t>
            </w:r>
          </w:p>
        </w:tc>
      </w:tr>
    </w:tbl>
    <w:p w:rsidR="006C7055" w:rsidRDefault="006C7055" w:rsidP="00D86A11">
      <w:pPr>
        <w:rPr>
          <w:rFonts w:ascii="Franklin Gothic Book" w:hAnsi="Franklin Gothic Book"/>
          <w:spacing w:val="20"/>
          <w:szCs w:val="22"/>
        </w:rPr>
      </w:pPr>
    </w:p>
    <w:p w:rsidR="00D86A11" w:rsidRPr="006C7055" w:rsidRDefault="006C7055" w:rsidP="00D86A11">
      <w:pPr>
        <w:rPr>
          <w:rFonts w:ascii="Franklin Gothic Book" w:hAnsi="Franklin Gothic Book"/>
          <w:spacing w:val="20"/>
          <w:szCs w:val="22"/>
        </w:rPr>
      </w:pPr>
      <w:r>
        <w:rPr>
          <w:rFonts w:ascii="Franklin Gothic Book" w:hAnsi="Franklin Gothic Book"/>
          <w:spacing w:val="20"/>
          <w:szCs w:val="22"/>
        </w:rPr>
        <w:t xml:space="preserve">The most noticeable trend since the last CSA report regarding potential impacts and service delivery is that it is believed that although caseloads might be lower, the cases are higher risk and more involved with multiple needs.  </w:t>
      </w:r>
    </w:p>
    <w:p w:rsidR="00D86A11" w:rsidRPr="006F4BD0" w:rsidRDefault="00D86A11" w:rsidP="00D86A11">
      <w:pPr>
        <w:pStyle w:val="Heading1"/>
        <w:rPr>
          <w:color w:val="013161"/>
        </w:rPr>
      </w:pPr>
      <w:r>
        <w:rPr>
          <w:color w:val="013161"/>
        </w:rPr>
        <w:t xml:space="preserve">4c. </w:t>
      </w:r>
      <w:r w:rsidRPr="00063B02">
        <w:rPr>
          <w:color w:val="013161"/>
        </w:rPr>
        <w:t xml:space="preserve">Child Welfare and </w:t>
      </w:r>
      <w:r w:rsidRPr="00F3740A">
        <w:rPr>
          <w:color w:val="013161"/>
        </w:rPr>
        <w:t>Probation Placement Population</w:t>
      </w:r>
    </w:p>
    <w:p w:rsidR="00D86A11" w:rsidRPr="006F4BD0" w:rsidRDefault="00D86A11" w:rsidP="00D86A11">
      <w:pPr>
        <w:pStyle w:val="Heading2"/>
        <w:rPr>
          <w:rStyle w:val="Heading1Char"/>
          <w:b/>
          <w:color w:val="F6872B"/>
          <w:sz w:val="24"/>
        </w:rPr>
      </w:pPr>
      <w:r w:rsidRPr="006F4BD0">
        <w:rPr>
          <w:rStyle w:val="Heading1Char"/>
          <w:b/>
          <w:color w:val="F6872B"/>
          <w:sz w:val="24"/>
        </w:rPr>
        <w:t>Child Welfare Population</w:t>
      </w:r>
    </w:p>
    <w:p w:rsidR="00D86A11" w:rsidRDefault="00D86A11" w:rsidP="00D86A11">
      <w:pPr>
        <w:pStyle w:val="Heading3"/>
        <w:spacing w:line="276" w:lineRule="auto"/>
        <w:rPr>
          <w:b w:val="0"/>
          <w:color w:val="auto"/>
          <w:sz w:val="22"/>
        </w:rPr>
      </w:pPr>
      <w:r w:rsidRPr="00DB2207">
        <w:rPr>
          <w:b w:val="0"/>
          <w:color w:val="auto"/>
          <w:sz w:val="22"/>
        </w:rPr>
        <w:t xml:space="preserve">The statistics provided in this section were retrieved from the </w:t>
      </w:r>
      <w:r>
        <w:rPr>
          <w:b w:val="0"/>
          <w:color w:val="auto"/>
          <w:sz w:val="22"/>
        </w:rPr>
        <w:t xml:space="preserve">California </w:t>
      </w:r>
      <w:r w:rsidRPr="00DB2207">
        <w:rPr>
          <w:b w:val="0"/>
          <w:color w:val="auto"/>
          <w:sz w:val="22"/>
        </w:rPr>
        <w:t>Child Welfare Indicators Project website, a joint venture of the California Department of Social Services and the University of California at Berkeley California (http://cssr.berkeley.edu/ucb_childwelfare). The source for program data is the C</w:t>
      </w:r>
      <w:r>
        <w:rPr>
          <w:b w:val="0"/>
          <w:color w:val="auto"/>
          <w:sz w:val="22"/>
        </w:rPr>
        <w:t xml:space="preserve">hild </w:t>
      </w:r>
      <w:r w:rsidRPr="00DB2207">
        <w:rPr>
          <w:b w:val="0"/>
          <w:color w:val="auto"/>
          <w:sz w:val="22"/>
        </w:rPr>
        <w:t>W</w:t>
      </w:r>
      <w:r>
        <w:rPr>
          <w:b w:val="0"/>
          <w:color w:val="auto"/>
          <w:sz w:val="22"/>
        </w:rPr>
        <w:t xml:space="preserve">elfare </w:t>
      </w:r>
      <w:r w:rsidRPr="00DB2207">
        <w:rPr>
          <w:b w:val="0"/>
          <w:color w:val="auto"/>
          <w:sz w:val="22"/>
        </w:rPr>
        <w:t>S</w:t>
      </w:r>
      <w:r>
        <w:rPr>
          <w:b w:val="0"/>
          <w:color w:val="auto"/>
          <w:sz w:val="22"/>
        </w:rPr>
        <w:t xml:space="preserve">ervices </w:t>
      </w:r>
      <w:r w:rsidRPr="00DB2207">
        <w:rPr>
          <w:b w:val="0"/>
          <w:color w:val="auto"/>
          <w:sz w:val="22"/>
        </w:rPr>
        <w:t>C</w:t>
      </w:r>
      <w:r>
        <w:rPr>
          <w:b w:val="0"/>
          <w:color w:val="auto"/>
          <w:sz w:val="22"/>
        </w:rPr>
        <w:t xml:space="preserve">ase </w:t>
      </w:r>
      <w:r w:rsidRPr="00DB2207">
        <w:rPr>
          <w:b w:val="0"/>
          <w:color w:val="auto"/>
          <w:sz w:val="22"/>
        </w:rPr>
        <w:t>M</w:t>
      </w:r>
      <w:r>
        <w:rPr>
          <w:b w:val="0"/>
          <w:color w:val="auto"/>
          <w:sz w:val="22"/>
        </w:rPr>
        <w:t xml:space="preserve">anagement </w:t>
      </w:r>
      <w:r w:rsidRPr="00DB2207">
        <w:rPr>
          <w:b w:val="0"/>
          <w:color w:val="auto"/>
          <w:sz w:val="22"/>
        </w:rPr>
        <w:t>S</w:t>
      </w:r>
      <w:r>
        <w:rPr>
          <w:b w:val="0"/>
          <w:color w:val="auto"/>
          <w:sz w:val="22"/>
        </w:rPr>
        <w:t>ystem (CWS/CMS)</w:t>
      </w:r>
      <w:r w:rsidRPr="00DB2207">
        <w:rPr>
          <w:b w:val="0"/>
          <w:color w:val="auto"/>
          <w:sz w:val="22"/>
        </w:rPr>
        <w:t xml:space="preserve"> administrative data system used by </w:t>
      </w:r>
      <w:r w:rsidR="00121985" w:rsidRPr="00121985">
        <w:rPr>
          <w:b w:val="0"/>
          <w:color w:val="auto"/>
          <w:sz w:val="22"/>
        </w:rPr>
        <w:t xml:space="preserve">all counties in the State of California (2015 Quarter 4 extract for </w:t>
      </w:r>
      <w:r w:rsidR="00121985" w:rsidRPr="00121985">
        <w:rPr>
          <w:b w:val="0"/>
          <w:color w:val="auto"/>
          <w:sz w:val="22"/>
        </w:rPr>
        <w:lastRenderedPageBreak/>
        <w:t>CWS). For child population data, the website reported statistics from the 2015 California Department of Finance: 2010-2060 - Population Projections.</w:t>
      </w:r>
    </w:p>
    <w:p w:rsidR="00D86A11" w:rsidRPr="0087221B" w:rsidRDefault="00D86A11" w:rsidP="00D86A11">
      <w:pPr>
        <w:rPr>
          <w:sz w:val="4"/>
        </w:rPr>
      </w:pPr>
    </w:p>
    <w:tbl>
      <w:tblPr>
        <w:tblW w:w="9468" w:type="dxa"/>
        <w:tblBorders>
          <w:top w:val="single" w:sz="18" w:space="0" w:color="F6872B"/>
          <w:bottom w:val="single" w:sz="18" w:space="0" w:color="F6872B"/>
        </w:tblBorders>
        <w:tblLayout w:type="fixed"/>
        <w:tblLook w:val="04A0" w:firstRow="1" w:lastRow="0" w:firstColumn="1" w:lastColumn="0" w:noHBand="0" w:noVBand="1"/>
      </w:tblPr>
      <w:tblGrid>
        <w:gridCol w:w="4068"/>
        <w:gridCol w:w="1080"/>
        <w:gridCol w:w="1084"/>
        <w:gridCol w:w="986"/>
        <w:gridCol w:w="1080"/>
        <w:gridCol w:w="1170"/>
      </w:tblGrid>
      <w:tr w:rsidR="00D86A11" w:rsidRPr="00D214F1" w:rsidTr="007F165C">
        <w:trPr>
          <w:trHeight w:val="304"/>
        </w:trPr>
        <w:tc>
          <w:tcPr>
            <w:tcW w:w="9468" w:type="dxa"/>
            <w:gridSpan w:val="6"/>
            <w:shd w:val="clear" w:color="auto" w:fill="013161"/>
          </w:tcPr>
          <w:p w:rsidR="00D86A11" w:rsidRPr="000055D1" w:rsidRDefault="00D86A11" w:rsidP="00D86A11">
            <w:pPr>
              <w:spacing w:after="0" w:line="240" w:lineRule="auto"/>
              <w:jc w:val="center"/>
              <w:rPr>
                <w:rFonts w:ascii="Calibri" w:eastAsia="Calibri" w:hAnsi="Calibri" w:cs="Arial"/>
                <w:b/>
                <w:bCs/>
                <w:color w:val="FFFFFF"/>
                <w:szCs w:val="22"/>
              </w:rPr>
            </w:pPr>
            <w:r w:rsidRPr="000055D1">
              <w:rPr>
                <w:rFonts w:ascii="Calibri" w:eastAsia="Calibri" w:hAnsi="Calibri" w:cs="Arial"/>
                <w:b/>
                <w:bCs/>
                <w:szCs w:val="22"/>
              </w:rPr>
              <w:br w:type="page"/>
            </w:r>
            <w:r w:rsidRPr="00572EA6">
              <w:rPr>
                <w:rFonts w:ascii="Calibri" w:eastAsia="Calibri" w:hAnsi="Calibri" w:cs="Arial"/>
                <w:b/>
                <w:bCs/>
                <w:color w:val="auto"/>
                <w:sz w:val="24"/>
                <w:szCs w:val="22"/>
              </w:rPr>
              <w:t>Exhibit 21. Child Welfare Population Rates for 2010 and 2015 Summary Table</w:t>
            </w:r>
          </w:p>
        </w:tc>
      </w:tr>
      <w:tr w:rsidR="00D86A11" w:rsidRPr="008314D7" w:rsidTr="007F165C">
        <w:trPr>
          <w:trHeight w:val="301"/>
        </w:trPr>
        <w:tc>
          <w:tcPr>
            <w:tcW w:w="4068" w:type="dxa"/>
            <w:vMerge w:val="restart"/>
            <w:shd w:val="clear" w:color="auto" w:fill="013161"/>
            <w:vAlign w:val="bottom"/>
          </w:tcPr>
          <w:p w:rsidR="00D86A11" w:rsidRPr="00721EF1" w:rsidRDefault="00D86A11" w:rsidP="00D86A11">
            <w:pPr>
              <w:jc w:val="center"/>
              <w:rPr>
                <w:rFonts w:ascii="Calibri" w:eastAsia="Calibri" w:hAnsi="Calibri" w:cs="Arial"/>
                <w:bCs/>
                <w:color w:val="FFFFFF"/>
                <w:szCs w:val="22"/>
              </w:rPr>
            </w:pPr>
          </w:p>
        </w:tc>
        <w:tc>
          <w:tcPr>
            <w:tcW w:w="4230" w:type="dxa"/>
            <w:gridSpan w:val="4"/>
            <w:shd w:val="clear" w:color="auto" w:fill="013161"/>
          </w:tcPr>
          <w:p w:rsidR="00D86A11" w:rsidRPr="00721EF1" w:rsidRDefault="00D86A11" w:rsidP="00D86A11">
            <w:pPr>
              <w:spacing w:after="0" w:line="240" w:lineRule="auto"/>
              <w:jc w:val="center"/>
              <w:rPr>
                <w:rFonts w:ascii="Calibri" w:eastAsia="Calibri" w:hAnsi="Calibri" w:cs="Arial"/>
                <w:b/>
                <w:color w:val="FFFFFF"/>
                <w:szCs w:val="22"/>
              </w:rPr>
            </w:pPr>
            <w:r>
              <w:rPr>
                <w:rFonts w:ascii="Calibri" w:eastAsia="Calibri" w:hAnsi="Calibri" w:cs="Arial"/>
                <w:b/>
                <w:bCs/>
                <w:color w:val="auto"/>
                <w:szCs w:val="22"/>
              </w:rPr>
              <w:t xml:space="preserve">County of </w:t>
            </w:r>
            <w:r w:rsidRPr="00FD181E">
              <w:rPr>
                <w:rFonts w:ascii="Calibri" w:eastAsia="Calibri" w:hAnsi="Calibri" w:cs="Arial"/>
                <w:b/>
                <w:bCs/>
                <w:color w:val="auto"/>
                <w:szCs w:val="22"/>
              </w:rPr>
              <w:t>San Diego</w:t>
            </w:r>
          </w:p>
        </w:tc>
        <w:tc>
          <w:tcPr>
            <w:tcW w:w="1170" w:type="dxa"/>
            <w:tcBorders>
              <w:bottom w:val="nil"/>
            </w:tcBorders>
            <w:shd w:val="clear" w:color="auto" w:fill="013161"/>
            <w:noWrap/>
          </w:tcPr>
          <w:p w:rsidR="00D86A11" w:rsidRPr="00721EF1" w:rsidRDefault="00D86A11" w:rsidP="00D86A11">
            <w:pPr>
              <w:spacing w:after="0" w:line="240" w:lineRule="auto"/>
              <w:jc w:val="center"/>
              <w:rPr>
                <w:rFonts w:ascii="Calibri" w:eastAsia="Calibri" w:hAnsi="Calibri" w:cs="Arial"/>
                <w:b/>
                <w:bCs/>
                <w:color w:val="FFFFFF"/>
                <w:szCs w:val="22"/>
              </w:rPr>
            </w:pPr>
            <w:r w:rsidRPr="00FD181E">
              <w:rPr>
                <w:rFonts w:ascii="Calibri" w:eastAsia="Calibri" w:hAnsi="Calibri" w:cs="Arial"/>
                <w:b/>
                <w:bCs/>
                <w:color w:val="auto"/>
                <w:szCs w:val="22"/>
              </w:rPr>
              <w:t>California</w:t>
            </w:r>
          </w:p>
        </w:tc>
      </w:tr>
      <w:tr w:rsidR="00D86A11" w:rsidRPr="008314D7" w:rsidTr="007F165C">
        <w:trPr>
          <w:trHeight w:val="144"/>
        </w:trPr>
        <w:tc>
          <w:tcPr>
            <w:tcW w:w="4068" w:type="dxa"/>
            <w:vMerge/>
            <w:shd w:val="clear" w:color="auto" w:fill="013161"/>
            <w:vAlign w:val="bottom"/>
          </w:tcPr>
          <w:p w:rsidR="00D86A11" w:rsidRPr="00721EF1" w:rsidRDefault="00D86A11" w:rsidP="00D86A11">
            <w:pPr>
              <w:jc w:val="center"/>
              <w:rPr>
                <w:rFonts w:ascii="Calibri" w:eastAsia="Calibri" w:hAnsi="Calibri" w:cs="Arial"/>
                <w:bCs/>
                <w:color w:val="FFFFFF"/>
                <w:szCs w:val="22"/>
              </w:rPr>
            </w:pPr>
          </w:p>
        </w:tc>
        <w:tc>
          <w:tcPr>
            <w:tcW w:w="2164" w:type="dxa"/>
            <w:gridSpan w:val="2"/>
            <w:tcBorders>
              <w:right w:val="single" w:sz="18" w:space="0" w:color="F6872B"/>
            </w:tcBorders>
            <w:shd w:val="clear" w:color="auto" w:fill="013161"/>
          </w:tcPr>
          <w:p w:rsidR="00D86A11" w:rsidRPr="00721EF1" w:rsidRDefault="00D86A11" w:rsidP="00D86A11">
            <w:pPr>
              <w:spacing w:after="0" w:line="240" w:lineRule="auto"/>
              <w:jc w:val="center"/>
              <w:rPr>
                <w:rFonts w:ascii="Calibri" w:eastAsia="Calibri" w:hAnsi="Calibri" w:cs="Arial"/>
                <w:b/>
                <w:color w:val="FFFFFF"/>
                <w:szCs w:val="22"/>
              </w:rPr>
            </w:pPr>
            <w:r w:rsidRPr="00FD181E">
              <w:rPr>
                <w:rFonts w:ascii="Calibri" w:eastAsia="Calibri" w:hAnsi="Calibri" w:cs="Arial"/>
                <w:b/>
                <w:bCs/>
                <w:color w:val="auto"/>
                <w:szCs w:val="22"/>
              </w:rPr>
              <w:t>2010</w:t>
            </w:r>
          </w:p>
        </w:tc>
        <w:tc>
          <w:tcPr>
            <w:tcW w:w="2066" w:type="dxa"/>
            <w:gridSpan w:val="2"/>
            <w:tcBorders>
              <w:top w:val="nil"/>
              <w:left w:val="single" w:sz="18" w:space="0" w:color="F6872B"/>
              <w:bottom w:val="nil"/>
              <w:right w:val="single" w:sz="18" w:space="0" w:color="F6872B"/>
            </w:tcBorders>
            <w:shd w:val="clear" w:color="auto" w:fill="013161"/>
          </w:tcPr>
          <w:p w:rsidR="00D86A11" w:rsidRPr="00721EF1" w:rsidRDefault="00D86A11" w:rsidP="00D86A11">
            <w:pPr>
              <w:spacing w:after="0" w:line="240" w:lineRule="auto"/>
              <w:jc w:val="center"/>
              <w:rPr>
                <w:rFonts w:ascii="Calibri" w:eastAsia="Calibri" w:hAnsi="Calibri" w:cs="Arial"/>
                <w:b/>
                <w:color w:val="FFFFFF"/>
                <w:szCs w:val="22"/>
              </w:rPr>
            </w:pPr>
            <w:r w:rsidRPr="00FD181E">
              <w:rPr>
                <w:rFonts w:ascii="Calibri" w:eastAsia="Calibri" w:hAnsi="Calibri" w:cs="Arial"/>
                <w:b/>
                <w:bCs/>
                <w:color w:val="auto"/>
                <w:szCs w:val="22"/>
              </w:rPr>
              <w:t>2015</w:t>
            </w:r>
          </w:p>
        </w:tc>
        <w:tc>
          <w:tcPr>
            <w:tcW w:w="1170" w:type="dxa"/>
            <w:tcBorders>
              <w:top w:val="nil"/>
              <w:left w:val="single" w:sz="18" w:space="0" w:color="F6872B"/>
              <w:bottom w:val="nil"/>
            </w:tcBorders>
            <w:shd w:val="clear" w:color="auto" w:fill="013161"/>
            <w:noWrap/>
          </w:tcPr>
          <w:p w:rsidR="00D86A11" w:rsidRPr="00721EF1" w:rsidRDefault="00D86A11" w:rsidP="00D86A11">
            <w:pPr>
              <w:spacing w:after="0" w:line="240" w:lineRule="auto"/>
              <w:jc w:val="center"/>
              <w:rPr>
                <w:rFonts w:ascii="Calibri" w:eastAsia="Calibri" w:hAnsi="Calibri" w:cs="Arial"/>
                <w:b/>
                <w:color w:val="FFFFFF"/>
                <w:szCs w:val="22"/>
              </w:rPr>
            </w:pPr>
            <w:r w:rsidRPr="00FD181E">
              <w:rPr>
                <w:rFonts w:ascii="Calibri" w:eastAsia="Calibri" w:hAnsi="Calibri" w:cs="Arial"/>
                <w:b/>
                <w:bCs/>
                <w:color w:val="auto"/>
                <w:szCs w:val="22"/>
              </w:rPr>
              <w:t>2015</w:t>
            </w:r>
          </w:p>
        </w:tc>
      </w:tr>
      <w:tr w:rsidR="00D86A11" w:rsidRPr="008314D7" w:rsidTr="007F165C">
        <w:trPr>
          <w:trHeight w:val="304"/>
        </w:trPr>
        <w:tc>
          <w:tcPr>
            <w:tcW w:w="4068" w:type="dxa"/>
            <w:vMerge/>
            <w:shd w:val="clear" w:color="auto" w:fill="013161"/>
          </w:tcPr>
          <w:p w:rsidR="00D86A11" w:rsidRPr="00721EF1" w:rsidRDefault="00D86A11" w:rsidP="00D86A11">
            <w:pPr>
              <w:rPr>
                <w:rFonts w:ascii="Calibri" w:eastAsia="Calibri" w:hAnsi="Calibri" w:cs="Arial"/>
                <w:b/>
                <w:bCs/>
                <w:color w:val="FFFFFF"/>
                <w:szCs w:val="22"/>
              </w:rPr>
            </w:pPr>
          </w:p>
        </w:tc>
        <w:tc>
          <w:tcPr>
            <w:tcW w:w="1080" w:type="dxa"/>
            <w:shd w:val="clear" w:color="auto" w:fill="013161"/>
            <w:vAlign w:val="center"/>
          </w:tcPr>
          <w:p w:rsidR="00D86A11" w:rsidRPr="006376BE" w:rsidRDefault="00D86A11" w:rsidP="00D86A11">
            <w:pPr>
              <w:spacing w:after="0" w:line="240" w:lineRule="auto"/>
              <w:jc w:val="center"/>
              <w:rPr>
                <w:rFonts w:ascii="Calibri" w:eastAsia="Calibri" w:hAnsi="Calibri" w:cs="Arial"/>
                <w:b/>
                <w:bCs/>
                <w:color w:val="auto"/>
                <w:szCs w:val="22"/>
              </w:rPr>
            </w:pPr>
            <w:r w:rsidRPr="006376BE">
              <w:rPr>
                <w:rFonts w:ascii="Calibri" w:eastAsia="Calibri" w:hAnsi="Calibri" w:cs="Arial"/>
                <w:b/>
                <w:bCs/>
                <w:color w:val="auto"/>
                <w:szCs w:val="22"/>
              </w:rPr>
              <w:t xml:space="preserve"> Number</w:t>
            </w:r>
          </w:p>
        </w:tc>
        <w:tc>
          <w:tcPr>
            <w:tcW w:w="1084" w:type="dxa"/>
            <w:tcBorders>
              <w:right w:val="single" w:sz="18" w:space="0" w:color="F6872B"/>
            </w:tcBorders>
            <w:shd w:val="clear" w:color="auto" w:fill="013161"/>
            <w:vAlign w:val="center"/>
          </w:tcPr>
          <w:p w:rsidR="00D86A11" w:rsidRPr="006376BE" w:rsidRDefault="00D86A11" w:rsidP="00D86A11">
            <w:pPr>
              <w:spacing w:after="0" w:line="240" w:lineRule="auto"/>
              <w:jc w:val="center"/>
              <w:rPr>
                <w:rFonts w:ascii="Calibri" w:eastAsia="Calibri" w:hAnsi="Calibri" w:cs="Arial"/>
                <w:b/>
                <w:bCs/>
                <w:color w:val="auto"/>
                <w:szCs w:val="22"/>
              </w:rPr>
            </w:pPr>
            <w:r w:rsidRPr="006376BE">
              <w:rPr>
                <w:rFonts w:ascii="Calibri" w:eastAsia="Calibri" w:hAnsi="Calibri" w:cs="Arial"/>
                <w:b/>
                <w:bCs/>
                <w:color w:val="auto"/>
                <w:szCs w:val="22"/>
              </w:rPr>
              <w:t>Rate per 1,000</w:t>
            </w:r>
          </w:p>
        </w:tc>
        <w:tc>
          <w:tcPr>
            <w:tcW w:w="986" w:type="dxa"/>
            <w:tcBorders>
              <w:top w:val="nil"/>
              <w:left w:val="single" w:sz="18" w:space="0" w:color="F6872B"/>
              <w:bottom w:val="nil"/>
              <w:right w:val="nil"/>
            </w:tcBorders>
            <w:shd w:val="clear" w:color="auto" w:fill="013161"/>
            <w:vAlign w:val="center"/>
          </w:tcPr>
          <w:p w:rsidR="00D86A11" w:rsidRPr="006376BE" w:rsidRDefault="00D86A11" w:rsidP="00D86A11">
            <w:pPr>
              <w:spacing w:after="0" w:line="240" w:lineRule="auto"/>
              <w:jc w:val="center"/>
              <w:rPr>
                <w:rFonts w:ascii="Calibri" w:eastAsia="Calibri" w:hAnsi="Calibri" w:cs="Arial"/>
                <w:b/>
                <w:bCs/>
                <w:color w:val="auto"/>
                <w:szCs w:val="22"/>
              </w:rPr>
            </w:pPr>
            <w:r w:rsidRPr="006376BE">
              <w:rPr>
                <w:rFonts w:ascii="Calibri" w:eastAsia="Calibri" w:hAnsi="Calibri" w:cs="Arial"/>
                <w:b/>
                <w:bCs/>
                <w:color w:val="auto"/>
                <w:szCs w:val="22"/>
              </w:rPr>
              <w:t>Number</w:t>
            </w:r>
          </w:p>
        </w:tc>
        <w:tc>
          <w:tcPr>
            <w:tcW w:w="1080" w:type="dxa"/>
            <w:tcBorders>
              <w:top w:val="nil"/>
              <w:left w:val="nil"/>
              <w:bottom w:val="nil"/>
              <w:right w:val="single" w:sz="18" w:space="0" w:color="F6872B"/>
            </w:tcBorders>
            <w:shd w:val="clear" w:color="auto" w:fill="013161"/>
            <w:vAlign w:val="center"/>
          </w:tcPr>
          <w:p w:rsidR="00D86A11" w:rsidRPr="006376BE" w:rsidRDefault="00D86A11" w:rsidP="00D86A11">
            <w:pPr>
              <w:spacing w:after="0" w:line="240" w:lineRule="auto"/>
              <w:jc w:val="center"/>
              <w:rPr>
                <w:rFonts w:ascii="Calibri" w:eastAsia="Calibri" w:hAnsi="Calibri" w:cs="Arial"/>
                <w:b/>
                <w:bCs/>
                <w:color w:val="auto"/>
                <w:szCs w:val="22"/>
              </w:rPr>
            </w:pPr>
            <w:r w:rsidRPr="006376BE">
              <w:rPr>
                <w:rFonts w:ascii="Calibri" w:eastAsia="Calibri" w:hAnsi="Calibri" w:cs="Arial"/>
                <w:b/>
                <w:bCs/>
                <w:color w:val="auto"/>
                <w:szCs w:val="22"/>
              </w:rPr>
              <w:t>Rate per 1,000</w:t>
            </w:r>
          </w:p>
        </w:tc>
        <w:tc>
          <w:tcPr>
            <w:tcW w:w="1170" w:type="dxa"/>
            <w:tcBorders>
              <w:top w:val="nil"/>
              <w:left w:val="single" w:sz="18" w:space="0" w:color="F6872B"/>
              <w:bottom w:val="nil"/>
            </w:tcBorders>
            <w:shd w:val="clear" w:color="auto" w:fill="013161"/>
            <w:vAlign w:val="center"/>
          </w:tcPr>
          <w:p w:rsidR="00D86A11" w:rsidRPr="00721EF1" w:rsidRDefault="00D86A11" w:rsidP="00D86A11">
            <w:pPr>
              <w:spacing w:after="0" w:line="240" w:lineRule="auto"/>
              <w:jc w:val="center"/>
              <w:rPr>
                <w:rFonts w:ascii="Calibri" w:eastAsia="Calibri" w:hAnsi="Calibri" w:cs="Arial"/>
                <w:b/>
                <w:color w:val="FFFFFF"/>
                <w:szCs w:val="22"/>
              </w:rPr>
            </w:pPr>
            <w:r w:rsidRPr="006376BE">
              <w:rPr>
                <w:rFonts w:ascii="Calibri" w:eastAsia="Calibri" w:hAnsi="Calibri" w:cs="Arial"/>
                <w:b/>
                <w:bCs/>
                <w:color w:val="auto"/>
                <w:szCs w:val="22"/>
              </w:rPr>
              <w:t>Rate per 1,000</w:t>
            </w:r>
          </w:p>
        </w:tc>
      </w:tr>
      <w:tr w:rsidR="00D86A11" w:rsidRPr="00D214F1" w:rsidTr="007F165C">
        <w:trPr>
          <w:trHeight w:val="224"/>
        </w:trPr>
        <w:tc>
          <w:tcPr>
            <w:tcW w:w="4068" w:type="dxa"/>
            <w:shd w:val="clear" w:color="auto" w:fill="FFFFFF"/>
            <w:vAlign w:val="center"/>
          </w:tcPr>
          <w:p w:rsidR="00D86A11" w:rsidRPr="00F60F02" w:rsidRDefault="00D86A11" w:rsidP="00D86A11">
            <w:pPr>
              <w:autoSpaceDE w:val="0"/>
              <w:autoSpaceDN w:val="0"/>
              <w:adjustRightInd w:val="0"/>
              <w:spacing w:after="0" w:line="240" w:lineRule="auto"/>
              <w:rPr>
                <w:rFonts w:ascii="Calibri" w:eastAsia="Calibri" w:hAnsi="Calibri" w:cs="Arial"/>
                <w:b/>
                <w:bCs/>
                <w:color w:val="013161"/>
                <w:sz w:val="20"/>
              </w:rPr>
            </w:pPr>
            <w:r w:rsidRPr="00F60F02">
              <w:rPr>
                <w:rFonts w:ascii="Calibri" w:eastAsia="Calibri" w:hAnsi="Calibri" w:cs="Arial"/>
                <w:b/>
                <w:bCs/>
                <w:color w:val="013161"/>
                <w:sz w:val="20"/>
              </w:rPr>
              <w:t>Child Population (age 0 to 17)</w:t>
            </w:r>
          </w:p>
        </w:tc>
        <w:tc>
          <w:tcPr>
            <w:tcW w:w="1080" w:type="dxa"/>
            <w:shd w:val="clear" w:color="auto" w:fill="FFFFFF"/>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722,647</w:t>
            </w:r>
          </w:p>
        </w:tc>
        <w:tc>
          <w:tcPr>
            <w:tcW w:w="1084" w:type="dxa"/>
            <w:tcBorders>
              <w:right w:val="single" w:sz="18" w:space="0" w:color="F6872B"/>
            </w:tcBorders>
            <w:shd w:val="clear" w:color="auto" w:fill="FFFFFF"/>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w:t>
            </w:r>
          </w:p>
        </w:tc>
        <w:tc>
          <w:tcPr>
            <w:tcW w:w="986" w:type="dxa"/>
            <w:tcBorders>
              <w:top w:val="nil"/>
              <w:left w:val="single" w:sz="18" w:space="0" w:color="F6872B"/>
              <w:bottom w:val="nil"/>
            </w:tcBorders>
            <w:shd w:val="clear" w:color="auto" w:fill="FFFFFF"/>
            <w:noWrap/>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738,367</w:t>
            </w:r>
          </w:p>
        </w:tc>
        <w:tc>
          <w:tcPr>
            <w:tcW w:w="1080" w:type="dxa"/>
            <w:tcBorders>
              <w:top w:val="nil"/>
              <w:right w:val="single" w:sz="18" w:space="0" w:color="F6872B"/>
            </w:tcBorders>
            <w:shd w:val="clear" w:color="auto" w:fill="FFFFFF"/>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w:t>
            </w:r>
          </w:p>
        </w:tc>
        <w:tc>
          <w:tcPr>
            <w:tcW w:w="1170" w:type="dxa"/>
            <w:tcBorders>
              <w:top w:val="nil"/>
              <w:left w:val="single" w:sz="18" w:space="0" w:color="F6872B"/>
              <w:bottom w:val="nil"/>
            </w:tcBorders>
            <w:shd w:val="clear" w:color="auto" w:fill="FFFFFF"/>
            <w:noWrap/>
            <w:vAlign w:val="center"/>
          </w:tcPr>
          <w:p w:rsidR="00D86A11" w:rsidRPr="004D2A28" w:rsidRDefault="00D86A11" w:rsidP="00D86A11">
            <w:pPr>
              <w:autoSpaceDE w:val="0"/>
              <w:autoSpaceDN w:val="0"/>
              <w:adjustRightInd w:val="0"/>
              <w:spacing w:after="0" w:line="240" w:lineRule="auto"/>
              <w:jc w:val="center"/>
              <w:rPr>
                <w:rStyle w:val="Heading1Char"/>
                <w:rFonts w:ascii="Calibri" w:hAnsi="Calibri"/>
                <w:color w:val="2E7029"/>
                <w:sz w:val="20"/>
                <w:szCs w:val="28"/>
              </w:rPr>
            </w:pPr>
            <w:r w:rsidRPr="004D2A28">
              <w:rPr>
                <w:rStyle w:val="Heading1Char"/>
                <w:rFonts w:ascii="Calibri" w:hAnsi="Calibri"/>
                <w:color w:val="2E7029"/>
                <w:sz w:val="20"/>
                <w:szCs w:val="28"/>
              </w:rPr>
              <w:t>-</w:t>
            </w:r>
          </w:p>
        </w:tc>
      </w:tr>
      <w:tr w:rsidR="00D86A11" w:rsidRPr="00D214F1" w:rsidTr="007F165C">
        <w:trPr>
          <w:trHeight w:val="332"/>
        </w:trPr>
        <w:tc>
          <w:tcPr>
            <w:tcW w:w="4068" w:type="dxa"/>
            <w:shd w:val="clear" w:color="auto" w:fill="DBE5F1"/>
            <w:vAlign w:val="center"/>
          </w:tcPr>
          <w:p w:rsidR="00D86A11" w:rsidRPr="00F60F02" w:rsidRDefault="00D86A11" w:rsidP="00D86A11">
            <w:pPr>
              <w:autoSpaceDE w:val="0"/>
              <w:autoSpaceDN w:val="0"/>
              <w:adjustRightInd w:val="0"/>
              <w:spacing w:after="0" w:line="240" w:lineRule="auto"/>
              <w:rPr>
                <w:rFonts w:ascii="Calibri" w:eastAsia="Calibri" w:hAnsi="Calibri" w:cs="Arial"/>
                <w:b/>
                <w:bCs/>
                <w:color w:val="013161"/>
                <w:sz w:val="20"/>
              </w:rPr>
            </w:pPr>
            <w:r w:rsidRPr="00F60F02">
              <w:rPr>
                <w:rFonts w:ascii="Calibri" w:eastAsia="Calibri" w:hAnsi="Calibri" w:cs="Arial"/>
                <w:b/>
                <w:bCs/>
                <w:color w:val="013161"/>
                <w:sz w:val="20"/>
              </w:rPr>
              <w:t>Children with Allegations of Abuse/Neglect</w:t>
            </w:r>
          </w:p>
        </w:tc>
        <w:tc>
          <w:tcPr>
            <w:tcW w:w="1080" w:type="dxa"/>
            <w:shd w:val="clear" w:color="auto" w:fill="DBE5F1"/>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50,329</w:t>
            </w:r>
          </w:p>
        </w:tc>
        <w:tc>
          <w:tcPr>
            <w:tcW w:w="1084" w:type="dxa"/>
            <w:tcBorders>
              <w:right w:val="single" w:sz="18" w:space="0" w:color="F6872B"/>
            </w:tcBorders>
            <w:shd w:val="clear" w:color="auto" w:fill="DBE5F1"/>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69.6</w:t>
            </w:r>
          </w:p>
        </w:tc>
        <w:tc>
          <w:tcPr>
            <w:tcW w:w="986" w:type="dxa"/>
            <w:tcBorders>
              <w:top w:val="nil"/>
              <w:left w:val="single" w:sz="18" w:space="0" w:color="F6872B"/>
              <w:bottom w:val="nil"/>
            </w:tcBorders>
            <w:shd w:val="clear" w:color="auto" w:fill="DBE5F1"/>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50,802</w:t>
            </w:r>
          </w:p>
        </w:tc>
        <w:tc>
          <w:tcPr>
            <w:tcW w:w="1080" w:type="dxa"/>
            <w:tcBorders>
              <w:right w:val="single" w:sz="18" w:space="0" w:color="F6872B"/>
            </w:tcBorders>
            <w:shd w:val="clear" w:color="auto" w:fill="DBE5F1"/>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68.8</w:t>
            </w:r>
          </w:p>
        </w:tc>
        <w:tc>
          <w:tcPr>
            <w:tcW w:w="1170" w:type="dxa"/>
            <w:tcBorders>
              <w:top w:val="nil"/>
              <w:left w:val="single" w:sz="18" w:space="0" w:color="F6872B"/>
              <w:bottom w:val="nil"/>
            </w:tcBorders>
            <w:shd w:val="clear" w:color="auto" w:fill="DBE5F1"/>
            <w:vAlign w:val="center"/>
          </w:tcPr>
          <w:p w:rsidR="00D86A11" w:rsidRPr="004D2A28" w:rsidRDefault="00D86A11" w:rsidP="00D86A11">
            <w:pPr>
              <w:autoSpaceDE w:val="0"/>
              <w:autoSpaceDN w:val="0"/>
              <w:adjustRightInd w:val="0"/>
              <w:spacing w:after="0" w:line="240" w:lineRule="auto"/>
              <w:jc w:val="center"/>
              <w:rPr>
                <w:rStyle w:val="Heading1Char"/>
                <w:rFonts w:ascii="Calibri" w:hAnsi="Calibri"/>
                <w:color w:val="2E7029"/>
                <w:sz w:val="20"/>
                <w:szCs w:val="28"/>
              </w:rPr>
            </w:pPr>
            <w:r w:rsidRPr="004D2A28">
              <w:rPr>
                <w:rStyle w:val="Heading1Char"/>
                <w:rFonts w:ascii="Calibri" w:hAnsi="Calibri"/>
                <w:color w:val="2E7029"/>
                <w:sz w:val="20"/>
                <w:szCs w:val="28"/>
              </w:rPr>
              <w:t>55.0</w:t>
            </w:r>
          </w:p>
        </w:tc>
      </w:tr>
      <w:tr w:rsidR="00D86A11" w:rsidRPr="00D214F1" w:rsidTr="007F165C">
        <w:trPr>
          <w:trHeight w:val="304"/>
        </w:trPr>
        <w:tc>
          <w:tcPr>
            <w:tcW w:w="4068" w:type="dxa"/>
            <w:shd w:val="clear" w:color="auto" w:fill="FFFFFF"/>
            <w:vAlign w:val="center"/>
          </w:tcPr>
          <w:p w:rsidR="00D86A11" w:rsidRPr="00F60F02" w:rsidRDefault="00D86A11" w:rsidP="00D86A11">
            <w:pPr>
              <w:autoSpaceDE w:val="0"/>
              <w:autoSpaceDN w:val="0"/>
              <w:adjustRightInd w:val="0"/>
              <w:spacing w:after="0" w:line="240" w:lineRule="auto"/>
              <w:rPr>
                <w:rFonts w:ascii="Calibri" w:eastAsia="Calibri" w:hAnsi="Calibri" w:cs="Arial"/>
                <w:b/>
                <w:bCs/>
                <w:color w:val="013161"/>
                <w:sz w:val="20"/>
              </w:rPr>
            </w:pPr>
            <w:r w:rsidRPr="00F60F02">
              <w:rPr>
                <w:rFonts w:ascii="Calibri" w:eastAsia="Calibri" w:hAnsi="Calibri" w:cs="Arial"/>
                <w:b/>
                <w:bCs/>
                <w:color w:val="013161"/>
                <w:sz w:val="20"/>
              </w:rPr>
              <w:t>Children with Substantiated Allegations</w:t>
            </w:r>
          </w:p>
        </w:tc>
        <w:tc>
          <w:tcPr>
            <w:tcW w:w="1080" w:type="dxa"/>
            <w:shd w:val="clear" w:color="auto" w:fill="FFFFFF"/>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6,703</w:t>
            </w:r>
          </w:p>
        </w:tc>
        <w:tc>
          <w:tcPr>
            <w:tcW w:w="1084" w:type="dxa"/>
            <w:tcBorders>
              <w:right w:val="single" w:sz="18" w:space="0" w:color="F6872B"/>
            </w:tcBorders>
            <w:shd w:val="clear" w:color="auto" w:fill="FFFFFF"/>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9.3</w:t>
            </w:r>
          </w:p>
        </w:tc>
        <w:tc>
          <w:tcPr>
            <w:tcW w:w="986" w:type="dxa"/>
            <w:tcBorders>
              <w:top w:val="nil"/>
              <w:left w:val="single" w:sz="18" w:space="0" w:color="F6872B"/>
              <w:bottom w:val="nil"/>
            </w:tcBorders>
            <w:shd w:val="clear" w:color="auto" w:fill="FFFFFF"/>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4,910</w:t>
            </w:r>
          </w:p>
        </w:tc>
        <w:tc>
          <w:tcPr>
            <w:tcW w:w="1080" w:type="dxa"/>
            <w:tcBorders>
              <w:right w:val="single" w:sz="18" w:space="0" w:color="F6872B"/>
            </w:tcBorders>
            <w:shd w:val="clear" w:color="auto" w:fill="FFFFFF"/>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6.6</w:t>
            </w:r>
          </w:p>
        </w:tc>
        <w:tc>
          <w:tcPr>
            <w:tcW w:w="1170" w:type="dxa"/>
            <w:tcBorders>
              <w:top w:val="nil"/>
              <w:left w:val="single" w:sz="18" w:space="0" w:color="F6872B"/>
              <w:bottom w:val="nil"/>
            </w:tcBorders>
            <w:shd w:val="clear" w:color="auto" w:fill="FFFFFF"/>
            <w:vAlign w:val="center"/>
          </w:tcPr>
          <w:p w:rsidR="00D86A11" w:rsidRPr="004D2A28" w:rsidRDefault="00D86A11" w:rsidP="00D86A11">
            <w:pPr>
              <w:autoSpaceDE w:val="0"/>
              <w:autoSpaceDN w:val="0"/>
              <w:adjustRightInd w:val="0"/>
              <w:spacing w:after="0" w:line="240" w:lineRule="auto"/>
              <w:jc w:val="center"/>
              <w:rPr>
                <w:rStyle w:val="Heading1Char"/>
                <w:rFonts w:ascii="Calibri" w:hAnsi="Calibri"/>
                <w:color w:val="2E7029"/>
                <w:sz w:val="20"/>
                <w:szCs w:val="28"/>
              </w:rPr>
            </w:pPr>
            <w:r w:rsidRPr="004D2A28">
              <w:rPr>
                <w:rStyle w:val="Heading1Char"/>
                <w:rFonts w:ascii="Calibri" w:hAnsi="Calibri"/>
                <w:color w:val="2E7029"/>
                <w:sz w:val="20"/>
                <w:szCs w:val="28"/>
              </w:rPr>
              <w:t>8.2</w:t>
            </w:r>
          </w:p>
        </w:tc>
      </w:tr>
      <w:tr w:rsidR="00D86A11" w:rsidRPr="00D214F1" w:rsidTr="007F165C">
        <w:trPr>
          <w:trHeight w:val="304"/>
        </w:trPr>
        <w:tc>
          <w:tcPr>
            <w:tcW w:w="4068" w:type="dxa"/>
            <w:shd w:val="clear" w:color="auto" w:fill="DBE5F1"/>
            <w:vAlign w:val="center"/>
          </w:tcPr>
          <w:p w:rsidR="00D86A11" w:rsidRPr="00A32EC0" w:rsidRDefault="00D86A11" w:rsidP="00D86A11">
            <w:pPr>
              <w:autoSpaceDE w:val="0"/>
              <w:autoSpaceDN w:val="0"/>
              <w:adjustRightInd w:val="0"/>
              <w:spacing w:after="0" w:line="240" w:lineRule="auto"/>
              <w:rPr>
                <w:rFonts w:ascii="Calibri" w:eastAsia="Calibri" w:hAnsi="Calibri" w:cs="Arial"/>
                <w:b/>
                <w:bCs/>
                <w:color w:val="013161"/>
                <w:sz w:val="20"/>
              </w:rPr>
            </w:pPr>
            <w:r w:rsidRPr="00A32EC0">
              <w:rPr>
                <w:rFonts w:ascii="Calibri" w:eastAsia="Calibri" w:hAnsi="Calibri" w:cs="Arial"/>
                <w:b/>
                <w:bCs/>
                <w:color w:val="013161"/>
                <w:sz w:val="20"/>
              </w:rPr>
              <w:t>Children Entering Out-of-Home Care for First Time</w:t>
            </w:r>
          </w:p>
        </w:tc>
        <w:tc>
          <w:tcPr>
            <w:tcW w:w="1080" w:type="dxa"/>
            <w:shd w:val="clear" w:color="auto" w:fill="DBE5F1"/>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1,728</w:t>
            </w:r>
          </w:p>
        </w:tc>
        <w:tc>
          <w:tcPr>
            <w:tcW w:w="1084" w:type="dxa"/>
            <w:tcBorders>
              <w:right w:val="single" w:sz="18" w:space="0" w:color="F6872B"/>
            </w:tcBorders>
            <w:shd w:val="clear" w:color="auto" w:fill="DBE5F1"/>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2.4</w:t>
            </w:r>
          </w:p>
        </w:tc>
        <w:tc>
          <w:tcPr>
            <w:tcW w:w="986" w:type="dxa"/>
            <w:tcBorders>
              <w:top w:val="nil"/>
              <w:left w:val="single" w:sz="18" w:space="0" w:color="F6872B"/>
              <w:bottom w:val="nil"/>
            </w:tcBorders>
            <w:shd w:val="clear" w:color="auto" w:fill="DBE5F1"/>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1,635</w:t>
            </w:r>
          </w:p>
        </w:tc>
        <w:tc>
          <w:tcPr>
            <w:tcW w:w="1080" w:type="dxa"/>
            <w:tcBorders>
              <w:right w:val="single" w:sz="18" w:space="0" w:color="F6872B"/>
            </w:tcBorders>
            <w:shd w:val="clear" w:color="auto" w:fill="DBE5F1"/>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2.2</w:t>
            </w:r>
          </w:p>
        </w:tc>
        <w:tc>
          <w:tcPr>
            <w:tcW w:w="1170" w:type="dxa"/>
            <w:tcBorders>
              <w:top w:val="nil"/>
              <w:left w:val="single" w:sz="18" w:space="0" w:color="F6872B"/>
              <w:bottom w:val="nil"/>
            </w:tcBorders>
            <w:shd w:val="clear" w:color="auto" w:fill="DBE5F1"/>
            <w:vAlign w:val="center"/>
          </w:tcPr>
          <w:p w:rsidR="00D86A11" w:rsidRPr="004D2A28" w:rsidRDefault="00D86A11" w:rsidP="00D86A11">
            <w:pPr>
              <w:autoSpaceDE w:val="0"/>
              <w:autoSpaceDN w:val="0"/>
              <w:adjustRightInd w:val="0"/>
              <w:spacing w:after="0" w:line="240" w:lineRule="auto"/>
              <w:jc w:val="center"/>
              <w:rPr>
                <w:rStyle w:val="Heading1Char"/>
                <w:rFonts w:ascii="Calibri" w:hAnsi="Calibri"/>
                <w:color w:val="2E7029"/>
                <w:sz w:val="20"/>
                <w:szCs w:val="28"/>
              </w:rPr>
            </w:pPr>
            <w:r w:rsidRPr="004D2A28">
              <w:rPr>
                <w:rStyle w:val="Heading1Char"/>
                <w:rFonts w:ascii="Calibri" w:hAnsi="Calibri"/>
                <w:color w:val="2E7029"/>
                <w:sz w:val="20"/>
                <w:szCs w:val="28"/>
              </w:rPr>
              <w:t>2.7</w:t>
            </w:r>
          </w:p>
        </w:tc>
      </w:tr>
      <w:tr w:rsidR="00D86A11" w:rsidRPr="00D214F1" w:rsidTr="007F165C">
        <w:trPr>
          <w:trHeight w:val="609"/>
        </w:trPr>
        <w:tc>
          <w:tcPr>
            <w:tcW w:w="4068" w:type="dxa"/>
            <w:shd w:val="clear" w:color="auto" w:fill="FFFFFF"/>
            <w:vAlign w:val="center"/>
          </w:tcPr>
          <w:p w:rsidR="00D86A11" w:rsidRPr="00A32EC0" w:rsidRDefault="00D86A11" w:rsidP="00D86A11">
            <w:pPr>
              <w:autoSpaceDE w:val="0"/>
              <w:autoSpaceDN w:val="0"/>
              <w:adjustRightInd w:val="0"/>
              <w:spacing w:after="0" w:line="240" w:lineRule="auto"/>
              <w:rPr>
                <w:rFonts w:ascii="Calibri" w:eastAsia="Calibri" w:hAnsi="Calibri" w:cs="Arial"/>
                <w:b/>
                <w:bCs/>
                <w:color w:val="013161"/>
                <w:sz w:val="20"/>
              </w:rPr>
            </w:pPr>
            <w:r w:rsidRPr="00A32EC0">
              <w:rPr>
                <w:rFonts w:ascii="Calibri" w:eastAsia="Calibri" w:hAnsi="Calibri" w:cs="Arial"/>
                <w:b/>
                <w:bCs/>
                <w:color w:val="013161"/>
                <w:sz w:val="20"/>
              </w:rPr>
              <w:t>Children Entering Out-of-Home Care for Subsequent Time</w:t>
            </w:r>
          </w:p>
        </w:tc>
        <w:tc>
          <w:tcPr>
            <w:tcW w:w="1080" w:type="dxa"/>
            <w:shd w:val="clear" w:color="auto" w:fill="FFFFFF"/>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330</w:t>
            </w:r>
          </w:p>
        </w:tc>
        <w:tc>
          <w:tcPr>
            <w:tcW w:w="1084" w:type="dxa"/>
            <w:tcBorders>
              <w:right w:val="single" w:sz="18" w:space="0" w:color="F6872B"/>
            </w:tcBorders>
            <w:shd w:val="clear" w:color="auto" w:fill="FFFFFF"/>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.5</w:t>
            </w:r>
          </w:p>
        </w:tc>
        <w:tc>
          <w:tcPr>
            <w:tcW w:w="986" w:type="dxa"/>
            <w:tcBorders>
              <w:top w:val="nil"/>
              <w:left w:val="single" w:sz="18" w:space="0" w:color="F6872B"/>
              <w:bottom w:val="nil"/>
            </w:tcBorders>
            <w:shd w:val="clear" w:color="auto" w:fill="FFFFFF"/>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234</w:t>
            </w:r>
          </w:p>
        </w:tc>
        <w:tc>
          <w:tcPr>
            <w:tcW w:w="1080" w:type="dxa"/>
            <w:tcBorders>
              <w:right w:val="single" w:sz="18" w:space="0" w:color="F6872B"/>
            </w:tcBorders>
            <w:shd w:val="clear" w:color="auto" w:fill="FFFFFF"/>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.3</w:t>
            </w:r>
          </w:p>
        </w:tc>
        <w:tc>
          <w:tcPr>
            <w:tcW w:w="1170" w:type="dxa"/>
            <w:tcBorders>
              <w:top w:val="nil"/>
              <w:left w:val="single" w:sz="18" w:space="0" w:color="F6872B"/>
              <w:bottom w:val="nil"/>
            </w:tcBorders>
            <w:shd w:val="clear" w:color="auto" w:fill="FFFFFF"/>
            <w:vAlign w:val="center"/>
          </w:tcPr>
          <w:p w:rsidR="00D86A11" w:rsidRPr="004D2A28" w:rsidRDefault="00D86A11" w:rsidP="00D86A11">
            <w:pPr>
              <w:autoSpaceDE w:val="0"/>
              <w:autoSpaceDN w:val="0"/>
              <w:adjustRightInd w:val="0"/>
              <w:spacing w:after="0" w:line="240" w:lineRule="auto"/>
              <w:jc w:val="center"/>
              <w:rPr>
                <w:rStyle w:val="Heading1Char"/>
                <w:rFonts w:ascii="Calibri" w:hAnsi="Calibri"/>
                <w:color w:val="2E7029"/>
                <w:sz w:val="20"/>
                <w:szCs w:val="28"/>
              </w:rPr>
            </w:pPr>
            <w:r w:rsidRPr="004D2A28">
              <w:rPr>
                <w:rStyle w:val="Heading1Char"/>
                <w:rFonts w:ascii="Calibri" w:hAnsi="Calibri"/>
                <w:color w:val="2E7029"/>
                <w:sz w:val="20"/>
                <w:szCs w:val="28"/>
              </w:rPr>
              <w:t>.6</w:t>
            </w:r>
          </w:p>
        </w:tc>
      </w:tr>
      <w:tr w:rsidR="00D86A11" w:rsidRPr="00D214F1" w:rsidTr="007F165C">
        <w:trPr>
          <w:trHeight w:val="304"/>
        </w:trPr>
        <w:tc>
          <w:tcPr>
            <w:tcW w:w="4068" w:type="dxa"/>
            <w:shd w:val="clear" w:color="auto" w:fill="DBE5F1"/>
            <w:vAlign w:val="center"/>
          </w:tcPr>
          <w:p w:rsidR="00D86A11" w:rsidRPr="00A32EC0" w:rsidRDefault="00D86A11" w:rsidP="00D86A11">
            <w:pPr>
              <w:autoSpaceDE w:val="0"/>
              <w:autoSpaceDN w:val="0"/>
              <w:adjustRightInd w:val="0"/>
              <w:spacing w:after="0" w:line="240" w:lineRule="auto"/>
              <w:rPr>
                <w:rFonts w:ascii="Calibri" w:eastAsia="Calibri" w:hAnsi="Calibri" w:cs="Arial"/>
                <w:b/>
                <w:bCs/>
                <w:color w:val="013161"/>
                <w:sz w:val="20"/>
              </w:rPr>
            </w:pPr>
            <w:r w:rsidRPr="00A32EC0">
              <w:rPr>
                <w:rFonts w:ascii="Calibri" w:eastAsia="Calibri" w:hAnsi="Calibri" w:cs="Arial"/>
                <w:b/>
                <w:bCs/>
                <w:color w:val="013161"/>
                <w:sz w:val="20"/>
              </w:rPr>
              <w:t>Children in Out-of-Home Care (July 1)</w:t>
            </w:r>
          </w:p>
        </w:tc>
        <w:tc>
          <w:tcPr>
            <w:tcW w:w="1080" w:type="dxa"/>
            <w:shd w:val="clear" w:color="auto" w:fill="DBE5F1"/>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3,755</w:t>
            </w:r>
          </w:p>
        </w:tc>
        <w:tc>
          <w:tcPr>
            <w:tcW w:w="1084" w:type="dxa"/>
            <w:tcBorders>
              <w:right w:val="single" w:sz="18" w:space="0" w:color="F6872B"/>
            </w:tcBorders>
            <w:shd w:val="clear" w:color="auto" w:fill="DBE5F1"/>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5.2</w:t>
            </w:r>
          </w:p>
        </w:tc>
        <w:tc>
          <w:tcPr>
            <w:tcW w:w="986" w:type="dxa"/>
            <w:tcBorders>
              <w:top w:val="nil"/>
              <w:left w:val="single" w:sz="18" w:space="0" w:color="F6872B"/>
              <w:bottom w:val="single" w:sz="18" w:space="0" w:color="F6872B"/>
            </w:tcBorders>
            <w:shd w:val="clear" w:color="auto" w:fill="DBE5F1"/>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2,850</w:t>
            </w:r>
          </w:p>
        </w:tc>
        <w:tc>
          <w:tcPr>
            <w:tcW w:w="1080" w:type="dxa"/>
            <w:tcBorders>
              <w:right w:val="single" w:sz="18" w:space="0" w:color="F6872B"/>
            </w:tcBorders>
            <w:shd w:val="clear" w:color="auto" w:fill="DBE5F1"/>
            <w:vAlign w:val="center"/>
          </w:tcPr>
          <w:p w:rsidR="00D86A11" w:rsidRPr="00A32EC0" w:rsidRDefault="00D86A11" w:rsidP="00D86A11">
            <w:pPr>
              <w:autoSpaceDE w:val="0"/>
              <w:autoSpaceDN w:val="0"/>
              <w:adjustRightInd w:val="0"/>
              <w:spacing w:after="0" w:line="240" w:lineRule="auto"/>
              <w:jc w:val="center"/>
              <w:rPr>
                <w:rFonts w:ascii="Calibri" w:eastAsia="Calibri" w:hAnsi="Calibri" w:cs="Arial"/>
                <w:b/>
                <w:bCs/>
                <w:color w:val="013161"/>
                <w:sz w:val="20"/>
              </w:rPr>
            </w:pPr>
            <w:r w:rsidRPr="00A32EC0">
              <w:rPr>
                <w:rFonts w:ascii="Calibri" w:eastAsia="Calibri" w:hAnsi="Calibri" w:cs="Arial"/>
                <w:b/>
                <w:bCs/>
                <w:color w:val="013161"/>
                <w:sz w:val="20"/>
              </w:rPr>
              <w:t>3.9</w:t>
            </w:r>
          </w:p>
        </w:tc>
        <w:tc>
          <w:tcPr>
            <w:tcW w:w="1170" w:type="dxa"/>
            <w:tcBorders>
              <w:top w:val="nil"/>
              <w:left w:val="single" w:sz="18" w:space="0" w:color="F6872B"/>
              <w:bottom w:val="single" w:sz="18" w:space="0" w:color="F6872B"/>
            </w:tcBorders>
            <w:shd w:val="clear" w:color="auto" w:fill="DBE5F1"/>
            <w:vAlign w:val="center"/>
          </w:tcPr>
          <w:p w:rsidR="00D86A11" w:rsidRPr="004D2A28" w:rsidRDefault="00D86A11" w:rsidP="00D86A11">
            <w:pPr>
              <w:autoSpaceDE w:val="0"/>
              <w:autoSpaceDN w:val="0"/>
              <w:adjustRightInd w:val="0"/>
              <w:spacing w:after="0" w:line="240" w:lineRule="auto"/>
              <w:jc w:val="center"/>
              <w:rPr>
                <w:rStyle w:val="Heading1Char"/>
                <w:rFonts w:ascii="Calibri" w:hAnsi="Calibri"/>
                <w:color w:val="2E7029"/>
                <w:sz w:val="20"/>
                <w:szCs w:val="28"/>
              </w:rPr>
            </w:pPr>
            <w:r w:rsidRPr="004D2A28">
              <w:rPr>
                <w:rStyle w:val="Heading1Char"/>
                <w:rFonts w:ascii="Calibri" w:hAnsi="Calibri"/>
                <w:color w:val="2E7029"/>
                <w:sz w:val="20"/>
                <w:szCs w:val="28"/>
              </w:rPr>
              <w:t>6.0</w:t>
            </w:r>
          </w:p>
        </w:tc>
      </w:tr>
    </w:tbl>
    <w:p w:rsidR="00D86A11" w:rsidRPr="00614F72" w:rsidRDefault="00D86A11" w:rsidP="00D86A11">
      <w:pPr>
        <w:rPr>
          <w:sz w:val="6"/>
        </w:rPr>
      </w:pPr>
    </w:p>
    <w:p w:rsidR="00D86A11" w:rsidRPr="004D2A28" w:rsidRDefault="00D86A11" w:rsidP="00D86A11">
      <w:pPr>
        <w:pStyle w:val="Heading2"/>
        <w:rPr>
          <w:rStyle w:val="Heading1Char"/>
          <w:b/>
          <w:color w:val="2E7029"/>
          <w:sz w:val="24"/>
        </w:rPr>
      </w:pPr>
      <w:r w:rsidRPr="004D2A28">
        <w:rPr>
          <w:rStyle w:val="Heading1Char"/>
          <w:b/>
          <w:color w:val="2E7029"/>
          <w:sz w:val="24"/>
        </w:rPr>
        <w:t>Children with Allegations of Abuse and Neglect</w:t>
      </w:r>
    </w:p>
    <w:p w:rsidR="00D86A11" w:rsidRPr="00AA12D0" w:rsidRDefault="00D86A11" w:rsidP="00D86A11">
      <w:pPr>
        <w:pStyle w:val="Heading3"/>
        <w:spacing w:line="276" w:lineRule="auto"/>
        <w:rPr>
          <w:b w:val="0"/>
          <w:color w:val="auto"/>
          <w:sz w:val="22"/>
        </w:rPr>
      </w:pPr>
      <w:r w:rsidRPr="00513425">
        <w:rPr>
          <w:b w:val="0"/>
          <w:color w:val="auto"/>
          <w:sz w:val="22"/>
        </w:rPr>
        <w:t>Exhibit 2</w:t>
      </w:r>
      <w:r w:rsidR="00423FC7">
        <w:rPr>
          <w:b w:val="0"/>
          <w:color w:val="auto"/>
          <w:sz w:val="22"/>
        </w:rPr>
        <w:t>1</w:t>
      </w:r>
      <w:r>
        <w:rPr>
          <w:b w:val="0"/>
          <w:color w:val="auto"/>
          <w:sz w:val="22"/>
        </w:rPr>
        <w:t xml:space="preserve"> </w:t>
      </w:r>
      <w:r w:rsidRPr="00AA12D0">
        <w:rPr>
          <w:b w:val="0"/>
          <w:color w:val="auto"/>
          <w:sz w:val="22"/>
        </w:rPr>
        <w:t xml:space="preserve">shows that the number of children referred </w:t>
      </w:r>
      <w:r>
        <w:rPr>
          <w:b w:val="0"/>
          <w:color w:val="auto"/>
          <w:sz w:val="22"/>
        </w:rPr>
        <w:t xml:space="preserve">to </w:t>
      </w:r>
      <w:r w:rsidRPr="00AA12D0">
        <w:rPr>
          <w:b w:val="0"/>
          <w:color w:val="auto"/>
          <w:sz w:val="22"/>
        </w:rPr>
        <w:t xml:space="preserve">CWS due to abuse or neglect allegations has increased slightly since 2010 as has the overall child population. However, there has been a 27% decrease in the number of children with one or more substantiated allegations and the rate has dropped from 9.3 to 6.6 per 1,000 children. California data show a smaller drop in the statewide substantiation rate from 9.6 in 2010 to 8.2 in 2015. The local decrease in substantiated allegations is most likely due, in part, to the processes implemented in recent years to review DOJ grievances. The reviews have provided CWS with valuable information that has been used to improve investigations and dispositions. Information gleaned from the reviews has also been used in developing training for social workers. CWS has provided multiple investigation trainings to social workers in six HHSA regions. The trainings are co-facilitated by a </w:t>
      </w:r>
      <w:r>
        <w:rPr>
          <w:b w:val="0"/>
          <w:color w:val="auto"/>
          <w:sz w:val="22"/>
        </w:rPr>
        <w:t xml:space="preserve">CWS Policy Analyst </w:t>
      </w:r>
      <w:r w:rsidRPr="00AA12D0">
        <w:rPr>
          <w:b w:val="0"/>
          <w:color w:val="auto"/>
          <w:sz w:val="22"/>
        </w:rPr>
        <w:t>and a County Counsel attorney and help workers to better understand the legal perspectiv</w:t>
      </w:r>
      <w:r w:rsidR="00F1013C" w:rsidRPr="00F1013C">
        <w:rPr>
          <w:b w:val="0"/>
          <w:color w:val="auto"/>
          <w:sz w:val="22"/>
        </w:rPr>
        <w:t xml:space="preserve">e and legal definitions. </w:t>
      </w:r>
    </w:p>
    <w:p w:rsidR="00D86A11" w:rsidRPr="00AA12D0" w:rsidRDefault="00F1013C" w:rsidP="00D86A11">
      <w:pPr>
        <w:pStyle w:val="Heading3"/>
        <w:spacing w:line="276" w:lineRule="auto"/>
        <w:rPr>
          <w:b w:val="0"/>
          <w:color w:val="auto"/>
          <w:sz w:val="22"/>
        </w:rPr>
      </w:pPr>
      <w:r w:rsidRPr="00F1013C">
        <w:rPr>
          <w:b w:val="0"/>
          <w:color w:val="auto"/>
          <w:sz w:val="22"/>
        </w:rPr>
        <w:t>The decrease in substantiated allegations may be one reason for the slight increase in the Maltreatment of Recurrence (3-S2) outcome measure rate which rose from 9.3 in 2009 to 10.4 in 2014. Practice reforms such as Safety Enhanced Together (SET) and Safety Organized Practice (SOP)</w:t>
      </w:r>
      <w:r w:rsidR="00121985">
        <w:rPr>
          <w:rStyle w:val="FootnoteReference"/>
          <w:b w:val="0"/>
          <w:color w:val="auto"/>
          <w:sz w:val="22"/>
        </w:rPr>
        <w:footnoteReference w:id="6"/>
      </w:r>
      <w:r w:rsidRPr="00F1013C">
        <w:rPr>
          <w:b w:val="0"/>
          <w:color w:val="auto"/>
          <w:sz w:val="22"/>
        </w:rPr>
        <w:t xml:space="preserve"> have led to the screening out of lower level referrals that might have been screened in and substantiated in the past. The families who now have substantiated referrals are the ones with the greatest needs and challenges and are more likely to have a subsequent referral (recurrence). </w:t>
      </w:r>
    </w:p>
    <w:p w:rsidR="009061CB" w:rsidRPr="00F1013C" w:rsidRDefault="00F1013C" w:rsidP="00D86A11">
      <w:pPr>
        <w:pStyle w:val="Heading3"/>
        <w:spacing w:line="276" w:lineRule="auto"/>
        <w:rPr>
          <w:b w:val="0"/>
          <w:color w:val="auto"/>
          <w:sz w:val="22"/>
        </w:rPr>
      </w:pPr>
      <w:r w:rsidRPr="00F1013C">
        <w:rPr>
          <w:b w:val="0"/>
          <w:color w:val="auto"/>
          <w:sz w:val="22"/>
        </w:rPr>
        <w:t>In 2015, children under the age of one had the highest rate of substantiated allegations and the second highest rate of allegations. Children ages 6-10 had the</w:t>
      </w:r>
      <w:r w:rsidR="007F165C">
        <w:rPr>
          <w:b w:val="0"/>
          <w:color w:val="auto"/>
          <w:sz w:val="22"/>
        </w:rPr>
        <w:t xml:space="preserve"> </w:t>
      </w:r>
      <w:r w:rsidR="007F165C">
        <w:rPr>
          <w:b w:val="0"/>
          <w:color w:val="auto"/>
          <w:sz w:val="22"/>
        </w:rPr>
        <w:lastRenderedPageBreak/>
        <w:t xml:space="preserve">highest </w:t>
      </w:r>
      <w:r w:rsidR="007F165C" w:rsidRPr="00F1013C">
        <w:rPr>
          <w:b w:val="0"/>
          <w:color w:val="auto"/>
          <w:sz w:val="22"/>
        </w:rPr>
        <w:t>rate of allegations at 75.1 per 1,000 children. The rates of substantiated allegations were highest among young children and decreased with age</w:t>
      </w:r>
      <w:r w:rsidR="007F165C" w:rsidRPr="002B5804">
        <w:rPr>
          <w:b w:val="0"/>
          <w:color w:val="auto"/>
          <w:sz w:val="22"/>
        </w:rPr>
        <w:t>.</w:t>
      </w:r>
      <w:r w:rsidR="007F165C">
        <w:rPr>
          <w:b w:val="0"/>
          <w:color w:val="auto"/>
          <w:sz w:val="22"/>
        </w:rPr>
        <w:t xml:space="preserve"> </w:t>
      </w:r>
      <w:r w:rsidR="007F165C" w:rsidRPr="006C7055">
        <w:rPr>
          <w:b w:val="0"/>
          <w:color w:val="auto"/>
          <w:sz w:val="22"/>
          <w:szCs w:val="22"/>
        </w:rPr>
        <w:t>Younger children are more likely to be victims of abuse/neglect as reflected by statewide and national data. For FFY 2014 the ACF “Maltreatment Report” showed that children under the age of 1 had the highest victimization rate, 24.4 per 1000, of all age groups.  For San Diego children under one year had the highest rate of substantiated allegations at 18.5 per 1000 children. This most vulnerable population also has the highest percentage of allegations substantiated at 25.3%, and the highest percentage of entry into care following substantiations at 47.3</w:t>
      </w:r>
      <w:r w:rsidR="007F165C">
        <w:rPr>
          <w:b w:val="0"/>
          <w:color w:val="auto"/>
          <w:sz w:val="22"/>
          <w:szCs w:val="22"/>
        </w:rPr>
        <w:t>%.</w:t>
      </w:r>
      <w:r w:rsidR="007F165C">
        <w:rPr>
          <w:b w:val="0"/>
          <w:color w:val="auto"/>
          <w:sz w:val="22"/>
        </w:rPr>
        <w:t xml:space="preserve">  </w:t>
      </w:r>
    </w:p>
    <w:tbl>
      <w:tblPr>
        <w:tblpPr w:leftFromText="180" w:rightFromText="180" w:vertAnchor="text" w:horzAnchor="margin" w:tblpY="121"/>
        <w:tblW w:w="9574" w:type="dxa"/>
        <w:tblBorders>
          <w:top w:val="single" w:sz="18" w:space="0" w:color="F6872B"/>
          <w:bottom w:val="single" w:sz="18" w:space="0" w:color="F6872B"/>
        </w:tblBorders>
        <w:tblLook w:val="04A0" w:firstRow="1" w:lastRow="0" w:firstColumn="1" w:lastColumn="0" w:noHBand="0" w:noVBand="1"/>
      </w:tblPr>
      <w:tblGrid>
        <w:gridCol w:w="918"/>
        <w:gridCol w:w="1335"/>
        <w:gridCol w:w="1365"/>
        <w:gridCol w:w="1309"/>
        <w:gridCol w:w="1661"/>
        <w:gridCol w:w="1216"/>
        <w:gridCol w:w="1770"/>
      </w:tblGrid>
      <w:tr w:rsidR="007F165C" w:rsidRPr="003E2E3F" w:rsidTr="007F165C">
        <w:trPr>
          <w:trHeight w:val="378"/>
        </w:trPr>
        <w:tc>
          <w:tcPr>
            <w:tcW w:w="9574" w:type="dxa"/>
            <w:gridSpan w:val="7"/>
            <w:shd w:val="clear" w:color="auto" w:fill="013161"/>
          </w:tcPr>
          <w:p w:rsidR="007F165C" w:rsidRPr="000055D1" w:rsidRDefault="007F165C" w:rsidP="007F165C">
            <w:pPr>
              <w:spacing w:after="0" w:line="240" w:lineRule="auto"/>
              <w:jc w:val="center"/>
              <w:rPr>
                <w:rFonts w:ascii="Calibri" w:eastAsia="Times New Roman" w:hAnsi="Calibri" w:cs="Arial"/>
                <w:b/>
                <w:bCs/>
                <w:color w:val="FFFFFF"/>
              </w:rPr>
            </w:pPr>
            <w:r>
              <w:rPr>
                <w:rFonts w:ascii="Calibri" w:hAnsi="Calibri"/>
                <w:b/>
                <w:color w:val="FFFFFF"/>
                <w:sz w:val="24"/>
              </w:rPr>
              <w:t xml:space="preserve">Exhibit 22. County of San Diego </w:t>
            </w:r>
            <w:r w:rsidRPr="00B53CA4">
              <w:rPr>
                <w:rFonts w:ascii="Calibri" w:hAnsi="Calibri"/>
                <w:b/>
                <w:color w:val="FFFFFF"/>
                <w:sz w:val="24"/>
              </w:rPr>
              <w:t>Number and Rate of Children with Allegations by Age, CY 2015</w:t>
            </w:r>
          </w:p>
        </w:tc>
      </w:tr>
      <w:tr w:rsidR="007F165C" w:rsidRPr="003E2E3F" w:rsidTr="007F165C">
        <w:trPr>
          <w:trHeight w:val="1058"/>
        </w:trPr>
        <w:tc>
          <w:tcPr>
            <w:tcW w:w="918" w:type="dxa"/>
            <w:shd w:val="clear" w:color="auto" w:fill="013161"/>
            <w:vAlign w:val="center"/>
          </w:tcPr>
          <w:p w:rsidR="007F165C" w:rsidRPr="00721EF1" w:rsidRDefault="007F165C" w:rsidP="007F165C">
            <w:pPr>
              <w:spacing w:after="0" w:line="240" w:lineRule="auto"/>
              <w:rPr>
                <w:rFonts w:ascii="Calibri" w:eastAsia="Times New Roman" w:hAnsi="Calibri" w:cs="Arial"/>
                <w:b/>
                <w:bCs/>
                <w:color w:val="FFFFFF"/>
              </w:rPr>
            </w:pPr>
            <w:r w:rsidRPr="00721EF1">
              <w:rPr>
                <w:rFonts w:ascii="Calibri" w:eastAsia="Times New Roman" w:hAnsi="Calibri" w:cs="Arial"/>
                <w:b/>
                <w:bCs/>
                <w:color w:val="FFFFFF"/>
              </w:rPr>
              <w:t>Age Group</w:t>
            </w:r>
          </w:p>
        </w:tc>
        <w:tc>
          <w:tcPr>
            <w:tcW w:w="1335" w:type="dxa"/>
            <w:shd w:val="clear" w:color="auto" w:fill="013161"/>
            <w:vAlign w:val="center"/>
          </w:tcPr>
          <w:p w:rsidR="007F165C" w:rsidRPr="00721EF1" w:rsidRDefault="007F165C" w:rsidP="007F165C">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Total Child Population</w:t>
            </w:r>
          </w:p>
        </w:tc>
        <w:tc>
          <w:tcPr>
            <w:tcW w:w="1365" w:type="dxa"/>
            <w:shd w:val="clear" w:color="auto" w:fill="013161"/>
            <w:vAlign w:val="center"/>
          </w:tcPr>
          <w:p w:rsidR="007F165C" w:rsidRPr="00721EF1" w:rsidRDefault="007F165C" w:rsidP="007F165C">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Children with Allegations</w:t>
            </w:r>
          </w:p>
        </w:tc>
        <w:tc>
          <w:tcPr>
            <w:tcW w:w="1309" w:type="dxa"/>
            <w:shd w:val="clear" w:color="auto" w:fill="013161"/>
            <w:vAlign w:val="center"/>
          </w:tcPr>
          <w:p w:rsidR="007F165C" w:rsidRPr="00721EF1" w:rsidRDefault="007F165C" w:rsidP="007F165C">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Incidence per 1,000 Children</w:t>
            </w:r>
          </w:p>
        </w:tc>
        <w:tc>
          <w:tcPr>
            <w:tcW w:w="1661" w:type="dxa"/>
            <w:shd w:val="clear" w:color="auto" w:fill="013161"/>
            <w:vAlign w:val="center"/>
          </w:tcPr>
          <w:p w:rsidR="007F165C" w:rsidRPr="00721EF1" w:rsidRDefault="007F165C" w:rsidP="007F165C">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Children with Substantiations</w:t>
            </w:r>
          </w:p>
        </w:tc>
        <w:tc>
          <w:tcPr>
            <w:tcW w:w="1216" w:type="dxa"/>
            <w:shd w:val="clear" w:color="auto" w:fill="013161"/>
            <w:vAlign w:val="center"/>
          </w:tcPr>
          <w:p w:rsidR="007F165C" w:rsidRPr="00721EF1" w:rsidRDefault="007F165C" w:rsidP="007F165C">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Incidence per 1,000 Children</w:t>
            </w:r>
          </w:p>
        </w:tc>
        <w:tc>
          <w:tcPr>
            <w:tcW w:w="1770" w:type="dxa"/>
            <w:shd w:val="clear" w:color="auto" w:fill="013161"/>
            <w:vAlign w:val="center"/>
          </w:tcPr>
          <w:p w:rsidR="007F165C" w:rsidRPr="00721EF1" w:rsidRDefault="007F165C" w:rsidP="007F165C">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 of Allegations</w:t>
            </w:r>
          </w:p>
          <w:p w:rsidR="007F165C" w:rsidRPr="00721EF1" w:rsidRDefault="007F165C" w:rsidP="007F165C">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Substantiated</w:t>
            </w:r>
          </w:p>
        </w:tc>
      </w:tr>
      <w:tr w:rsidR="007F165C" w:rsidRPr="003E2E3F" w:rsidTr="007F165C">
        <w:trPr>
          <w:trHeight w:val="311"/>
        </w:trPr>
        <w:tc>
          <w:tcPr>
            <w:tcW w:w="918" w:type="dxa"/>
            <w:shd w:val="clear" w:color="auto" w:fill="auto"/>
            <w:vAlign w:val="center"/>
          </w:tcPr>
          <w:p w:rsidR="007F165C" w:rsidRPr="00924C8E" w:rsidRDefault="007F165C" w:rsidP="007F165C">
            <w:pPr>
              <w:spacing w:after="0" w:line="240" w:lineRule="auto"/>
              <w:rPr>
                <w:rFonts w:ascii="Calibri" w:eastAsia="Times New Roman" w:hAnsi="Calibri" w:cs="Arial"/>
                <w:b/>
                <w:color w:val="013161"/>
                <w:sz w:val="20"/>
              </w:rPr>
            </w:pPr>
            <w:r w:rsidRPr="00924C8E">
              <w:rPr>
                <w:rFonts w:ascii="Calibri" w:eastAsia="Times New Roman" w:hAnsi="Calibri" w:cs="Arial"/>
                <w:b/>
                <w:color w:val="013161"/>
                <w:sz w:val="20"/>
              </w:rPr>
              <w:t>Under 1</w:t>
            </w:r>
          </w:p>
        </w:tc>
        <w:tc>
          <w:tcPr>
            <w:tcW w:w="1335"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43,363</w:t>
            </w:r>
          </w:p>
        </w:tc>
        <w:tc>
          <w:tcPr>
            <w:tcW w:w="1365"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3,169</w:t>
            </w:r>
          </w:p>
        </w:tc>
        <w:tc>
          <w:tcPr>
            <w:tcW w:w="1309"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73.1</w:t>
            </w:r>
          </w:p>
        </w:tc>
        <w:tc>
          <w:tcPr>
            <w:tcW w:w="1661"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801</w:t>
            </w:r>
          </w:p>
        </w:tc>
        <w:tc>
          <w:tcPr>
            <w:tcW w:w="1216"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18.5</w:t>
            </w:r>
          </w:p>
        </w:tc>
        <w:tc>
          <w:tcPr>
            <w:tcW w:w="1770"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25.3</w:t>
            </w:r>
          </w:p>
        </w:tc>
      </w:tr>
      <w:tr w:rsidR="007F165C" w:rsidRPr="003E2E3F" w:rsidTr="007F165C">
        <w:trPr>
          <w:trHeight w:val="311"/>
        </w:trPr>
        <w:tc>
          <w:tcPr>
            <w:tcW w:w="918" w:type="dxa"/>
            <w:shd w:val="clear" w:color="auto" w:fill="DBE5F1"/>
            <w:vAlign w:val="center"/>
          </w:tcPr>
          <w:p w:rsidR="007F165C" w:rsidRPr="00924C8E" w:rsidRDefault="007F165C" w:rsidP="007F165C">
            <w:pPr>
              <w:spacing w:after="0" w:line="240" w:lineRule="auto"/>
              <w:rPr>
                <w:rFonts w:ascii="Calibri" w:eastAsia="Times New Roman" w:hAnsi="Calibri" w:cs="Arial"/>
                <w:b/>
                <w:color w:val="013161"/>
                <w:sz w:val="20"/>
              </w:rPr>
            </w:pPr>
            <w:r w:rsidRPr="00924C8E">
              <w:rPr>
                <w:rFonts w:ascii="Calibri" w:eastAsia="Times New Roman" w:hAnsi="Calibri" w:cs="Arial"/>
                <w:b/>
                <w:color w:val="013161"/>
                <w:sz w:val="20"/>
              </w:rPr>
              <w:t>1-2</w:t>
            </w:r>
          </w:p>
        </w:tc>
        <w:tc>
          <w:tcPr>
            <w:tcW w:w="1335"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86,807</w:t>
            </w:r>
          </w:p>
        </w:tc>
        <w:tc>
          <w:tcPr>
            <w:tcW w:w="1365"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5,210</w:t>
            </w:r>
          </w:p>
        </w:tc>
        <w:tc>
          <w:tcPr>
            <w:tcW w:w="1309"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60</w:t>
            </w:r>
          </w:p>
        </w:tc>
        <w:tc>
          <w:tcPr>
            <w:tcW w:w="1661"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667</w:t>
            </w:r>
          </w:p>
        </w:tc>
        <w:tc>
          <w:tcPr>
            <w:tcW w:w="1216"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7.7</w:t>
            </w:r>
          </w:p>
        </w:tc>
        <w:tc>
          <w:tcPr>
            <w:tcW w:w="1770"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12.8</w:t>
            </w:r>
          </w:p>
        </w:tc>
      </w:tr>
      <w:tr w:rsidR="007F165C" w:rsidRPr="003E2E3F" w:rsidTr="007F165C">
        <w:trPr>
          <w:trHeight w:val="311"/>
        </w:trPr>
        <w:tc>
          <w:tcPr>
            <w:tcW w:w="918" w:type="dxa"/>
            <w:shd w:val="clear" w:color="auto" w:fill="auto"/>
            <w:vAlign w:val="center"/>
          </w:tcPr>
          <w:p w:rsidR="007F165C" w:rsidRPr="00924C8E" w:rsidRDefault="007F165C" w:rsidP="007F165C">
            <w:pPr>
              <w:spacing w:after="0" w:line="240" w:lineRule="auto"/>
              <w:rPr>
                <w:rFonts w:ascii="Calibri" w:eastAsia="Times New Roman" w:hAnsi="Calibri" w:cs="Arial"/>
                <w:b/>
                <w:color w:val="013161"/>
                <w:sz w:val="20"/>
              </w:rPr>
            </w:pPr>
            <w:r w:rsidRPr="00924C8E">
              <w:rPr>
                <w:rFonts w:ascii="Calibri" w:eastAsia="Times New Roman" w:hAnsi="Calibri" w:cs="Arial"/>
                <w:b/>
                <w:color w:val="013161"/>
                <w:sz w:val="20"/>
              </w:rPr>
              <w:t>3-5</w:t>
            </w:r>
          </w:p>
        </w:tc>
        <w:tc>
          <w:tcPr>
            <w:tcW w:w="1335"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129,218</w:t>
            </w:r>
          </w:p>
        </w:tc>
        <w:tc>
          <w:tcPr>
            <w:tcW w:w="1365"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8,473</w:t>
            </w:r>
          </w:p>
        </w:tc>
        <w:tc>
          <w:tcPr>
            <w:tcW w:w="1309"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65.6</w:t>
            </w:r>
          </w:p>
        </w:tc>
        <w:tc>
          <w:tcPr>
            <w:tcW w:w="1661"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922</w:t>
            </w:r>
          </w:p>
        </w:tc>
        <w:tc>
          <w:tcPr>
            <w:tcW w:w="1216"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7.1</w:t>
            </w:r>
          </w:p>
        </w:tc>
        <w:tc>
          <w:tcPr>
            <w:tcW w:w="1770"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10.9</w:t>
            </w:r>
          </w:p>
        </w:tc>
      </w:tr>
      <w:tr w:rsidR="007F165C" w:rsidRPr="003E2E3F" w:rsidTr="007F165C">
        <w:trPr>
          <w:trHeight w:val="311"/>
        </w:trPr>
        <w:tc>
          <w:tcPr>
            <w:tcW w:w="918" w:type="dxa"/>
            <w:shd w:val="clear" w:color="auto" w:fill="DBE5F1"/>
            <w:vAlign w:val="center"/>
          </w:tcPr>
          <w:p w:rsidR="007F165C" w:rsidRPr="00924C8E" w:rsidRDefault="007F165C" w:rsidP="007F165C">
            <w:pPr>
              <w:spacing w:after="0" w:line="240" w:lineRule="auto"/>
              <w:rPr>
                <w:rFonts w:ascii="Calibri" w:eastAsia="Times New Roman" w:hAnsi="Calibri" w:cs="Arial"/>
                <w:b/>
                <w:color w:val="013161"/>
                <w:sz w:val="20"/>
              </w:rPr>
            </w:pPr>
            <w:r w:rsidRPr="00924C8E">
              <w:rPr>
                <w:rFonts w:ascii="Calibri" w:eastAsia="Times New Roman" w:hAnsi="Calibri" w:cs="Arial"/>
                <w:b/>
                <w:color w:val="013161"/>
                <w:sz w:val="20"/>
              </w:rPr>
              <w:t>6-10</w:t>
            </w:r>
          </w:p>
        </w:tc>
        <w:tc>
          <w:tcPr>
            <w:tcW w:w="1335"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204,231</w:t>
            </w:r>
          </w:p>
        </w:tc>
        <w:tc>
          <w:tcPr>
            <w:tcW w:w="1365"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15,347</w:t>
            </w:r>
          </w:p>
        </w:tc>
        <w:tc>
          <w:tcPr>
            <w:tcW w:w="1309"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75.1</w:t>
            </w:r>
          </w:p>
        </w:tc>
        <w:tc>
          <w:tcPr>
            <w:tcW w:w="1661"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1,373</w:t>
            </w:r>
          </w:p>
        </w:tc>
        <w:tc>
          <w:tcPr>
            <w:tcW w:w="1216"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6.7</w:t>
            </w:r>
          </w:p>
        </w:tc>
        <w:tc>
          <w:tcPr>
            <w:tcW w:w="1770"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8.9</w:t>
            </w:r>
          </w:p>
        </w:tc>
      </w:tr>
      <w:tr w:rsidR="007F165C" w:rsidRPr="003E2E3F" w:rsidTr="007F165C">
        <w:trPr>
          <w:trHeight w:val="311"/>
        </w:trPr>
        <w:tc>
          <w:tcPr>
            <w:tcW w:w="918" w:type="dxa"/>
            <w:shd w:val="clear" w:color="auto" w:fill="auto"/>
            <w:vAlign w:val="center"/>
          </w:tcPr>
          <w:p w:rsidR="007F165C" w:rsidRPr="00924C8E" w:rsidRDefault="007F165C" w:rsidP="007F165C">
            <w:pPr>
              <w:spacing w:after="0" w:line="240" w:lineRule="auto"/>
              <w:rPr>
                <w:rFonts w:ascii="Calibri" w:eastAsia="Times New Roman" w:hAnsi="Calibri" w:cs="Arial"/>
                <w:b/>
                <w:color w:val="013161"/>
                <w:sz w:val="20"/>
              </w:rPr>
            </w:pPr>
            <w:r w:rsidRPr="00924C8E">
              <w:rPr>
                <w:rFonts w:ascii="Calibri" w:eastAsia="Times New Roman" w:hAnsi="Calibri" w:cs="Arial"/>
                <w:b/>
                <w:color w:val="013161"/>
                <w:sz w:val="20"/>
              </w:rPr>
              <w:t>11-15</w:t>
            </w:r>
          </w:p>
        </w:tc>
        <w:tc>
          <w:tcPr>
            <w:tcW w:w="1335"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195,748</w:t>
            </w:r>
          </w:p>
        </w:tc>
        <w:tc>
          <w:tcPr>
            <w:tcW w:w="1365"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13,567</w:t>
            </w:r>
          </w:p>
        </w:tc>
        <w:tc>
          <w:tcPr>
            <w:tcW w:w="1309"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69.3</w:t>
            </w:r>
          </w:p>
        </w:tc>
        <w:tc>
          <w:tcPr>
            <w:tcW w:w="1661"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901</w:t>
            </w:r>
          </w:p>
        </w:tc>
        <w:tc>
          <w:tcPr>
            <w:tcW w:w="1216"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4.6</w:t>
            </w:r>
          </w:p>
        </w:tc>
        <w:tc>
          <w:tcPr>
            <w:tcW w:w="1770"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6.6</w:t>
            </w:r>
          </w:p>
        </w:tc>
      </w:tr>
      <w:tr w:rsidR="007F165C" w:rsidRPr="003E2E3F" w:rsidTr="007F165C">
        <w:trPr>
          <w:trHeight w:val="311"/>
        </w:trPr>
        <w:tc>
          <w:tcPr>
            <w:tcW w:w="918" w:type="dxa"/>
            <w:shd w:val="clear" w:color="auto" w:fill="DBE5F1"/>
            <w:vAlign w:val="center"/>
          </w:tcPr>
          <w:p w:rsidR="007F165C" w:rsidRPr="00924C8E" w:rsidRDefault="007F165C" w:rsidP="007F165C">
            <w:pPr>
              <w:spacing w:after="0" w:line="240" w:lineRule="auto"/>
              <w:rPr>
                <w:rFonts w:ascii="Calibri" w:eastAsia="Times New Roman" w:hAnsi="Calibri" w:cs="Arial"/>
                <w:b/>
                <w:color w:val="013161"/>
                <w:sz w:val="20"/>
              </w:rPr>
            </w:pPr>
            <w:r w:rsidRPr="00924C8E">
              <w:rPr>
                <w:rFonts w:ascii="Calibri" w:eastAsia="Times New Roman" w:hAnsi="Calibri" w:cs="Arial"/>
                <w:b/>
                <w:color w:val="013161"/>
                <w:sz w:val="20"/>
              </w:rPr>
              <w:t>16-17</w:t>
            </w:r>
          </w:p>
        </w:tc>
        <w:tc>
          <w:tcPr>
            <w:tcW w:w="1335"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79,000</w:t>
            </w:r>
          </w:p>
        </w:tc>
        <w:tc>
          <w:tcPr>
            <w:tcW w:w="1365"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5,036</w:t>
            </w:r>
          </w:p>
        </w:tc>
        <w:tc>
          <w:tcPr>
            <w:tcW w:w="1309"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63.7</w:t>
            </w:r>
          </w:p>
        </w:tc>
        <w:tc>
          <w:tcPr>
            <w:tcW w:w="1661"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246</w:t>
            </w:r>
          </w:p>
        </w:tc>
        <w:tc>
          <w:tcPr>
            <w:tcW w:w="1216"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3.1</w:t>
            </w:r>
          </w:p>
        </w:tc>
        <w:tc>
          <w:tcPr>
            <w:tcW w:w="1770" w:type="dxa"/>
            <w:shd w:val="clear" w:color="auto" w:fill="DBE5F1"/>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4.9</w:t>
            </w:r>
          </w:p>
        </w:tc>
      </w:tr>
      <w:tr w:rsidR="007F165C" w:rsidRPr="003E2E3F" w:rsidTr="007F165C">
        <w:trPr>
          <w:trHeight w:val="311"/>
        </w:trPr>
        <w:tc>
          <w:tcPr>
            <w:tcW w:w="918" w:type="dxa"/>
            <w:shd w:val="clear" w:color="auto" w:fill="auto"/>
            <w:vAlign w:val="center"/>
          </w:tcPr>
          <w:p w:rsidR="007F165C" w:rsidRPr="00924C8E" w:rsidRDefault="007F165C" w:rsidP="007F165C">
            <w:pPr>
              <w:spacing w:after="0" w:line="240" w:lineRule="auto"/>
              <w:rPr>
                <w:rFonts w:ascii="Calibri" w:eastAsia="Times New Roman" w:hAnsi="Calibri" w:cs="Arial"/>
                <w:b/>
                <w:color w:val="013161"/>
                <w:sz w:val="20"/>
              </w:rPr>
            </w:pPr>
            <w:r w:rsidRPr="00924C8E">
              <w:rPr>
                <w:rFonts w:ascii="Calibri" w:eastAsia="Times New Roman" w:hAnsi="Calibri" w:cs="Arial"/>
                <w:b/>
                <w:color w:val="013161"/>
                <w:sz w:val="20"/>
              </w:rPr>
              <w:t>Total</w:t>
            </w:r>
          </w:p>
        </w:tc>
        <w:tc>
          <w:tcPr>
            <w:tcW w:w="1335"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738,367</w:t>
            </w:r>
          </w:p>
        </w:tc>
        <w:tc>
          <w:tcPr>
            <w:tcW w:w="1365"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50,802</w:t>
            </w:r>
          </w:p>
        </w:tc>
        <w:tc>
          <w:tcPr>
            <w:tcW w:w="1309"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68.8</w:t>
            </w:r>
          </w:p>
        </w:tc>
        <w:tc>
          <w:tcPr>
            <w:tcW w:w="1661"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4,910</w:t>
            </w:r>
          </w:p>
        </w:tc>
        <w:tc>
          <w:tcPr>
            <w:tcW w:w="1216"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6.6</w:t>
            </w:r>
          </w:p>
        </w:tc>
        <w:tc>
          <w:tcPr>
            <w:tcW w:w="1770" w:type="dxa"/>
            <w:shd w:val="clear" w:color="auto" w:fill="auto"/>
            <w:vAlign w:val="center"/>
          </w:tcPr>
          <w:p w:rsidR="007F165C" w:rsidRPr="00924C8E" w:rsidRDefault="007F165C" w:rsidP="007F165C">
            <w:pPr>
              <w:spacing w:after="0" w:line="240" w:lineRule="auto"/>
              <w:jc w:val="center"/>
              <w:rPr>
                <w:rFonts w:ascii="Calibri" w:eastAsia="Times New Roman" w:hAnsi="Calibri" w:cs="Arial"/>
                <w:b/>
                <w:color w:val="013161"/>
                <w:sz w:val="20"/>
              </w:rPr>
            </w:pPr>
            <w:r w:rsidRPr="00924C8E">
              <w:rPr>
                <w:rFonts w:ascii="Calibri" w:eastAsia="Times New Roman" w:hAnsi="Calibri" w:cs="Arial"/>
                <w:b/>
                <w:color w:val="013161"/>
                <w:sz w:val="20"/>
              </w:rPr>
              <w:t>9.7</w:t>
            </w:r>
          </w:p>
        </w:tc>
      </w:tr>
    </w:tbl>
    <w:p w:rsidR="00D86A11" w:rsidRDefault="00D86A11" w:rsidP="00D86A11">
      <w:pPr>
        <w:pStyle w:val="Heading3"/>
        <w:spacing w:line="276" w:lineRule="auto"/>
        <w:rPr>
          <w:b w:val="0"/>
          <w:color w:val="auto"/>
          <w:sz w:val="22"/>
        </w:rPr>
      </w:pPr>
      <w:r w:rsidRPr="00742343">
        <w:rPr>
          <w:b w:val="0"/>
          <w:color w:val="auto"/>
          <w:sz w:val="22"/>
        </w:rPr>
        <w:t>Black and Native American children experienced disproportiona</w:t>
      </w:r>
      <w:r>
        <w:rPr>
          <w:b w:val="0"/>
          <w:color w:val="auto"/>
          <w:sz w:val="22"/>
        </w:rPr>
        <w:t>te</w:t>
      </w:r>
      <w:r w:rsidRPr="00742343">
        <w:rPr>
          <w:b w:val="0"/>
          <w:color w:val="auto"/>
          <w:sz w:val="22"/>
        </w:rPr>
        <w:t>ly high rates of allegations and substantiated allegations. White and Asian/PI children had the lowest rates and Latino children were in the middle. The percent of allegations substantiated was similar across White, Latino and Black children (10.4%-10.7%), but higher for Native American children</w:t>
      </w:r>
      <w:r>
        <w:rPr>
          <w:b w:val="0"/>
          <w:color w:val="auto"/>
          <w:sz w:val="22"/>
        </w:rPr>
        <w:t xml:space="preserve"> at 15.4%</w:t>
      </w:r>
      <w:r w:rsidRPr="00742343">
        <w:rPr>
          <w:b w:val="0"/>
          <w:color w:val="auto"/>
          <w:sz w:val="22"/>
        </w:rPr>
        <w:t xml:space="preserve"> and lower for Asian/PI children at 7.6%. </w:t>
      </w:r>
    </w:p>
    <w:tbl>
      <w:tblPr>
        <w:tblpPr w:leftFromText="180" w:rightFromText="180" w:vertAnchor="text" w:horzAnchor="margin" w:tblpY="11"/>
        <w:tblW w:w="9486" w:type="dxa"/>
        <w:tblBorders>
          <w:top w:val="single" w:sz="18" w:space="0" w:color="F6872B"/>
          <w:bottom w:val="single" w:sz="18" w:space="0" w:color="F6872B"/>
        </w:tblBorders>
        <w:tblLayout w:type="fixed"/>
        <w:tblLook w:val="04A0" w:firstRow="1" w:lastRow="0" w:firstColumn="1" w:lastColumn="0" w:noHBand="0" w:noVBand="1"/>
      </w:tblPr>
      <w:tblGrid>
        <w:gridCol w:w="1188"/>
        <w:gridCol w:w="1350"/>
        <w:gridCol w:w="1058"/>
        <w:gridCol w:w="218"/>
        <w:gridCol w:w="1244"/>
        <w:gridCol w:w="1710"/>
        <w:gridCol w:w="1170"/>
        <w:gridCol w:w="1548"/>
      </w:tblGrid>
      <w:tr w:rsidR="009061CB" w:rsidRPr="00B53CA4" w:rsidTr="009061CB">
        <w:trPr>
          <w:trHeight w:val="517"/>
        </w:trPr>
        <w:tc>
          <w:tcPr>
            <w:tcW w:w="9486" w:type="dxa"/>
            <w:gridSpan w:val="8"/>
            <w:shd w:val="clear" w:color="auto" w:fill="013161"/>
          </w:tcPr>
          <w:p w:rsidR="009061CB" w:rsidRPr="00B53CA4" w:rsidRDefault="009061CB" w:rsidP="009061CB">
            <w:pPr>
              <w:spacing w:after="0" w:line="240" w:lineRule="auto"/>
              <w:jc w:val="center"/>
              <w:rPr>
                <w:rFonts w:ascii="Calibri" w:eastAsia="Times New Roman" w:hAnsi="Calibri" w:cs="Arial"/>
                <w:b/>
                <w:bCs/>
                <w:color w:val="FFFFFF"/>
                <w:sz w:val="24"/>
              </w:rPr>
            </w:pPr>
            <w:r>
              <w:rPr>
                <w:rFonts w:ascii="Calibri" w:hAnsi="Calibri"/>
                <w:b/>
                <w:color w:val="FFFFFF"/>
                <w:sz w:val="24"/>
              </w:rPr>
              <w:t xml:space="preserve">Exhibit 23. County of </w:t>
            </w:r>
            <w:r w:rsidRPr="00B53CA4">
              <w:rPr>
                <w:rFonts w:ascii="Calibri" w:hAnsi="Calibri"/>
                <w:b/>
                <w:color w:val="FFFFFF"/>
                <w:sz w:val="24"/>
              </w:rPr>
              <w:t>San Diego Number of Children with Allegations by Ethnicity, CY 2015</w:t>
            </w:r>
          </w:p>
        </w:tc>
      </w:tr>
      <w:tr w:rsidR="009061CB" w:rsidRPr="003E2E3F" w:rsidTr="009061CB">
        <w:trPr>
          <w:trHeight w:val="765"/>
        </w:trPr>
        <w:tc>
          <w:tcPr>
            <w:tcW w:w="1188" w:type="dxa"/>
            <w:shd w:val="clear" w:color="auto" w:fill="013161"/>
            <w:vAlign w:val="center"/>
          </w:tcPr>
          <w:p w:rsidR="009061CB" w:rsidRPr="00721EF1" w:rsidRDefault="009061CB" w:rsidP="009061CB">
            <w:pPr>
              <w:spacing w:after="0" w:line="240" w:lineRule="auto"/>
              <w:rPr>
                <w:rFonts w:ascii="Calibri" w:eastAsia="Times New Roman" w:hAnsi="Calibri" w:cs="Arial"/>
                <w:b/>
                <w:bCs/>
                <w:color w:val="FFFFFF"/>
              </w:rPr>
            </w:pPr>
            <w:r w:rsidRPr="00721EF1">
              <w:rPr>
                <w:rFonts w:ascii="Calibri" w:eastAsia="Times New Roman" w:hAnsi="Calibri" w:cs="Arial"/>
                <w:b/>
                <w:bCs/>
                <w:color w:val="FFFFFF"/>
              </w:rPr>
              <w:t>Ethnic Group</w:t>
            </w:r>
          </w:p>
        </w:tc>
        <w:tc>
          <w:tcPr>
            <w:tcW w:w="1350" w:type="dxa"/>
            <w:shd w:val="clear" w:color="auto" w:fill="013161"/>
            <w:vAlign w:val="center"/>
          </w:tcPr>
          <w:p w:rsidR="009061CB" w:rsidRPr="00721EF1" w:rsidRDefault="009061CB" w:rsidP="009061CB">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Total Child Population</w:t>
            </w:r>
          </w:p>
        </w:tc>
        <w:tc>
          <w:tcPr>
            <w:tcW w:w="1276" w:type="dxa"/>
            <w:gridSpan w:val="2"/>
            <w:shd w:val="clear" w:color="auto" w:fill="013161"/>
            <w:vAlign w:val="center"/>
          </w:tcPr>
          <w:p w:rsidR="009061CB" w:rsidRPr="00721EF1" w:rsidRDefault="009061CB" w:rsidP="009061CB">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Children with Allegations</w:t>
            </w:r>
          </w:p>
        </w:tc>
        <w:tc>
          <w:tcPr>
            <w:tcW w:w="1244" w:type="dxa"/>
            <w:shd w:val="clear" w:color="auto" w:fill="013161"/>
            <w:vAlign w:val="center"/>
          </w:tcPr>
          <w:p w:rsidR="009061CB" w:rsidRPr="00721EF1" w:rsidRDefault="009061CB" w:rsidP="009061CB">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Incidence per 1,000 Children</w:t>
            </w:r>
          </w:p>
        </w:tc>
        <w:tc>
          <w:tcPr>
            <w:tcW w:w="1710" w:type="dxa"/>
            <w:shd w:val="clear" w:color="auto" w:fill="013161"/>
            <w:vAlign w:val="center"/>
          </w:tcPr>
          <w:p w:rsidR="009061CB" w:rsidRPr="00721EF1" w:rsidRDefault="009061CB" w:rsidP="009061CB">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Children with Substantiations</w:t>
            </w:r>
          </w:p>
        </w:tc>
        <w:tc>
          <w:tcPr>
            <w:tcW w:w="1170" w:type="dxa"/>
            <w:shd w:val="clear" w:color="auto" w:fill="013161"/>
            <w:vAlign w:val="center"/>
          </w:tcPr>
          <w:p w:rsidR="009061CB" w:rsidRPr="00721EF1" w:rsidRDefault="009061CB" w:rsidP="009061CB">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Incidence per 1,000 Children</w:t>
            </w:r>
          </w:p>
        </w:tc>
        <w:tc>
          <w:tcPr>
            <w:tcW w:w="1548" w:type="dxa"/>
            <w:shd w:val="clear" w:color="auto" w:fill="013161"/>
            <w:vAlign w:val="center"/>
          </w:tcPr>
          <w:p w:rsidR="009061CB" w:rsidRPr="00721EF1" w:rsidRDefault="009061CB" w:rsidP="009061CB">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 of Allegations</w:t>
            </w:r>
          </w:p>
          <w:p w:rsidR="009061CB" w:rsidRPr="00721EF1" w:rsidRDefault="009061CB" w:rsidP="009061CB">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Substantiated</w:t>
            </w:r>
          </w:p>
        </w:tc>
      </w:tr>
      <w:tr w:rsidR="009061CB" w:rsidRPr="003E2E3F" w:rsidTr="009061CB">
        <w:trPr>
          <w:trHeight w:val="300"/>
        </w:trPr>
        <w:tc>
          <w:tcPr>
            <w:tcW w:w="1188" w:type="dxa"/>
            <w:shd w:val="clear" w:color="auto" w:fill="auto"/>
          </w:tcPr>
          <w:p w:rsidR="009061CB" w:rsidRPr="00C51502" w:rsidRDefault="009061CB" w:rsidP="009061CB">
            <w:pPr>
              <w:spacing w:after="0" w:line="240" w:lineRule="auto"/>
              <w:rPr>
                <w:rFonts w:ascii="Calibri" w:eastAsia="Times New Roman" w:hAnsi="Calibri" w:cs="Arial"/>
                <w:b/>
                <w:color w:val="013161"/>
                <w:sz w:val="20"/>
              </w:rPr>
            </w:pPr>
            <w:r w:rsidRPr="00C51502">
              <w:rPr>
                <w:rFonts w:ascii="Calibri" w:eastAsia="Times New Roman" w:hAnsi="Calibri" w:cs="Arial"/>
                <w:b/>
                <w:color w:val="013161"/>
                <w:sz w:val="20"/>
              </w:rPr>
              <w:t>Black</w:t>
            </w:r>
          </w:p>
        </w:tc>
        <w:tc>
          <w:tcPr>
            <w:tcW w:w="1350"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32,934</w:t>
            </w:r>
          </w:p>
        </w:tc>
        <w:tc>
          <w:tcPr>
            <w:tcW w:w="1058"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5,650</w:t>
            </w:r>
          </w:p>
        </w:tc>
        <w:tc>
          <w:tcPr>
            <w:tcW w:w="1462" w:type="dxa"/>
            <w:gridSpan w:val="2"/>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171.6</w:t>
            </w:r>
          </w:p>
        </w:tc>
        <w:tc>
          <w:tcPr>
            <w:tcW w:w="1710"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604</w:t>
            </w:r>
          </w:p>
        </w:tc>
        <w:tc>
          <w:tcPr>
            <w:tcW w:w="1170"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18.3</w:t>
            </w:r>
          </w:p>
        </w:tc>
        <w:tc>
          <w:tcPr>
            <w:tcW w:w="1548"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10.7</w:t>
            </w:r>
          </w:p>
        </w:tc>
      </w:tr>
      <w:tr w:rsidR="009061CB" w:rsidRPr="003E2E3F" w:rsidTr="009061CB">
        <w:trPr>
          <w:trHeight w:val="300"/>
        </w:trPr>
        <w:tc>
          <w:tcPr>
            <w:tcW w:w="1188" w:type="dxa"/>
            <w:shd w:val="clear" w:color="auto" w:fill="DBE5F1"/>
          </w:tcPr>
          <w:p w:rsidR="009061CB" w:rsidRPr="00C51502" w:rsidRDefault="009061CB" w:rsidP="009061CB">
            <w:pPr>
              <w:spacing w:after="0" w:line="240" w:lineRule="auto"/>
              <w:rPr>
                <w:rFonts w:ascii="Calibri" w:eastAsia="Times New Roman" w:hAnsi="Calibri" w:cs="Arial"/>
                <w:b/>
                <w:color w:val="013161"/>
                <w:sz w:val="20"/>
              </w:rPr>
            </w:pPr>
            <w:r w:rsidRPr="00C51502">
              <w:rPr>
                <w:rFonts w:ascii="Calibri" w:eastAsia="Times New Roman" w:hAnsi="Calibri" w:cs="Arial"/>
                <w:b/>
                <w:color w:val="013161"/>
                <w:sz w:val="20"/>
              </w:rPr>
              <w:t>White</w:t>
            </w:r>
          </w:p>
        </w:tc>
        <w:tc>
          <w:tcPr>
            <w:tcW w:w="1350"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261,873</w:t>
            </w:r>
          </w:p>
        </w:tc>
        <w:tc>
          <w:tcPr>
            <w:tcW w:w="1058"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13,508</w:t>
            </w:r>
          </w:p>
        </w:tc>
        <w:tc>
          <w:tcPr>
            <w:tcW w:w="1462" w:type="dxa"/>
            <w:gridSpan w:val="2"/>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51.6</w:t>
            </w:r>
          </w:p>
        </w:tc>
        <w:tc>
          <w:tcPr>
            <w:tcW w:w="1710"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1,407</w:t>
            </w:r>
          </w:p>
        </w:tc>
        <w:tc>
          <w:tcPr>
            <w:tcW w:w="1170"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5.4</w:t>
            </w:r>
          </w:p>
        </w:tc>
        <w:tc>
          <w:tcPr>
            <w:tcW w:w="1548"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10.4</w:t>
            </w:r>
          </w:p>
        </w:tc>
      </w:tr>
      <w:tr w:rsidR="009061CB" w:rsidRPr="003E2E3F" w:rsidTr="009061CB">
        <w:trPr>
          <w:trHeight w:val="300"/>
        </w:trPr>
        <w:tc>
          <w:tcPr>
            <w:tcW w:w="1188" w:type="dxa"/>
            <w:shd w:val="clear" w:color="auto" w:fill="auto"/>
          </w:tcPr>
          <w:p w:rsidR="009061CB" w:rsidRPr="00C51502" w:rsidRDefault="009061CB" w:rsidP="009061CB">
            <w:pPr>
              <w:spacing w:after="0" w:line="240" w:lineRule="auto"/>
              <w:rPr>
                <w:rFonts w:ascii="Calibri" w:eastAsia="Times New Roman" w:hAnsi="Calibri" w:cs="Arial"/>
                <w:b/>
                <w:color w:val="013161"/>
                <w:sz w:val="20"/>
              </w:rPr>
            </w:pPr>
            <w:r w:rsidRPr="00C51502">
              <w:rPr>
                <w:rFonts w:ascii="Calibri" w:eastAsia="Times New Roman" w:hAnsi="Calibri" w:cs="Arial"/>
                <w:b/>
                <w:color w:val="013161"/>
                <w:sz w:val="20"/>
              </w:rPr>
              <w:t>Latino</w:t>
            </w:r>
          </w:p>
        </w:tc>
        <w:tc>
          <w:tcPr>
            <w:tcW w:w="1350"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330,214</w:t>
            </w:r>
          </w:p>
        </w:tc>
        <w:tc>
          <w:tcPr>
            <w:tcW w:w="1058"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23,378</w:t>
            </w:r>
          </w:p>
        </w:tc>
        <w:tc>
          <w:tcPr>
            <w:tcW w:w="1462" w:type="dxa"/>
            <w:gridSpan w:val="2"/>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70.8</w:t>
            </w:r>
          </w:p>
        </w:tc>
        <w:tc>
          <w:tcPr>
            <w:tcW w:w="1710"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2,445</w:t>
            </w:r>
          </w:p>
        </w:tc>
        <w:tc>
          <w:tcPr>
            <w:tcW w:w="1170"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7.4</w:t>
            </w:r>
          </w:p>
        </w:tc>
        <w:tc>
          <w:tcPr>
            <w:tcW w:w="1548"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10.5</w:t>
            </w:r>
          </w:p>
        </w:tc>
      </w:tr>
      <w:tr w:rsidR="009061CB" w:rsidRPr="003E2E3F" w:rsidTr="009061CB">
        <w:trPr>
          <w:trHeight w:val="300"/>
        </w:trPr>
        <w:tc>
          <w:tcPr>
            <w:tcW w:w="1188" w:type="dxa"/>
            <w:shd w:val="clear" w:color="auto" w:fill="DBE5F1"/>
          </w:tcPr>
          <w:p w:rsidR="009061CB" w:rsidRPr="00C51502" w:rsidRDefault="009061CB" w:rsidP="009061CB">
            <w:pPr>
              <w:spacing w:after="0" w:line="240" w:lineRule="auto"/>
              <w:rPr>
                <w:rFonts w:ascii="Calibri" w:eastAsia="Times New Roman" w:hAnsi="Calibri" w:cs="Arial"/>
                <w:b/>
                <w:color w:val="013161"/>
                <w:sz w:val="20"/>
              </w:rPr>
            </w:pPr>
            <w:r w:rsidRPr="00C51502">
              <w:rPr>
                <w:rFonts w:ascii="Calibri" w:eastAsia="Times New Roman" w:hAnsi="Calibri" w:cs="Arial"/>
                <w:b/>
                <w:color w:val="013161"/>
                <w:sz w:val="20"/>
              </w:rPr>
              <w:t>Asian/P.I.</w:t>
            </w:r>
          </w:p>
        </w:tc>
        <w:tc>
          <w:tcPr>
            <w:tcW w:w="1350"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68,119</w:t>
            </w:r>
          </w:p>
        </w:tc>
        <w:tc>
          <w:tcPr>
            <w:tcW w:w="1058"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1,965</w:t>
            </w:r>
          </w:p>
        </w:tc>
        <w:tc>
          <w:tcPr>
            <w:tcW w:w="1462" w:type="dxa"/>
            <w:gridSpan w:val="2"/>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28.8</w:t>
            </w:r>
          </w:p>
        </w:tc>
        <w:tc>
          <w:tcPr>
            <w:tcW w:w="1710"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150</w:t>
            </w:r>
          </w:p>
        </w:tc>
        <w:tc>
          <w:tcPr>
            <w:tcW w:w="1170"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2.2</w:t>
            </w:r>
          </w:p>
        </w:tc>
        <w:tc>
          <w:tcPr>
            <w:tcW w:w="1548"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7.6</w:t>
            </w:r>
          </w:p>
        </w:tc>
      </w:tr>
      <w:tr w:rsidR="009061CB" w:rsidRPr="003E2E3F" w:rsidTr="009061CB">
        <w:trPr>
          <w:trHeight w:val="300"/>
        </w:trPr>
        <w:tc>
          <w:tcPr>
            <w:tcW w:w="1188" w:type="dxa"/>
            <w:shd w:val="clear" w:color="auto" w:fill="auto"/>
          </w:tcPr>
          <w:p w:rsidR="009061CB" w:rsidRPr="00C51502" w:rsidRDefault="009061CB" w:rsidP="009061CB">
            <w:pPr>
              <w:spacing w:after="0" w:line="240" w:lineRule="auto"/>
              <w:rPr>
                <w:rFonts w:ascii="Calibri" w:eastAsia="Times New Roman" w:hAnsi="Calibri" w:cs="Arial"/>
                <w:b/>
                <w:color w:val="013161"/>
                <w:sz w:val="20"/>
              </w:rPr>
            </w:pPr>
            <w:r w:rsidRPr="00C51502">
              <w:rPr>
                <w:rFonts w:ascii="Calibri" w:eastAsia="Times New Roman" w:hAnsi="Calibri" w:cs="Arial"/>
                <w:b/>
                <w:color w:val="013161"/>
                <w:sz w:val="20"/>
              </w:rPr>
              <w:t>Nat Amer</w:t>
            </w:r>
          </w:p>
        </w:tc>
        <w:tc>
          <w:tcPr>
            <w:tcW w:w="1350"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3,089</w:t>
            </w:r>
          </w:p>
        </w:tc>
        <w:tc>
          <w:tcPr>
            <w:tcW w:w="1058"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547</w:t>
            </w:r>
          </w:p>
        </w:tc>
        <w:tc>
          <w:tcPr>
            <w:tcW w:w="1462" w:type="dxa"/>
            <w:gridSpan w:val="2"/>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177.1</w:t>
            </w:r>
          </w:p>
        </w:tc>
        <w:tc>
          <w:tcPr>
            <w:tcW w:w="1710"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84</w:t>
            </w:r>
          </w:p>
        </w:tc>
        <w:tc>
          <w:tcPr>
            <w:tcW w:w="1170"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27.2</w:t>
            </w:r>
          </w:p>
        </w:tc>
        <w:tc>
          <w:tcPr>
            <w:tcW w:w="1548"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15.4</w:t>
            </w:r>
          </w:p>
        </w:tc>
      </w:tr>
      <w:tr w:rsidR="009061CB" w:rsidRPr="003E2E3F" w:rsidTr="009061CB">
        <w:trPr>
          <w:trHeight w:val="300"/>
        </w:trPr>
        <w:tc>
          <w:tcPr>
            <w:tcW w:w="1188" w:type="dxa"/>
            <w:shd w:val="clear" w:color="auto" w:fill="DBE5F1"/>
          </w:tcPr>
          <w:p w:rsidR="009061CB" w:rsidRPr="00C51502" w:rsidRDefault="009061CB" w:rsidP="009061CB">
            <w:pPr>
              <w:spacing w:after="0" w:line="240" w:lineRule="auto"/>
              <w:rPr>
                <w:rFonts w:ascii="Calibri" w:eastAsia="Times New Roman" w:hAnsi="Calibri" w:cs="Arial"/>
                <w:b/>
                <w:color w:val="013161"/>
                <w:sz w:val="20"/>
              </w:rPr>
            </w:pPr>
            <w:r w:rsidRPr="00C51502">
              <w:rPr>
                <w:rFonts w:ascii="Calibri" w:eastAsia="Times New Roman" w:hAnsi="Calibri" w:cs="Arial"/>
                <w:b/>
                <w:color w:val="013161"/>
                <w:sz w:val="20"/>
              </w:rPr>
              <w:t>Multi-Race</w:t>
            </w:r>
          </w:p>
        </w:tc>
        <w:tc>
          <w:tcPr>
            <w:tcW w:w="1350"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42,138</w:t>
            </w:r>
          </w:p>
        </w:tc>
        <w:tc>
          <w:tcPr>
            <w:tcW w:w="1058"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0</w:t>
            </w:r>
          </w:p>
        </w:tc>
        <w:tc>
          <w:tcPr>
            <w:tcW w:w="1462" w:type="dxa"/>
            <w:gridSpan w:val="2"/>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0</w:t>
            </w:r>
          </w:p>
        </w:tc>
        <w:tc>
          <w:tcPr>
            <w:tcW w:w="1710"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0</w:t>
            </w:r>
          </w:p>
        </w:tc>
        <w:tc>
          <w:tcPr>
            <w:tcW w:w="1170"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0</w:t>
            </w:r>
          </w:p>
        </w:tc>
        <w:tc>
          <w:tcPr>
            <w:tcW w:w="1548"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w:t>
            </w:r>
          </w:p>
        </w:tc>
      </w:tr>
      <w:tr w:rsidR="009061CB" w:rsidRPr="003E2E3F" w:rsidTr="009061CB">
        <w:trPr>
          <w:trHeight w:val="300"/>
        </w:trPr>
        <w:tc>
          <w:tcPr>
            <w:tcW w:w="1188" w:type="dxa"/>
            <w:shd w:val="clear" w:color="auto" w:fill="auto"/>
          </w:tcPr>
          <w:p w:rsidR="009061CB" w:rsidRPr="00C51502" w:rsidRDefault="009061CB" w:rsidP="009061CB">
            <w:pPr>
              <w:spacing w:after="0" w:line="240" w:lineRule="auto"/>
              <w:rPr>
                <w:rFonts w:ascii="Calibri" w:eastAsia="Times New Roman" w:hAnsi="Calibri" w:cs="Arial"/>
                <w:b/>
                <w:color w:val="013161"/>
                <w:sz w:val="20"/>
              </w:rPr>
            </w:pPr>
            <w:r w:rsidRPr="00C51502">
              <w:rPr>
                <w:rFonts w:ascii="Calibri" w:eastAsia="Times New Roman" w:hAnsi="Calibri" w:cs="Arial"/>
                <w:b/>
                <w:color w:val="013161"/>
                <w:sz w:val="20"/>
              </w:rPr>
              <w:t>Missing</w:t>
            </w:r>
          </w:p>
        </w:tc>
        <w:tc>
          <w:tcPr>
            <w:tcW w:w="1350"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0</w:t>
            </w:r>
          </w:p>
        </w:tc>
        <w:tc>
          <w:tcPr>
            <w:tcW w:w="1058"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5,754</w:t>
            </w:r>
          </w:p>
        </w:tc>
        <w:tc>
          <w:tcPr>
            <w:tcW w:w="1462" w:type="dxa"/>
            <w:gridSpan w:val="2"/>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w:t>
            </w:r>
          </w:p>
        </w:tc>
        <w:tc>
          <w:tcPr>
            <w:tcW w:w="1710"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220</w:t>
            </w:r>
          </w:p>
        </w:tc>
        <w:tc>
          <w:tcPr>
            <w:tcW w:w="1170"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w:t>
            </w:r>
          </w:p>
        </w:tc>
        <w:tc>
          <w:tcPr>
            <w:tcW w:w="1548" w:type="dxa"/>
            <w:shd w:val="clear" w:color="auto" w:fill="auto"/>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3.8</w:t>
            </w:r>
          </w:p>
        </w:tc>
      </w:tr>
      <w:tr w:rsidR="009061CB" w:rsidRPr="003E2E3F" w:rsidTr="009061CB">
        <w:trPr>
          <w:trHeight w:val="300"/>
        </w:trPr>
        <w:tc>
          <w:tcPr>
            <w:tcW w:w="1188" w:type="dxa"/>
            <w:shd w:val="clear" w:color="auto" w:fill="DBE5F1"/>
          </w:tcPr>
          <w:p w:rsidR="009061CB" w:rsidRPr="00C51502" w:rsidRDefault="009061CB" w:rsidP="009061CB">
            <w:pPr>
              <w:spacing w:after="0" w:line="240" w:lineRule="auto"/>
              <w:rPr>
                <w:rFonts w:ascii="Calibri" w:eastAsia="Times New Roman" w:hAnsi="Calibri" w:cs="Arial"/>
                <w:b/>
                <w:color w:val="013161"/>
                <w:sz w:val="20"/>
              </w:rPr>
            </w:pPr>
            <w:r w:rsidRPr="00C51502">
              <w:rPr>
                <w:rFonts w:ascii="Calibri" w:eastAsia="Times New Roman" w:hAnsi="Calibri" w:cs="Arial"/>
                <w:b/>
                <w:color w:val="013161"/>
                <w:sz w:val="20"/>
              </w:rPr>
              <w:t>Total</w:t>
            </w:r>
          </w:p>
        </w:tc>
        <w:tc>
          <w:tcPr>
            <w:tcW w:w="1350"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738,367</w:t>
            </w:r>
          </w:p>
        </w:tc>
        <w:tc>
          <w:tcPr>
            <w:tcW w:w="1058"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50,802</w:t>
            </w:r>
          </w:p>
        </w:tc>
        <w:tc>
          <w:tcPr>
            <w:tcW w:w="1462" w:type="dxa"/>
            <w:gridSpan w:val="2"/>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68.8</w:t>
            </w:r>
          </w:p>
        </w:tc>
        <w:tc>
          <w:tcPr>
            <w:tcW w:w="1710"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4,910</w:t>
            </w:r>
          </w:p>
        </w:tc>
        <w:tc>
          <w:tcPr>
            <w:tcW w:w="1170"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6.6</w:t>
            </w:r>
          </w:p>
        </w:tc>
        <w:tc>
          <w:tcPr>
            <w:tcW w:w="1548" w:type="dxa"/>
            <w:shd w:val="clear" w:color="auto" w:fill="DBE5F1"/>
          </w:tcPr>
          <w:p w:rsidR="009061CB" w:rsidRPr="00C51502" w:rsidRDefault="009061CB" w:rsidP="009061CB">
            <w:pPr>
              <w:spacing w:after="0" w:line="240" w:lineRule="auto"/>
              <w:jc w:val="center"/>
              <w:rPr>
                <w:rFonts w:ascii="Calibri" w:eastAsia="Times New Roman" w:hAnsi="Calibri" w:cs="Arial"/>
                <w:b/>
                <w:color w:val="013161"/>
                <w:sz w:val="20"/>
              </w:rPr>
            </w:pPr>
            <w:r w:rsidRPr="00C51502">
              <w:rPr>
                <w:rFonts w:ascii="Calibri" w:eastAsia="Times New Roman" w:hAnsi="Calibri" w:cs="Arial"/>
                <w:b/>
                <w:color w:val="013161"/>
                <w:sz w:val="20"/>
              </w:rPr>
              <w:t>9.7</w:t>
            </w:r>
          </w:p>
        </w:tc>
      </w:tr>
    </w:tbl>
    <w:p w:rsidR="00D86A11" w:rsidRPr="005C23BB" w:rsidRDefault="00D86A11" w:rsidP="00D86A11">
      <w:pPr>
        <w:rPr>
          <w:sz w:val="4"/>
        </w:rPr>
      </w:pPr>
    </w:p>
    <w:p w:rsidR="00D86A11" w:rsidRPr="00BE3D23" w:rsidRDefault="00D86A11" w:rsidP="00D86A11">
      <w:pPr>
        <w:rPr>
          <w:sz w:val="20"/>
        </w:rPr>
      </w:pPr>
    </w:p>
    <w:p w:rsidR="00513791" w:rsidRDefault="00513791" w:rsidP="00D86A11">
      <w:pPr>
        <w:spacing w:before="120" w:after="0"/>
        <w:ind w:right="130"/>
        <w:rPr>
          <w:rStyle w:val="Heading1Char"/>
          <w:color w:val="2E7029"/>
          <w:sz w:val="24"/>
          <w:szCs w:val="28"/>
        </w:rPr>
      </w:pPr>
    </w:p>
    <w:p w:rsidR="00AD52D0" w:rsidRDefault="00AD52D0" w:rsidP="00D86A11">
      <w:pPr>
        <w:spacing w:before="120" w:after="0"/>
        <w:ind w:right="130"/>
        <w:rPr>
          <w:rStyle w:val="Heading1Char"/>
          <w:color w:val="2E7029"/>
          <w:sz w:val="24"/>
          <w:szCs w:val="28"/>
        </w:rPr>
      </w:pPr>
    </w:p>
    <w:p w:rsidR="00AD52D0" w:rsidRDefault="00AD52D0" w:rsidP="00D86A11">
      <w:pPr>
        <w:spacing w:before="120" w:after="0"/>
        <w:ind w:right="130"/>
        <w:rPr>
          <w:rStyle w:val="Heading1Char"/>
          <w:color w:val="2E7029"/>
          <w:sz w:val="24"/>
          <w:szCs w:val="28"/>
        </w:rPr>
      </w:pPr>
    </w:p>
    <w:p w:rsidR="00D86A11" w:rsidRDefault="00763E81" w:rsidP="00D86A11">
      <w:pPr>
        <w:spacing w:before="120" w:after="0"/>
        <w:ind w:right="130"/>
        <w:rPr>
          <w:rFonts w:ascii="Calibri" w:hAnsi="Calibri"/>
          <w:sz w:val="24"/>
          <w:szCs w:val="24"/>
        </w:rPr>
      </w:pPr>
      <w:r>
        <w:rPr>
          <w:b/>
          <w:noProof/>
          <w:color w:val="auto"/>
          <w:sz w:val="20"/>
          <w:szCs w:val="28"/>
          <w:u w:val="single"/>
        </w:rPr>
        <mc:AlternateContent>
          <mc:Choice Requires="wps">
            <w:drawing>
              <wp:anchor distT="91440" distB="91440" distL="182880" distR="182880" simplePos="0" relativeHeight="251898880" behindDoc="1" locked="0" layoutInCell="0" allowOverlap="1">
                <wp:simplePos x="0" y="0"/>
                <wp:positionH relativeFrom="margin">
                  <wp:posOffset>158750</wp:posOffset>
                </wp:positionH>
                <wp:positionV relativeFrom="margin">
                  <wp:posOffset>33655</wp:posOffset>
                </wp:positionV>
                <wp:extent cx="5829300" cy="1270000"/>
                <wp:effectExtent l="0" t="0" r="0" b="0"/>
                <wp:wrapSquare wrapText="bothSides"/>
                <wp:docPr id="27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27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103E6" w:rsidRPr="00B62808" w:rsidRDefault="009103E6" w:rsidP="009061CB">
                            <w:pPr>
                              <w:pBdr>
                                <w:top w:val="single" w:sz="4" w:space="1" w:color="A7BFDE"/>
                                <w:bottom w:val="single" w:sz="4" w:space="10" w:color="A7BFDE"/>
                              </w:pBdr>
                              <w:spacing w:after="0"/>
                              <w:jc w:val="center"/>
                              <w:rPr>
                                <w:b/>
                                <w:i/>
                                <w:iCs/>
                                <w:color w:val="2E7029"/>
                                <w:sz w:val="12"/>
                                <w:szCs w:val="28"/>
                              </w:rPr>
                            </w:pPr>
                          </w:p>
                          <w:p w:rsidR="009103E6" w:rsidRDefault="009103E6" w:rsidP="009061CB">
                            <w:pPr>
                              <w:pBdr>
                                <w:top w:val="single" w:sz="4" w:space="1" w:color="A7BFDE"/>
                                <w:bottom w:val="single" w:sz="4" w:space="10" w:color="A7BFDE"/>
                              </w:pBdr>
                              <w:spacing w:after="0"/>
                              <w:jc w:val="center"/>
                              <w:rPr>
                                <w:b/>
                                <w:i/>
                                <w:iCs/>
                                <w:color w:val="2E7029"/>
                                <w:sz w:val="28"/>
                                <w:szCs w:val="28"/>
                              </w:rPr>
                            </w:pPr>
                            <w:r>
                              <w:rPr>
                                <w:b/>
                                <w:i/>
                                <w:iCs/>
                                <w:color w:val="2E7029"/>
                                <w:sz w:val="28"/>
                                <w:szCs w:val="28"/>
                              </w:rPr>
                              <w:t>“</w:t>
                            </w:r>
                            <w:r w:rsidRPr="00DF539B">
                              <w:rPr>
                                <w:b/>
                                <w:i/>
                                <w:iCs/>
                                <w:color w:val="2E7029"/>
                                <w:sz w:val="28"/>
                                <w:szCs w:val="28"/>
                              </w:rPr>
                              <w:t>The CWS Indian Specialty Unit is a great partner to the tribes</w:t>
                            </w:r>
                            <w:r>
                              <w:rPr>
                                <w:b/>
                                <w:i/>
                                <w:iCs/>
                                <w:color w:val="2E7029"/>
                                <w:sz w:val="28"/>
                                <w:szCs w:val="28"/>
                              </w:rPr>
                              <w:t xml:space="preserve">. </w:t>
                            </w:r>
                            <w:r w:rsidRPr="00DF539B">
                              <w:rPr>
                                <w:b/>
                                <w:i/>
                                <w:iCs/>
                                <w:color w:val="2E7029"/>
                                <w:sz w:val="28"/>
                                <w:szCs w:val="28"/>
                              </w:rPr>
                              <w:t xml:space="preserve">This historic collaboration with local </w:t>
                            </w:r>
                            <w:r>
                              <w:rPr>
                                <w:b/>
                                <w:i/>
                                <w:iCs/>
                                <w:color w:val="2E7029"/>
                                <w:sz w:val="28"/>
                                <w:szCs w:val="28"/>
                              </w:rPr>
                              <w:t>t</w:t>
                            </w:r>
                            <w:r w:rsidRPr="00DF539B">
                              <w:rPr>
                                <w:b/>
                                <w:i/>
                                <w:iCs/>
                                <w:color w:val="2E7029"/>
                                <w:sz w:val="28"/>
                                <w:szCs w:val="28"/>
                              </w:rPr>
                              <w:t>ribes has helped combat the disproportionality of Tribal children in the CWS system. This unit and the Tribes have</w:t>
                            </w:r>
                            <w:r>
                              <w:rPr>
                                <w:b/>
                                <w:i/>
                                <w:iCs/>
                                <w:color w:val="2E7029"/>
                                <w:sz w:val="28"/>
                                <w:szCs w:val="28"/>
                              </w:rPr>
                              <w:t xml:space="preserve"> recently vetted a MOU.”</w:t>
                            </w:r>
                          </w:p>
                          <w:p w:rsidR="009103E6" w:rsidRPr="00E22A7C" w:rsidRDefault="009103E6" w:rsidP="009061CB">
                            <w:pPr>
                              <w:pBdr>
                                <w:top w:val="single" w:sz="4" w:space="1" w:color="A7BFDE"/>
                                <w:bottom w:val="single" w:sz="4" w:space="10" w:color="A7BFDE"/>
                              </w:pBdr>
                              <w:spacing w:after="0"/>
                              <w:jc w:val="center"/>
                              <w:rPr>
                                <w:b/>
                                <w:i/>
                                <w:iCs/>
                                <w:color w:val="2E7029"/>
                                <w:sz w:val="28"/>
                                <w:szCs w:val="28"/>
                              </w:rPr>
                            </w:pPr>
                            <w:r w:rsidRPr="004D2A28">
                              <w:rPr>
                                <w:b/>
                                <w:i/>
                                <w:iCs/>
                                <w:color w:val="F6872B"/>
                                <w:sz w:val="28"/>
                                <w:szCs w:val="28"/>
                              </w:rPr>
                              <w:t>- CSA Stakeholder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6" o:spid="_x0000_s1061" style="position:absolute;margin-left:12.5pt;margin-top:2.65pt;width:459pt;height:100pt;z-index:-251417600;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" o:allowincell="f" filled="f" stroked="f" strokecolor="#90b5e3" strokeweight="6pt">
                <v:textbox inset="0,0,0,0">
                  <w:txbxContent>
                    <w:p w:rsidR="009103E6" w:rsidRPr="00B62808" w:rsidRDefault="009103E6" w:rsidP="009061CB">
                      <w:pPr>
                        <w:pBdr>
                          <w:top w:val="single" w:sz="4" w:space="1" w:color="A7BFDE"/>
                          <w:bottom w:val="single" w:sz="4" w:space="10" w:color="A7BFDE"/>
                        </w:pBdr>
                        <w:spacing w:after="0"/>
                        <w:jc w:val="center"/>
                        <w:rPr>
                          <w:b/>
                          <w:i/>
                          <w:iCs/>
                          <w:color w:val="2E7029"/>
                          <w:sz w:val="12"/>
                          <w:szCs w:val="28"/>
                        </w:rPr>
                      </w:pPr>
                    </w:p>
                    <w:p w:rsidR="009103E6" w:rsidRDefault="009103E6" w:rsidP="009061CB">
                      <w:pPr>
                        <w:pBdr>
                          <w:top w:val="single" w:sz="4" w:space="1" w:color="A7BFDE"/>
                          <w:bottom w:val="single" w:sz="4" w:space="10" w:color="A7BFDE"/>
                        </w:pBdr>
                        <w:spacing w:after="0"/>
                        <w:jc w:val="center"/>
                        <w:rPr>
                          <w:b/>
                          <w:i/>
                          <w:iCs/>
                          <w:color w:val="2E7029"/>
                          <w:sz w:val="28"/>
                          <w:szCs w:val="28"/>
                        </w:rPr>
                      </w:pPr>
                      <w:r>
                        <w:rPr>
                          <w:b/>
                          <w:i/>
                          <w:iCs/>
                          <w:color w:val="2E7029"/>
                          <w:sz w:val="28"/>
                          <w:szCs w:val="28"/>
                        </w:rPr>
                        <w:t>“</w:t>
                      </w:r>
                      <w:r w:rsidRPr="00DF539B">
                        <w:rPr>
                          <w:b/>
                          <w:i/>
                          <w:iCs/>
                          <w:color w:val="2E7029"/>
                          <w:sz w:val="28"/>
                          <w:szCs w:val="28"/>
                        </w:rPr>
                        <w:t>The CWS Indian Specialty Unit is a great partner to the tribes</w:t>
                      </w:r>
                      <w:r>
                        <w:rPr>
                          <w:b/>
                          <w:i/>
                          <w:iCs/>
                          <w:color w:val="2E7029"/>
                          <w:sz w:val="28"/>
                          <w:szCs w:val="28"/>
                        </w:rPr>
                        <w:t xml:space="preserve">. </w:t>
                      </w:r>
                      <w:r w:rsidRPr="00DF539B">
                        <w:rPr>
                          <w:b/>
                          <w:i/>
                          <w:iCs/>
                          <w:color w:val="2E7029"/>
                          <w:sz w:val="28"/>
                          <w:szCs w:val="28"/>
                        </w:rPr>
                        <w:t xml:space="preserve">This historic collaboration with local </w:t>
                      </w:r>
                      <w:r>
                        <w:rPr>
                          <w:b/>
                          <w:i/>
                          <w:iCs/>
                          <w:color w:val="2E7029"/>
                          <w:sz w:val="28"/>
                          <w:szCs w:val="28"/>
                        </w:rPr>
                        <w:t>t</w:t>
                      </w:r>
                      <w:r w:rsidRPr="00DF539B">
                        <w:rPr>
                          <w:b/>
                          <w:i/>
                          <w:iCs/>
                          <w:color w:val="2E7029"/>
                          <w:sz w:val="28"/>
                          <w:szCs w:val="28"/>
                        </w:rPr>
                        <w:t>ribes has helped combat the disproportionality of Tribal children in the CWS system. This unit and the Tribes have</w:t>
                      </w:r>
                      <w:r>
                        <w:rPr>
                          <w:b/>
                          <w:i/>
                          <w:iCs/>
                          <w:color w:val="2E7029"/>
                          <w:sz w:val="28"/>
                          <w:szCs w:val="28"/>
                        </w:rPr>
                        <w:t xml:space="preserve"> recently vetted a MOU.”</w:t>
                      </w:r>
                    </w:p>
                    <w:p w:rsidR="009103E6" w:rsidRPr="00E22A7C" w:rsidRDefault="009103E6" w:rsidP="009061CB">
                      <w:pPr>
                        <w:pBdr>
                          <w:top w:val="single" w:sz="4" w:space="1" w:color="A7BFDE"/>
                          <w:bottom w:val="single" w:sz="4" w:space="10" w:color="A7BFDE"/>
                        </w:pBdr>
                        <w:spacing w:after="0"/>
                        <w:jc w:val="center"/>
                        <w:rPr>
                          <w:b/>
                          <w:i/>
                          <w:iCs/>
                          <w:color w:val="2E7029"/>
                          <w:sz w:val="28"/>
                          <w:szCs w:val="28"/>
                        </w:rPr>
                      </w:pPr>
                      <w:r w:rsidRPr="004D2A28">
                        <w:rPr>
                          <w:b/>
                          <w:i/>
                          <w:iCs/>
                          <w:color w:val="F6872B"/>
                          <w:sz w:val="28"/>
                          <w:szCs w:val="28"/>
                        </w:rPr>
                        <w:t>- CSA Stakeholder</w:t>
                      </w:r>
                    </w:p>
                  </w:txbxContent>
                </v:textbox>
                <w10:wrap type="square" anchorx="margin" anchory="margin"/>
              </v:rect>
            </w:pict>
          </mc:Fallback>
        </mc:AlternateContent>
      </w:r>
      <w:r w:rsidR="00D86A11" w:rsidRPr="006F4BD0">
        <w:rPr>
          <w:rStyle w:val="Heading1Char"/>
          <w:color w:val="2E7029"/>
          <w:sz w:val="24"/>
          <w:szCs w:val="28"/>
        </w:rPr>
        <w:t>Child Welfare Referral Allegations by Type of Allegation</w:t>
      </w:r>
    </w:p>
    <w:p w:rsidR="00D86A11" w:rsidRDefault="00D86A11" w:rsidP="00D86A11">
      <w:pPr>
        <w:spacing w:before="120" w:after="0"/>
        <w:ind w:right="130"/>
        <w:rPr>
          <w:rFonts w:ascii="Franklin Gothic Book" w:hAnsi="Franklin Gothic Book"/>
          <w:color w:val="auto"/>
          <w:spacing w:val="20"/>
          <w:szCs w:val="28"/>
        </w:rPr>
      </w:pPr>
      <w:r w:rsidRPr="006F4BD0">
        <w:rPr>
          <w:rFonts w:ascii="Franklin Gothic Book" w:hAnsi="Franklin Gothic Book"/>
          <w:color w:val="auto"/>
          <w:spacing w:val="20"/>
          <w:szCs w:val="28"/>
        </w:rPr>
        <w:t>The County reports data on allegation type in an annual operational report referred to as the “</w:t>
      </w:r>
      <w:r w:rsidRPr="00D52300">
        <w:rPr>
          <w:rFonts w:ascii="Franklin Gothic Book" w:hAnsi="Franklin Gothic Book"/>
          <w:i/>
          <w:color w:val="auto"/>
          <w:spacing w:val="20"/>
          <w:szCs w:val="28"/>
        </w:rPr>
        <w:t>Triangle Chart</w:t>
      </w:r>
      <w:r w:rsidRPr="006F4BD0">
        <w:rPr>
          <w:rFonts w:ascii="Franklin Gothic Book" w:hAnsi="Franklin Gothic Book"/>
          <w:color w:val="auto"/>
          <w:spacing w:val="20"/>
          <w:szCs w:val="28"/>
        </w:rPr>
        <w:t xml:space="preserve">.” Since a referral to CWS can include multiple allegations, the report provides the percent of referrals that include a “general neglect” allegation, the percent that include an “emotional abuse” allegation and so on. The percentages below show that the types of allegations included in referrals have not changed much since the last CSA, other than for the allegation of “at risk, sibling abused,” which is now included in 23% of referrals received. </w:t>
      </w:r>
    </w:p>
    <w:p w:rsidR="00D86A11" w:rsidRPr="00207EBB" w:rsidRDefault="00D86A11" w:rsidP="00D86A11">
      <w:pPr>
        <w:rPr>
          <w:sz w:val="4"/>
        </w:rPr>
      </w:pPr>
    </w:p>
    <w:tbl>
      <w:tblPr>
        <w:tblW w:w="9016" w:type="dxa"/>
        <w:tblLook w:val="01E0" w:firstRow="1" w:lastRow="1" w:firstColumn="1" w:lastColumn="1" w:noHBand="0" w:noVBand="0"/>
      </w:tblPr>
      <w:tblGrid>
        <w:gridCol w:w="3917"/>
        <w:gridCol w:w="1274"/>
        <w:gridCol w:w="1275"/>
        <w:gridCol w:w="354"/>
        <w:gridCol w:w="236"/>
        <w:gridCol w:w="685"/>
        <w:gridCol w:w="28"/>
        <w:gridCol w:w="1247"/>
      </w:tblGrid>
      <w:tr w:rsidR="00D86A11" w:rsidRPr="009A4D3F" w:rsidTr="006C7055">
        <w:trPr>
          <w:trHeight w:val="280"/>
        </w:trPr>
        <w:tc>
          <w:tcPr>
            <w:tcW w:w="7769" w:type="dxa"/>
            <w:gridSpan w:val="7"/>
            <w:tcBorders>
              <w:top w:val="single" w:sz="18" w:space="0" w:color="F6872B"/>
            </w:tcBorders>
            <w:shd w:val="clear" w:color="auto" w:fill="013161"/>
          </w:tcPr>
          <w:p w:rsidR="00D86A11" w:rsidRPr="008314D7"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 w:val="24"/>
                <w:szCs w:val="22"/>
              </w:rPr>
              <w:t xml:space="preserve">Exhibit 24. County of </w:t>
            </w:r>
            <w:r w:rsidRPr="00B53CA4">
              <w:rPr>
                <w:rFonts w:ascii="Calibri" w:eastAsia="Calibri" w:hAnsi="Calibri" w:cs="Arial"/>
                <w:b/>
                <w:bCs/>
                <w:color w:val="FFFFFF"/>
                <w:sz w:val="24"/>
                <w:szCs w:val="22"/>
              </w:rPr>
              <w:t xml:space="preserve">San Diego Percent of Referrals with Each Allegation Type </w:t>
            </w:r>
          </w:p>
        </w:tc>
        <w:tc>
          <w:tcPr>
            <w:tcW w:w="1247" w:type="dxa"/>
            <w:tcBorders>
              <w:top w:val="single" w:sz="18" w:space="0" w:color="F6872B"/>
            </w:tcBorders>
            <w:shd w:val="clear" w:color="auto" w:fill="013161"/>
          </w:tcPr>
          <w:p w:rsidR="00157A38" w:rsidRDefault="00157A38" w:rsidP="00D86A11">
            <w:pPr>
              <w:spacing w:after="0" w:line="240" w:lineRule="auto"/>
              <w:jc w:val="center"/>
              <w:rPr>
                <w:rFonts w:ascii="Calibri" w:eastAsia="Calibri" w:hAnsi="Calibri" w:cs="Arial"/>
                <w:b/>
                <w:bCs/>
                <w:color w:val="FFFFFF"/>
                <w:sz w:val="24"/>
                <w:szCs w:val="22"/>
              </w:rPr>
            </w:pPr>
          </w:p>
        </w:tc>
      </w:tr>
      <w:tr w:rsidR="00D86A11" w:rsidRPr="009A4D3F" w:rsidTr="006C7055">
        <w:trPr>
          <w:trHeight w:val="280"/>
        </w:trPr>
        <w:tc>
          <w:tcPr>
            <w:tcW w:w="3917" w:type="dxa"/>
            <w:shd w:val="clear" w:color="auto" w:fill="013161"/>
          </w:tcPr>
          <w:p w:rsidR="00D86A11" w:rsidRPr="009A4D3F" w:rsidRDefault="00D86A11" w:rsidP="00D86A11">
            <w:pPr>
              <w:spacing w:after="0" w:line="240" w:lineRule="auto"/>
              <w:jc w:val="center"/>
              <w:rPr>
                <w:rFonts w:ascii="Calibri" w:eastAsia="Calibri" w:hAnsi="Calibri" w:cs="Arial"/>
                <w:b/>
                <w:bCs/>
                <w:color w:val="auto"/>
                <w:szCs w:val="22"/>
              </w:rPr>
            </w:pPr>
          </w:p>
        </w:tc>
        <w:tc>
          <w:tcPr>
            <w:tcW w:w="2903" w:type="dxa"/>
            <w:gridSpan w:val="3"/>
            <w:shd w:val="clear" w:color="auto" w:fill="013161"/>
          </w:tcPr>
          <w:p w:rsidR="00D86A11" w:rsidRPr="009A4D3F" w:rsidRDefault="00D86A11" w:rsidP="00D86A11">
            <w:pPr>
              <w:spacing w:after="0" w:line="240" w:lineRule="auto"/>
              <w:jc w:val="center"/>
              <w:rPr>
                <w:rFonts w:ascii="Calibri" w:eastAsia="Calibri" w:hAnsi="Calibri" w:cs="Arial"/>
                <w:b/>
                <w:color w:val="auto"/>
                <w:szCs w:val="22"/>
              </w:rPr>
            </w:pPr>
            <w:r>
              <w:rPr>
                <w:rFonts w:ascii="Calibri" w:eastAsia="Calibri" w:hAnsi="Calibri" w:cs="Arial"/>
                <w:b/>
                <w:color w:val="auto"/>
                <w:szCs w:val="22"/>
              </w:rPr>
              <w:t xml:space="preserve">FY </w:t>
            </w:r>
            <w:r w:rsidRPr="009A4D3F">
              <w:rPr>
                <w:rFonts w:ascii="Calibri" w:eastAsia="Calibri" w:hAnsi="Calibri" w:cs="Arial"/>
                <w:b/>
                <w:color w:val="auto"/>
                <w:szCs w:val="22"/>
              </w:rPr>
              <w:t>2010</w:t>
            </w:r>
            <w:r>
              <w:rPr>
                <w:rFonts w:ascii="Calibri" w:eastAsia="Calibri" w:hAnsi="Calibri" w:cs="Arial"/>
                <w:b/>
                <w:color w:val="auto"/>
                <w:szCs w:val="22"/>
              </w:rPr>
              <w:t>/11</w:t>
            </w:r>
          </w:p>
        </w:tc>
        <w:tc>
          <w:tcPr>
            <w:tcW w:w="236" w:type="dxa"/>
            <w:shd w:val="clear" w:color="auto" w:fill="013161"/>
          </w:tcPr>
          <w:p w:rsidR="00157A38" w:rsidRDefault="00157A38" w:rsidP="00D86A11">
            <w:pPr>
              <w:spacing w:after="0" w:line="240" w:lineRule="auto"/>
              <w:jc w:val="center"/>
              <w:rPr>
                <w:rFonts w:ascii="Calibri" w:eastAsia="Calibri" w:hAnsi="Calibri" w:cs="Arial"/>
                <w:b/>
                <w:bCs/>
                <w:color w:val="auto"/>
                <w:szCs w:val="22"/>
              </w:rPr>
            </w:pPr>
          </w:p>
        </w:tc>
        <w:tc>
          <w:tcPr>
            <w:tcW w:w="1960" w:type="dxa"/>
            <w:gridSpan w:val="3"/>
            <w:shd w:val="clear" w:color="auto" w:fill="013161"/>
          </w:tcPr>
          <w:p w:rsidR="00D86A11" w:rsidRPr="009A4D3F" w:rsidRDefault="00D86A11" w:rsidP="00D86A11">
            <w:pPr>
              <w:spacing w:after="0" w:line="240" w:lineRule="auto"/>
              <w:jc w:val="center"/>
              <w:rPr>
                <w:rFonts w:ascii="Calibri" w:eastAsia="Calibri" w:hAnsi="Calibri" w:cs="Arial"/>
                <w:b/>
                <w:bCs/>
                <w:color w:val="auto"/>
                <w:szCs w:val="22"/>
              </w:rPr>
            </w:pPr>
            <w:r>
              <w:rPr>
                <w:rFonts w:ascii="Calibri" w:eastAsia="Calibri" w:hAnsi="Calibri" w:cs="Arial"/>
                <w:b/>
                <w:bCs/>
                <w:color w:val="auto"/>
                <w:szCs w:val="22"/>
              </w:rPr>
              <w:t>FY</w:t>
            </w:r>
            <w:r w:rsidRPr="009A4D3F">
              <w:rPr>
                <w:rFonts w:ascii="Calibri" w:eastAsia="Calibri" w:hAnsi="Calibri" w:cs="Arial"/>
                <w:b/>
                <w:bCs/>
                <w:color w:val="auto"/>
                <w:szCs w:val="22"/>
              </w:rPr>
              <w:t xml:space="preserve"> 2014</w:t>
            </w:r>
            <w:r>
              <w:rPr>
                <w:rFonts w:ascii="Calibri" w:eastAsia="Calibri" w:hAnsi="Calibri" w:cs="Arial"/>
                <w:b/>
                <w:bCs/>
                <w:color w:val="auto"/>
                <w:szCs w:val="22"/>
              </w:rPr>
              <w:t>/15</w:t>
            </w:r>
          </w:p>
        </w:tc>
      </w:tr>
      <w:tr w:rsidR="006C7055" w:rsidRPr="009A4D3F" w:rsidTr="006C7055">
        <w:trPr>
          <w:trHeight w:val="280"/>
        </w:trPr>
        <w:tc>
          <w:tcPr>
            <w:tcW w:w="3917" w:type="dxa"/>
            <w:shd w:val="clear" w:color="auto" w:fill="013161"/>
          </w:tcPr>
          <w:p w:rsidR="00EE4506" w:rsidRPr="009A4D3F" w:rsidRDefault="00EE4506" w:rsidP="00D86A11">
            <w:pPr>
              <w:spacing w:after="0" w:line="240" w:lineRule="auto"/>
              <w:jc w:val="center"/>
              <w:rPr>
                <w:rFonts w:ascii="Calibri" w:eastAsia="Calibri" w:hAnsi="Calibri" w:cs="Arial"/>
                <w:b/>
                <w:bCs/>
                <w:color w:val="auto"/>
                <w:szCs w:val="22"/>
              </w:rPr>
            </w:pPr>
          </w:p>
        </w:tc>
        <w:tc>
          <w:tcPr>
            <w:tcW w:w="1274" w:type="dxa"/>
            <w:shd w:val="clear" w:color="auto" w:fill="013161"/>
          </w:tcPr>
          <w:p w:rsidR="00EE4506" w:rsidRDefault="00EE4506" w:rsidP="00D86A11">
            <w:pPr>
              <w:spacing w:after="0" w:line="240" w:lineRule="auto"/>
              <w:jc w:val="center"/>
              <w:rPr>
                <w:rFonts w:ascii="Calibri" w:eastAsia="Calibri" w:hAnsi="Calibri" w:cs="Arial"/>
                <w:b/>
                <w:bCs/>
                <w:color w:val="auto"/>
                <w:szCs w:val="22"/>
              </w:rPr>
            </w:pPr>
            <w:r>
              <w:rPr>
                <w:rFonts w:ascii="Calibri" w:eastAsia="Calibri" w:hAnsi="Calibri" w:cs="Arial"/>
                <w:b/>
                <w:color w:val="auto"/>
                <w:szCs w:val="22"/>
              </w:rPr>
              <w:t>%</w:t>
            </w:r>
          </w:p>
        </w:tc>
        <w:tc>
          <w:tcPr>
            <w:tcW w:w="1275" w:type="dxa"/>
            <w:shd w:val="clear" w:color="auto" w:fill="013161"/>
          </w:tcPr>
          <w:p w:rsidR="00EE4506" w:rsidRDefault="00EE4506" w:rsidP="00D86A11">
            <w:pPr>
              <w:spacing w:after="0" w:line="240" w:lineRule="auto"/>
              <w:jc w:val="center"/>
              <w:rPr>
                <w:rFonts w:ascii="Calibri" w:eastAsia="Calibri" w:hAnsi="Calibri" w:cs="Arial"/>
                <w:b/>
                <w:bCs/>
                <w:color w:val="auto"/>
                <w:szCs w:val="22"/>
              </w:rPr>
            </w:pPr>
            <w:r>
              <w:rPr>
                <w:rFonts w:ascii="Calibri" w:eastAsia="Calibri" w:hAnsi="Calibri" w:cs="Arial"/>
                <w:b/>
                <w:bCs/>
                <w:color w:val="auto"/>
                <w:szCs w:val="22"/>
              </w:rPr>
              <w:t>#</w:t>
            </w:r>
          </w:p>
        </w:tc>
        <w:tc>
          <w:tcPr>
            <w:tcW w:w="1275" w:type="dxa"/>
            <w:gridSpan w:val="3"/>
            <w:shd w:val="clear" w:color="auto" w:fill="013161"/>
          </w:tcPr>
          <w:p w:rsidR="00EE4506" w:rsidRDefault="00EE4506" w:rsidP="00D86A11">
            <w:pPr>
              <w:spacing w:after="0" w:line="240" w:lineRule="auto"/>
              <w:jc w:val="center"/>
              <w:rPr>
                <w:rFonts w:ascii="Calibri" w:eastAsia="Calibri" w:hAnsi="Calibri" w:cs="Arial"/>
                <w:b/>
                <w:bCs/>
                <w:color w:val="auto"/>
                <w:szCs w:val="22"/>
              </w:rPr>
            </w:pPr>
            <w:r>
              <w:rPr>
                <w:rFonts w:ascii="Calibri" w:eastAsia="Calibri" w:hAnsi="Calibri" w:cs="Arial"/>
                <w:b/>
                <w:bCs/>
                <w:color w:val="auto"/>
                <w:szCs w:val="22"/>
              </w:rPr>
              <w:t>%</w:t>
            </w:r>
          </w:p>
        </w:tc>
        <w:tc>
          <w:tcPr>
            <w:tcW w:w="1275" w:type="dxa"/>
            <w:gridSpan w:val="2"/>
            <w:shd w:val="clear" w:color="auto" w:fill="013161"/>
          </w:tcPr>
          <w:p w:rsidR="00EE4506" w:rsidRDefault="00EE4506" w:rsidP="00D86A11">
            <w:pPr>
              <w:spacing w:after="0" w:line="240" w:lineRule="auto"/>
              <w:jc w:val="center"/>
              <w:rPr>
                <w:rFonts w:ascii="Calibri" w:eastAsia="Calibri" w:hAnsi="Calibri" w:cs="Arial"/>
                <w:b/>
                <w:bCs/>
                <w:color w:val="auto"/>
                <w:szCs w:val="22"/>
              </w:rPr>
            </w:pPr>
            <w:r>
              <w:rPr>
                <w:rFonts w:ascii="Calibri" w:eastAsia="Calibri" w:hAnsi="Calibri" w:cs="Arial"/>
                <w:b/>
                <w:bCs/>
                <w:color w:val="auto"/>
                <w:szCs w:val="22"/>
              </w:rPr>
              <w:t>#</w:t>
            </w:r>
          </w:p>
        </w:tc>
      </w:tr>
      <w:tr w:rsidR="006C7055" w:rsidRPr="009A4D3F" w:rsidTr="006C7055">
        <w:trPr>
          <w:trHeight w:val="288"/>
        </w:trPr>
        <w:tc>
          <w:tcPr>
            <w:tcW w:w="3917" w:type="dxa"/>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0F68FE">
              <w:rPr>
                <w:rFonts w:ascii="Calibri" w:eastAsia="Calibri" w:hAnsi="Calibri" w:cs="Arial"/>
                <w:b/>
                <w:bCs/>
                <w:color w:val="013161"/>
                <w:sz w:val="20"/>
                <w:szCs w:val="22"/>
              </w:rPr>
              <w:t>General neglect</w:t>
            </w:r>
          </w:p>
        </w:tc>
        <w:tc>
          <w:tcPr>
            <w:tcW w:w="1274" w:type="dxa"/>
            <w:shd w:val="clear" w:color="auto" w:fill="DBE5F1"/>
          </w:tcPr>
          <w:p w:rsidR="00D86A11" w:rsidRPr="00B53CA4"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B53CA4">
              <w:rPr>
                <w:rFonts w:ascii="Calibri" w:eastAsia="Calibri" w:hAnsi="Calibri" w:cs="Arial"/>
                <w:b/>
                <w:color w:val="013161"/>
                <w:sz w:val="20"/>
                <w:szCs w:val="22"/>
              </w:rPr>
              <w:t>44%</w:t>
            </w:r>
          </w:p>
        </w:tc>
        <w:tc>
          <w:tcPr>
            <w:tcW w:w="1275" w:type="dxa"/>
            <w:shd w:val="clear" w:color="auto" w:fill="DBE5F1"/>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16921</w:t>
            </w:r>
          </w:p>
        </w:tc>
        <w:tc>
          <w:tcPr>
            <w:tcW w:w="1275" w:type="dxa"/>
            <w:gridSpan w:val="3"/>
            <w:shd w:val="clear" w:color="auto" w:fill="DBE5F1"/>
          </w:tcPr>
          <w:p w:rsidR="00D86A11" w:rsidRPr="00B53CA4"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B53CA4">
              <w:rPr>
                <w:rFonts w:ascii="Calibri" w:eastAsia="Calibri" w:hAnsi="Calibri" w:cs="Arial"/>
                <w:b/>
                <w:bCs/>
                <w:color w:val="013161"/>
                <w:sz w:val="20"/>
                <w:szCs w:val="22"/>
              </w:rPr>
              <w:t>43%</w:t>
            </w:r>
          </w:p>
        </w:tc>
        <w:tc>
          <w:tcPr>
            <w:tcW w:w="1275" w:type="dxa"/>
            <w:gridSpan w:val="2"/>
            <w:shd w:val="clear" w:color="auto" w:fill="DBE5F1"/>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17769</w:t>
            </w:r>
          </w:p>
        </w:tc>
      </w:tr>
      <w:tr w:rsidR="006C7055" w:rsidRPr="009A4D3F" w:rsidTr="006C7055">
        <w:trPr>
          <w:trHeight w:val="267"/>
        </w:trPr>
        <w:tc>
          <w:tcPr>
            <w:tcW w:w="3917" w:type="dxa"/>
            <w:shd w:val="clear" w:color="auto" w:fill="auto"/>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highlight w:val="yellow"/>
              </w:rPr>
            </w:pPr>
            <w:r w:rsidRPr="000F68FE">
              <w:rPr>
                <w:rFonts w:ascii="Calibri" w:eastAsia="Calibri" w:hAnsi="Calibri" w:cs="Arial"/>
                <w:b/>
                <w:bCs/>
                <w:color w:val="013161"/>
                <w:sz w:val="20"/>
                <w:szCs w:val="22"/>
              </w:rPr>
              <w:t>Emotional abuse</w:t>
            </w:r>
          </w:p>
        </w:tc>
        <w:tc>
          <w:tcPr>
            <w:tcW w:w="1274" w:type="dxa"/>
            <w:shd w:val="clear" w:color="auto" w:fill="auto"/>
          </w:tcPr>
          <w:p w:rsidR="00D86A11" w:rsidRPr="00B53CA4" w:rsidRDefault="00D86A11" w:rsidP="00D86A11">
            <w:pPr>
              <w:autoSpaceDE w:val="0"/>
              <w:autoSpaceDN w:val="0"/>
              <w:adjustRightInd w:val="0"/>
              <w:spacing w:after="0" w:line="240" w:lineRule="auto"/>
              <w:jc w:val="center"/>
              <w:rPr>
                <w:rFonts w:ascii="Calibri" w:eastAsia="Calibri" w:hAnsi="Calibri" w:cs="Arial"/>
                <w:b/>
                <w:color w:val="013161"/>
                <w:sz w:val="20"/>
                <w:szCs w:val="22"/>
              </w:rPr>
            </w:pPr>
            <w:r w:rsidRPr="00B53CA4">
              <w:rPr>
                <w:rFonts w:ascii="Calibri" w:eastAsia="Calibri" w:hAnsi="Calibri" w:cs="Arial"/>
                <w:b/>
                <w:color w:val="013161"/>
                <w:sz w:val="20"/>
                <w:szCs w:val="22"/>
              </w:rPr>
              <w:t>36%</w:t>
            </w:r>
          </w:p>
        </w:tc>
        <w:tc>
          <w:tcPr>
            <w:tcW w:w="1275" w:type="dxa"/>
            <w:shd w:val="clear" w:color="auto" w:fill="auto"/>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13932</w:t>
            </w:r>
          </w:p>
        </w:tc>
        <w:tc>
          <w:tcPr>
            <w:tcW w:w="1275" w:type="dxa"/>
            <w:gridSpan w:val="3"/>
            <w:shd w:val="clear" w:color="auto" w:fill="auto"/>
          </w:tcPr>
          <w:p w:rsidR="00D86A11" w:rsidRPr="00B53CA4"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B53CA4">
              <w:rPr>
                <w:rFonts w:ascii="Calibri" w:eastAsia="Calibri" w:hAnsi="Calibri" w:cs="Arial"/>
                <w:b/>
                <w:bCs/>
                <w:color w:val="013161"/>
                <w:sz w:val="20"/>
                <w:szCs w:val="22"/>
              </w:rPr>
              <w:t>35%</w:t>
            </w:r>
          </w:p>
        </w:tc>
        <w:tc>
          <w:tcPr>
            <w:tcW w:w="1275" w:type="dxa"/>
            <w:gridSpan w:val="2"/>
            <w:shd w:val="clear" w:color="auto" w:fill="auto"/>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14481</w:t>
            </w:r>
          </w:p>
        </w:tc>
      </w:tr>
      <w:tr w:rsidR="006C7055" w:rsidRPr="009A4D3F" w:rsidTr="006C7055">
        <w:trPr>
          <w:trHeight w:val="297"/>
        </w:trPr>
        <w:tc>
          <w:tcPr>
            <w:tcW w:w="3917" w:type="dxa"/>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Pr>
                <w:rFonts w:ascii="Calibri" w:eastAsia="Calibri" w:hAnsi="Calibri" w:cs="Arial"/>
                <w:b/>
                <w:bCs/>
                <w:color w:val="013161"/>
                <w:sz w:val="20"/>
                <w:szCs w:val="22"/>
              </w:rPr>
              <w:t xml:space="preserve">Physical </w:t>
            </w:r>
            <w:r w:rsidRPr="00CB5B01">
              <w:rPr>
                <w:rFonts w:ascii="Calibri" w:eastAsia="Calibri" w:hAnsi="Calibri" w:cs="Arial"/>
                <w:b/>
                <w:bCs/>
                <w:color w:val="013161"/>
                <w:sz w:val="20"/>
                <w:szCs w:val="22"/>
              </w:rPr>
              <w:t>abuse</w:t>
            </w:r>
          </w:p>
        </w:tc>
        <w:tc>
          <w:tcPr>
            <w:tcW w:w="1274" w:type="dxa"/>
            <w:shd w:val="clear" w:color="auto" w:fill="DBE5F1"/>
          </w:tcPr>
          <w:p w:rsidR="00D86A11" w:rsidRPr="00B53CA4"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B53CA4">
              <w:rPr>
                <w:rFonts w:ascii="Calibri" w:eastAsia="Calibri" w:hAnsi="Calibri" w:cs="Arial"/>
                <w:b/>
                <w:bCs/>
                <w:color w:val="013161"/>
                <w:sz w:val="20"/>
                <w:szCs w:val="22"/>
              </w:rPr>
              <w:t>31%</w:t>
            </w:r>
          </w:p>
        </w:tc>
        <w:tc>
          <w:tcPr>
            <w:tcW w:w="1275" w:type="dxa"/>
            <w:shd w:val="clear" w:color="auto" w:fill="DBE5F1"/>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12064</w:t>
            </w:r>
          </w:p>
        </w:tc>
        <w:tc>
          <w:tcPr>
            <w:tcW w:w="1275" w:type="dxa"/>
            <w:gridSpan w:val="3"/>
            <w:shd w:val="clear" w:color="auto" w:fill="DBE5F1"/>
          </w:tcPr>
          <w:p w:rsidR="00D86A11" w:rsidRPr="00B53CA4"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B53CA4">
              <w:rPr>
                <w:rFonts w:ascii="Calibri" w:eastAsia="Calibri" w:hAnsi="Calibri" w:cs="Arial"/>
                <w:b/>
                <w:bCs/>
                <w:color w:val="013161"/>
                <w:sz w:val="20"/>
                <w:szCs w:val="22"/>
              </w:rPr>
              <w:t>31%</w:t>
            </w:r>
          </w:p>
        </w:tc>
        <w:tc>
          <w:tcPr>
            <w:tcW w:w="1275" w:type="dxa"/>
            <w:gridSpan w:val="2"/>
            <w:shd w:val="clear" w:color="auto" w:fill="DBE5F1"/>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12655</w:t>
            </w:r>
          </w:p>
        </w:tc>
      </w:tr>
      <w:tr w:rsidR="006C7055" w:rsidRPr="009A4D3F" w:rsidTr="006C7055">
        <w:trPr>
          <w:trHeight w:val="297"/>
        </w:trPr>
        <w:tc>
          <w:tcPr>
            <w:tcW w:w="3917" w:type="dxa"/>
            <w:shd w:val="clear" w:color="auto" w:fill="auto"/>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CB5B01">
              <w:rPr>
                <w:rFonts w:ascii="Calibri" w:eastAsia="Calibri" w:hAnsi="Calibri" w:cs="Arial"/>
                <w:b/>
                <w:bCs/>
                <w:color w:val="013161"/>
                <w:sz w:val="20"/>
                <w:szCs w:val="22"/>
              </w:rPr>
              <w:t>At risk, sibling abused</w:t>
            </w:r>
          </w:p>
        </w:tc>
        <w:tc>
          <w:tcPr>
            <w:tcW w:w="1274" w:type="dxa"/>
            <w:shd w:val="clear" w:color="auto" w:fill="auto"/>
          </w:tcPr>
          <w:p w:rsidR="00D86A11" w:rsidRPr="00B53CA4"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B53CA4">
              <w:rPr>
                <w:rFonts w:ascii="Calibri" w:eastAsia="Calibri" w:hAnsi="Calibri" w:cs="Arial"/>
                <w:b/>
                <w:bCs/>
                <w:color w:val="013161"/>
                <w:sz w:val="20"/>
                <w:szCs w:val="22"/>
              </w:rPr>
              <w:t>19%</w:t>
            </w:r>
          </w:p>
        </w:tc>
        <w:tc>
          <w:tcPr>
            <w:tcW w:w="1275" w:type="dxa"/>
            <w:shd w:val="clear" w:color="auto" w:fill="auto"/>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7459</w:t>
            </w:r>
          </w:p>
        </w:tc>
        <w:tc>
          <w:tcPr>
            <w:tcW w:w="1275" w:type="dxa"/>
            <w:gridSpan w:val="3"/>
            <w:shd w:val="clear" w:color="auto" w:fill="auto"/>
          </w:tcPr>
          <w:p w:rsidR="00D86A11" w:rsidRPr="00B53CA4"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B53CA4">
              <w:rPr>
                <w:rFonts w:ascii="Calibri" w:eastAsia="Calibri" w:hAnsi="Calibri" w:cs="Arial"/>
                <w:b/>
                <w:bCs/>
                <w:color w:val="013161"/>
                <w:sz w:val="20"/>
                <w:szCs w:val="22"/>
              </w:rPr>
              <w:t>23%</w:t>
            </w:r>
          </w:p>
        </w:tc>
        <w:tc>
          <w:tcPr>
            <w:tcW w:w="1275" w:type="dxa"/>
            <w:gridSpan w:val="2"/>
            <w:shd w:val="clear" w:color="auto" w:fill="auto"/>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9373</w:t>
            </w:r>
          </w:p>
        </w:tc>
      </w:tr>
      <w:tr w:rsidR="006C7055" w:rsidRPr="009A4D3F" w:rsidTr="006C7055">
        <w:trPr>
          <w:trHeight w:val="60"/>
        </w:trPr>
        <w:tc>
          <w:tcPr>
            <w:tcW w:w="3917" w:type="dxa"/>
            <w:shd w:val="clear" w:color="auto" w:fill="DBE5F1"/>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CB5B01">
              <w:rPr>
                <w:rFonts w:ascii="Calibri" w:eastAsia="Calibri" w:hAnsi="Calibri" w:cs="Arial"/>
                <w:b/>
                <w:bCs/>
                <w:color w:val="013161"/>
                <w:sz w:val="20"/>
                <w:szCs w:val="22"/>
              </w:rPr>
              <w:t>Sexual abuse</w:t>
            </w:r>
          </w:p>
        </w:tc>
        <w:tc>
          <w:tcPr>
            <w:tcW w:w="1274" w:type="dxa"/>
            <w:shd w:val="clear" w:color="auto" w:fill="DBE5F1"/>
          </w:tcPr>
          <w:p w:rsidR="00D86A11" w:rsidRPr="00B53CA4"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B53CA4">
              <w:rPr>
                <w:rFonts w:ascii="Calibri" w:eastAsia="Calibri" w:hAnsi="Calibri" w:cs="Arial"/>
                <w:b/>
                <w:bCs/>
                <w:color w:val="013161"/>
                <w:sz w:val="20"/>
                <w:szCs w:val="22"/>
              </w:rPr>
              <w:t>18%</w:t>
            </w:r>
          </w:p>
        </w:tc>
        <w:tc>
          <w:tcPr>
            <w:tcW w:w="1275" w:type="dxa"/>
            <w:shd w:val="clear" w:color="auto" w:fill="DBE5F1"/>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7012</w:t>
            </w:r>
          </w:p>
        </w:tc>
        <w:tc>
          <w:tcPr>
            <w:tcW w:w="1275" w:type="dxa"/>
            <w:gridSpan w:val="3"/>
            <w:shd w:val="clear" w:color="auto" w:fill="DBE5F1"/>
          </w:tcPr>
          <w:p w:rsidR="00D86A11" w:rsidRPr="00B53CA4"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B53CA4">
              <w:rPr>
                <w:rFonts w:ascii="Calibri" w:eastAsia="Calibri" w:hAnsi="Calibri" w:cs="Arial"/>
                <w:b/>
                <w:bCs/>
                <w:color w:val="013161"/>
                <w:sz w:val="20"/>
                <w:szCs w:val="22"/>
              </w:rPr>
              <w:t>18%</w:t>
            </w:r>
          </w:p>
        </w:tc>
        <w:tc>
          <w:tcPr>
            <w:tcW w:w="1275" w:type="dxa"/>
            <w:gridSpan w:val="2"/>
            <w:shd w:val="clear" w:color="auto" w:fill="DBE5F1"/>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7526</w:t>
            </w:r>
          </w:p>
        </w:tc>
      </w:tr>
      <w:tr w:rsidR="006C7055" w:rsidRPr="009A4D3F" w:rsidTr="006C7055">
        <w:trPr>
          <w:trHeight w:val="60"/>
        </w:trPr>
        <w:tc>
          <w:tcPr>
            <w:tcW w:w="3917" w:type="dxa"/>
            <w:shd w:val="clear" w:color="auto" w:fill="auto"/>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CB5B01">
              <w:rPr>
                <w:rFonts w:ascii="Calibri" w:eastAsia="Calibri" w:hAnsi="Calibri" w:cs="Arial"/>
                <w:b/>
                <w:bCs/>
                <w:color w:val="013161"/>
                <w:sz w:val="20"/>
                <w:szCs w:val="22"/>
              </w:rPr>
              <w:t>Caretaker absence/incapacity</w:t>
            </w:r>
          </w:p>
        </w:tc>
        <w:tc>
          <w:tcPr>
            <w:tcW w:w="1274" w:type="dxa"/>
            <w:shd w:val="clear" w:color="auto" w:fill="auto"/>
          </w:tcPr>
          <w:p w:rsidR="00D86A11" w:rsidRPr="00B53CA4"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B53CA4">
              <w:rPr>
                <w:rFonts w:ascii="Calibri" w:eastAsia="Calibri" w:hAnsi="Calibri" w:cs="Arial"/>
                <w:b/>
                <w:bCs/>
                <w:color w:val="013161"/>
                <w:sz w:val="20"/>
                <w:szCs w:val="22"/>
              </w:rPr>
              <w:t>4%</w:t>
            </w:r>
          </w:p>
        </w:tc>
        <w:tc>
          <w:tcPr>
            <w:tcW w:w="1275" w:type="dxa"/>
            <w:shd w:val="clear" w:color="auto" w:fill="auto"/>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1428</w:t>
            </w:r>
          </w:p>
        </w:tc>
        <w:tc>
          <w:tcPr>
            <w:tcW w:w="1275" w:type="dxa"/>
            <w:gridSpan w:val="3"/>
            <w:shd w:val="clear" w:color="auto" w:fill="auto"/>
          </w:tcPr>
          <w:p w:rsidR="00D86A11" w:rsidRPr="00B53CA4"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B53CA4">
              <w:rPr>
                <w:rFonts w:ascii="Calibri" w:eastAsia="Calibri" w:hAnsi="Calibri" w:cs="Arial"/>
                <w:b/>
                <w:bCs/>
                <w:color w:val="013161"/>
                <w:sz w:val="20"/>
                <w:szCs w:val="22"/>
              </w:rPr>
              <w:t>3%</w:t>
            </w:r>
          </w:p>
        </w:tc>
        <w:tc>
          <w:tcPr>
            <w:tcW w:w="1275" w:type="dxa"/>
            <w:gridSpan w:val="2"/>
            <w:shd w:val="clear" w:color="auto" w:fill="auto"/>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1087</w:t>
            </w:r>
          </w:p>
        </w:tc>
      </w:tr>
      <w:tr w:rsidR="006C7055" w:rsidRPr="009A4D3F" w:rsidTr="006C7055">
        <w:trPr>
          <w:trHeight w:val="60"/>
        </w:trPr>
        <w:tc>
          <w:tcPr>
            <w:tcW w:w="3917" w:type="dxa"/>
            <w:shd w:val="clear" w:color="auto" w:fill="DBE5F1"/>
          </w:tcPr>
          <w:p w:rsidR="00D86A11" w:rsidRPr="00CB5B01"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316949">
              <w:rPr>
                <w:rFonts w:ascii="Calibri" w:eastAsia="Calibri" w:hAnsi="Calibri" w:cs="Arial"/>
                <w:b/>
                <w:bCs/>
                <w:color w:val="013161"/>
                <w:sz w:val="20"/>
                <w:szCs w:val="22"/>
              </w:rPr>
              <w:t>Severe neglect</w:t>
            </w:r>
          </w:p>
        </w:tc>
        <w:tc>
          <w:tcPr>
            <w:tcW w:w="1274" w:type="dxa"/>
            <w:shd w:val="clear" w:color="auto" w:fill="DBE5F1"/>
          </w:tcPr>
          <w:p w:rsidR="00D86A11" w:rsidRPr="00B53CA4"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B53CA4">
              <w:rPr>
                <w:rFonts w:ascii="Calibri" w:eastAsia="Calibri" w:hAnsi="Calibri" w:cs="Arial"/>
                <w:b/>
                <w:bCs/>
                <w:color w:val="013161"/>
                <w:sz w:val="20"/>
                <w:szCs w:val="22"/>
              </w:rPr>
              <w:t>3%</w:t>
            </w:r>
          </w:p>
        </w:tc>
        <w:tc>
          <w:tcPr>
            <w:tcW w:w="1275" w:type="dxa"/>
            <w:shd w:val="clear" w:color="auto" w:fill="DBE5F1"/>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1039</w:t>
            </w:r>
          </w:p>
        </w:tc>
        <w:tc>
          <w:tcPr>
            <w:tcW w:w="1275" w:type="dxa"/>
            <w:gridSpan w:val="3"/>
            <w:shd w:val="clear" w:color="auto" w:fill="DBE5F1"/>
          </w:tcPr>
          <w:p w:rsidR="00D86A11" w:rsidRPr="00B53CA4"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B53CA4">
              <w:rPr>
                <w:rFonts w:ascii="Calibri" w:eastAsia="Calibri" w:hAnsi="Calibri" w:cs="Arial"/>
                <w:b/>
                <w:bCs/>
                <w:color w:val="013161"/>
                <w:sz w:val="20"/>
                <w:szCs w:val="22"/>
              </w:rPr>
              <w:t>3%</w:t>
            </w:r>
          </w:p>
        </w:tc>
        <w:tc>
          <w:tcPr>
            <w:tcW w:w="1275" w:type="dxa"/>
            <w:gridSpan w:val="2"/>
            <w:shd w:val="clear" w:color="auto" w:fill="DBE5F1"/>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1114</w:t>
            </w:r>
          </w:p>
        </w:tc>
      </w:tr>
      <w:tr w:rsidR="006C7055" w:rsidRPr="009A4D3F" w:rsidTr="006C7055">
        <w:trPr>
          <w:trHeight w:val="60"/>
        </w:trPr>
        <w:tc>
          <w:tcPr>
            <w:tcW w:w="3917" w:type="dxa"/>
            <w:tcBorders>
              <w:bottom w:val="single" w:sz="18" w:space="0" w:color="F6872B"/>
            </w:tcBorders>
            <w:shd w:val="clear" w:color="auto" w:fill="auto"/>
          </w:tcPr>
          <w:p w:rsidR="00D86A11" w:rsidRPr="00CB5B01" w:rsidRDefault="00D86A11" w:rsidP="00D86A11">
            <w:pPr>
              <w:autoSpaceDE w:val="0"/>
              <w:autoSpaceDN w:val="0"/>
              <w:adjustRightInd w:val="0"/>
              <w:spacing w:after="0" w:line="240" w:lineRule="auto"/>
              <w:rPr>
                <w:rFonts w:ascii="Calibri" w:eastAsia="Calibri" w:hAnsi="Calibri" w:cs="Arial"/>
                <w:b/>
                <w:bCs/>
                <w:color w:val="013161"/>
                <w:sz w:val="20"/>
                <w:szCs w:val="22"/>
              </w:rPr>
            </w:pPr>
            <w:r w:rsidRPr="00316949">
              <w:rPr>
                <w:rFonts w:ascii="Calibri" w:eastAsia="Calibri" w:hAnsi="Calibri" w:cs="Arial"/>
                <w:b/>
                <w:bCs/>
                <w:color w:val="013161"/>
                <w:sz w:val="20"/>
                <w:szCs w:val="22"/>
              </w:rPr>
              <w:t>Exploitation</w:t>
            </w:r>
          </w:p>
        </w:tc>
        <w:tc>
          <w:tcPr>
            <w:tcW w:w="1274" w:type="dxa"/>
            <w:tcBorders>
              <w:bottom w:val="single" w:sz="18" w:space="0" w:color="F6872B"/>
            </w:tcBorders>
            <w:shd w:val="clear" w:color="auto" w:fill="auto"/>
          </w:tcPr>
          <w:p w:rsidR="00D86A11" w:rsidRPr="00B53CA4"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B53CA4">
              <w:rPr>
                <w:rFonts w:ascii="Calibri" w:eastAsia="Calibri" w:hAnsi="Calibri" w:cs="Arial"/>
                <w:b/>
                <w:bCs/>
                <w:color w:val="013161"/>
                <w:sz w:val="20"/>
                <w:szCs w:val="22"/>
              </w:rPr>
              <w:t>.1%</w:t>
            </w:r>
          </w:p>
        </w:tc>
        <w:tc>
          <w:tcPr>
            <w:tcW w:w="1275" w:type="dxa"/>
            <w:tcBorders>
              <w:bottom w:val="single" w:sz="18" w:space="0" w:color="F6872B"/>
            </w:tcBorders>
            <w:shd w:val="clear" w:color="auto" w:fill="auto"/>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51</w:t>
            </w:r>
          </w:p>
        </w:tc>
        <w:tc>
          <w:tcPr>
            <w:tcW w:w="1275" w:type="dxa"/>
            <w:gridSpan w:val="3"/>
            <w:tcBorders>
              <w:bottom w:val="single" w:sz="18" w:space="0" w:color="F6872B"/>
            </w:tcBorders>
            <w:shd w:val="clear" w:color="auto" w:fill="auto"/>
          </w:tcPr>
          <w:p w:rsidR="00D86A11" w:rsidRPr="00B53CA4"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r w:rsidRPr="00B53CA4">
              <w:rPr>
                <w:rFonts w:ascii="Calibri" w:eastAsia="Calibri" w:hAnsi="Calibri" w:cs="Arial"/>
                <w:b/>
                <w:bCs/>
                <w:color w:val="013161"/>
                <w:sz w:val="20"/>
                <w:szCs w:val="22"/>
              </w:rPr>
              <w:t>.2%</w:t>
            </w:r>
          </w:p>
        </w:tc>
        <w:tc>
          <w:tcPr>
            <w:tcW w:w="1275" w:type="dxa"/>
            <w:gridSpan w:val="2"/>
            <w:tcBorders>
              <w:bottom w:val="single" w:sz="18" w:space="0" w:color="F6872B"/>
            </w:tcBorders>
            <w:shd w:val="clear" w:color="auto" w:fill="auto"/>
          </w:tcPr>
          <w:p w:rsidR="00EE4506" w:rsidRDefault="00EE4506" w:rsidP="00D86A11">
            <w:pPr>
              <w:autoSpaceDE w:val="0"/>
              <w:autoSpaceDN w:val="0"/>
              <w:adjustRightInd w:val="0"/>
              <w:spacing w:after="0" w:line="240" w:lineRule="auto"/>
              <w:jc w:val="center"/>
              <w:rPr>
                <w:rFonts w:ascii="Calibri" w:eastAsia="Calibri" w:hAnsi="Calibri" w:cs="Arial"/>
                <w:b/>
                <w:bCs/>
                <w:color w:val="013161"/>
                <w:sz w:val="20"/>
                <w:szCs w:val="22"/>
              </w:rPr>
            </w:pPr>
            <w:r>
              <w:rPr>
                <w:rFonts w:ascii="Calibri" w:eastAsia="Calibri" w:hAnsi="Calibri" w:cs="Arial"/>
                <w:b/>
                <w:bCs/>
                <w:color w:val="013161"/>
                <w:sz w:val="20"/>
                <w:szCs w:val="22"/>
              </w:rPr>
              <w:t>63</w:t>
            </w:r>
          </w:p>
        </w:tc>
      </w:tr>
    </w:tbl>
    <w:p w:rsidR="00D86A11" w:rsidRPr="00371118" w:rsidRDefault="00D86A11" w:rsidP="00D86A11">
      <w:pPr>
        <w:pStyle w:val="Heading2"/>
        <w:rPr>
          <w:rStyle w:val="Heading1Char"/>
          <w:b/>
          <w:color w:val="2E7029"/>
          <w:sz w:val="24"/>
        </w:rPr>
      </w:pPr>
      <w:r w:rsidRPr="00371118">
        <w:rPr>
          <w:rStyle w:val="Heading1Char"/>
          <w:b/>
          <w:color w:val="2E7029"/>
          <w:sz w:val="24"/>
        </w:rPr>
        <w:t xml:space="preserve">First Entries into Care </w:t>
      </w:r>
    </w:p>
    <w:p w:rsidR="00D86A11" w:rsidRPr="00E00377" w:rsidRDefault="00D86A11" w:rsidP="00D86A11">
      <w:pPr>
        <w:pStyle w:val="Heading3"/>
        <w:spacing w:line="276" w:lineRule="auto"/>
        <w:rPr>
          <w:b w:val="0"/>
          <w:color w:val="auto"/>
          <w:sz w:val="22"/>
        </w:rPr>
      </w:pPr>
      <w:r w:rsidRPr="00E00377">
        <w:rPr>
          <w:b w:val="0"/>
          <w:color w:val="auto"/>
          <w:sz w:val="22"/>
        </w:rPr>
        <w:t xml:space="preserve">Despite a 2% increase in </w:t>
      </w:r>
      <w:r>
        <w:rPr>
          <w:b w:val="0"/>
          <w:color w:val="auto"/>
          <w:sz w:val="22"/>
        </w:rPr>
        <w:t xml:space="preserve">the County of </w:t>
      </w:r>
      <w:r w:rsidRPr="00E00377">
        <w:rPr>
          <w:b w:val="0"/>
          <w:color w:val="auto"/>
          <w:sz w:val="22"/>
        </w:rPr>
        <w:t>San Diego’s overall child population, the number of children entering the CWS system for the first time has decreased by 6% over the last six years (from 1,728 in 2010 to 1,635 in 2015). Multiple practice reforms and an increased focus on Continuous Quality Improvement (CQI) are no doubt major factors in this improvement. Safety Organized Practice (SOP), which the County began using in 2011, has provided workers with useful tools that have reduced substantiated allegations and entries into care. The SOP practice help</w:t>
      </w:r>
      <w:r>
        <w:rPr>
          <w:b w:val="0"/>
          <w:color w:val="auto"/>
          <w:sz w:val="22"/>
        </w:rPr>
        <w:t>s</w:t>
      </w:r>
      <w:r w:rsidRPr="00E00377">
        <w:rPr>
          <w:b w:val="0"/>
          <w:color w:val="auto"/>
          <w:sz w:val="22"/>
        </w:rPr>
        <w:t xml:space="preserve"> workers to differentiate between safety </w:t>
      </w:r>
      <w:r>
        <w:rPr>
          <w:b w:val="0"/>
          <w:color w:val="auto"/>
          <w:sz w:val="22"/>
        </w:rPr>
        <w:t>concerns</w:t>
      </w:r>
      <w:r w:rsidRPr="00E00377">
        <w:rPr>
          <w:b w:val="0"/>
          <w:color w:val="auto"/>
          <w:sz w:val="22"/>
        </w:rPr>
        <w:t xml:space="preserve"> and complicating factors and help</w:t>
      </w:r>
      <w:r w:rsidR="00F1013C" w:rsidRPr="00F1013C">
        <w:rPr>
          <w:b w:val="0"/>
          <w:color w:val="auto"/>
          <w:sz w:val="22"/>
        </w:rPr>
        <w:t xml:space="preserve">s them to engage the family in identifying safety networks – social support systems that can help them keep their children safe. </w:t>
      </w:r>
    </w:p>
    <w:p w:rsidR="00D86A11" w:rsidRPr="00E00377" w:rsidRDefault="00F1013C" w:rsidP="00D86A11">
      <w:pPr>
        <w:pStyle w:val="Heading3"/>
        <w:spacing w:line="276" w:lineRule="auto"/>
        <w:rPr>
          <w:b w:val="0"/>
          <w:color w:val="auto"/>
          <w:sz w:val="22"/>
        </w:rPr>
      </w:pPr>
      <w:r w:rsidRPr="00F1013C">
        <w:rPr>
          <w:b w:val="0"/>
          <w:color w:val="auto"/>
          <w:sz w:val="22"/>
        </w:rPr>
        <w:lastRenderedPageBreak/>
        <w:t xml:space="preserve">Children under the age of one have the highest entry rate at 8.8 per 1,000 children. Thirty-seven percent (601/1635) of the children entering care for the first time are under the age of three and 53% (873/1635) are under six. The next largest age group, six to ten year olds, account for 27% (441/1635) of first entries into care. </w:t>
      </w:r>
    </w:p>
    <w:p w:rsidR="00D86A11" w:rsidRPr="001D6A1E" w:rsidRDefault="00D86A11" w:rsidP="00D86A11">
      <w:pPr>
        <w:rPr>
          <w:sz w:val="2"/>
        </w:rPr>
      </w:pPr>
    </w:p>
    <w:tbl>
      <w:tblPr>
        <w:tblW w:w="9454" w:type="dxa"/>
        <w:tblBorders>
          <w:top w:val="single" w:sz="18" w:space="0" w:color="F6872B"/>
          <w:bottom w:val="single" w:sz="18" w:space="0" w:color="F6872B"/>
        </w:tblBorders>
        <w:tblLook w:val="04A0" w:firstRow="1" w:lastRow="0" w:firstColumn="1" w:lastColumn="0" w:noHBand="0" w:noVBand="1"/>
      </w:tblPr>
      <w:tblGrid>
        <w:gridCol w:w="1548"/>
        <w:gridCol w:w="2523"/>
        <w:gridCol w:w="2196"/>
        <w:gridCol w:w="3187"/>
      </w:tblGrid>
      <w:tr w:rsidR="00D86A11" w:rsidRPr="003E2E3F">
        <w:trPr>
          <w:trHeight w:val="286"/>
        </w:trPr>
        <w:tc>
          <w:tcPr>
            <w:tcW w:w="9454" w:type="dxa"/>
            <w:gridSpan w:val="4"/>
            <w:shd w:val="clear" w:color="auto" w:fill="013161"/>
          </w:tcPr>
          <w:p w:rsidR="00D86A11" w:rsidRPr="000055D1" w:rsidRDefault="00D86A11" w:rsidP="00D86A11">
            <w:pPr>
              <w:spacing w:after="0" w:line="240" w:lineRule="auto"/>
              <w:jc w:val="center"/>
              <w:rPr>
                <w:rFonts w:ascii="Calibri" w:eastAsia="Times New Roman" w:hAnsi="Calibri" w:cs="Arial"/>
                <w:b/>
                <w:bCs/>
                <w:color w:val="FFFFFF"/>
              </w:rPr>
            </w:pPr>
            <w:r>
              <w:rPr>
                <w:rFonts w:ascii="Calibri" w:hAnsi="Calibri"/>
                <w:b/>
                <w:color w:val="FFFFFF"/>
                <w:sz w:val="24"/>
              </w:rPr>
              <w:t xml:space="preserve">Exhibit 25. County of San Diego </w:t>
            </w:r>
            <w:r w:rsidRPr="00B53CA4">
              <w:rPr>
                <w:rFonts w:ascii="Calibri" w:hAnsi="Calibri"/>
                <w:b/>
                <w:color w:val="FFFFFF"/>
                <w:sz w:val="24"/>
              </w:rPr>
              <w:t>First Entries into Care by Age, CY 2015</w:t>
            </w:r>
          </w:p>
        </w:tc>
      </w:tr>
      <w:tr w:rsidR="00D86A11" w:rsidRPr="003E2E3F">
        <w:trPr>
          <w:trHeight w:val="286"/>
        </w:trPr>
        <w:tc>
          <w:tcPr>
            <w:tcW w:w="1548" w:type="dxa"/>
            <w:shd w:val="clear" w:color="auto" w:fill="013161"/>
            <w:vAlign w:val="center"/>
          </w:tcPr>
          <w:p w:rsidR="00D86A11" w:rsidRPr="00721EF1" w:rsidRDefault="00D86A11" w:rsidP="00D86A11">
            <w:pPr>
              <w:spacing w:after="0" w:line="240" w:lineRule="auto"/>
              <w:rPr>
                <w:rFonts w:ascii="Calibri" w:eastAsia="Times New Roman" w:hAnsi="Calibri" w:cs="Arial"/>
                <w:b/>
                <w:bCs/>
                <w:color w:val="FFFFFF"/>
              </w:rPr>
            </w:pPr>
            <w:r w:rsidRPr="00721EF1">
              <w:rPr>
                <w:rFonts w:ascii="Calibri" w:eastAsia="Times New Roman" w:hAnsi="Calibri" w:cs="Arial"/>
                <w:b/>
                <w:bCs/>
                <w:color w:val="FFFFFF"/>
              </w:rPr>
              <w:t>Age Group</w:t>
            </w:r>
          </w:p>
        </w:tc>
        <w:tc>
          <w:tcPr>
            <w:tcW w:w="2523" w:type="dxa"/>
            <w:shd w:val="clear" w:color="auto" w:fill="013161"/>
            <w:vAlign w:val="center"/>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Total Child Population</w:t>
            </w:r>
          </w:p>
        </w:tc>
        <w:tc>
          <w:tcPr>
            <w:tcW w:w="2196" w:type="dxa"/>
            <w:shd w:val="clear" w:color="auto" w:fill="013161"/>
            <w:vAlign w:val="center"/>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Children with First Entries</w:t>
            </w:r>
          </w:p>
        </w:tc>
        <w:tc>
          <w:tcPr>
            <w:tcW w:w="3187" w:type="dxa"/>
            <w:shd w:val="clear" w:color="auto" w:fill="013161"/>
            <w:vAlign w:val="center"/>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Incidence per 1,000 Children</w:t>
            </w:r>
          </w:p>
        </w:tc>
      </w:tr>
      <w:tr w:rsidR="00D86A11" w:rsidRPr="003E2E3F">
        <w:trPr>
          <w:trHeight w:val="286"/>
        </w:trPr>
        <w:tc>
          <w:tcPr>
            <w:tcW w:w="1548" w:type="dxa"/>
            <w:shd w:val="clear" w:color="auto" w:fill="auto"/>
          </w:tcPr>
          <w:p w:rsidR="00D86A11" w:rsidRPr="006C2960" w:rsidRDefault="00D86A11" w:rsidP="00D86A11">
            <w:pPr>
              <w:spacing w:after="0" w:line="240" w:lineRule="auto"/>
              <w:rPr>
                <w:rFonts w:ascii="Calibri" w:eastAsia="Times New Roman" w:hAnsi="Calibri" w:cs="Arial"/>
                <w:b/>
                <w:color w:val="013161"/>
                <w:sz w:val="20"/>
              </w:rPr>
            </w:pPr>
            <w:r w:rsidRPr="006C2960">
              <w:rPr>
                <w:rFonts w:ascii="Calibri" w:eastAsia="Times New Roman" w:hAnsi="Calibri" w:cs="Arial"/>
                <w:b/>
                <w:color w:val="013161"/>
                <w:sz w:val="20"/>
              </w:rPr>
              <w:t>Under 1</w:t>
            </w:r>
          </w:p>
        </w:tc>
        <w:tc>
          <w:tcPr>
            <w:tcW w:w="2523" w:type="dxa"/>
            <w:shd w:val="clear" w:color="auto" w:fill="auto"/>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43,363</w:t>
            </w:r>
          </w:p>
        </w:tc>
        <w:tc>
          <w:tcPr>
            <w:tcW w:w="2196" w:type="dxa"/>
            <w:shd w:val="clear" w:color="auto" w:fill="auto"/>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382</w:t>
            </w:r>
          </w:p>
        </w:tc>
        <w:tc>
          <w:tcPr>
            <w:tcW w:w="3187" w:type="dxa"/>
            <w:shd w:val="clear" w:color="auto" w:fill="auto"/>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8.8</w:t>
            </w:r>
          </w:p>
        </w:tc>
      </w:tr>
      <w:tr w:rsidR="00D86A11" w:rsidRPr="003E2E3F">
        <w:trPr>
          <w:trHeight w:val="286"/>
        </w:trPr>
        <w:tc>
          <w:tcPr>
            <w:tcW w:w="1548" w:type="dxa"/>
            <w:shd w:val="clear" w:color="auto" w:fill="DBE5F1"/>
          </w:tcPr>
          <w:p w:rsidR="00D86A11" w:rsidRPr="006C2960" w:rsidRDefault="00D86A11" w:rsidP="00D86A11">
            <w:pPr>
              <w:spacing w:after="0" w:line="240" w:lineRule="auto"/>
              <w:rPr>
                <w:rFonts w:ascii="Calibri" w:eastAsia="Times New Roman" w:hAnsi="Calibri" w:cs="Arial"/>
                <w:b/>
                <w:color w:val="013161"/>
                <w:sz w:val="20"/>
              </w:rPr>
            </w:pPr>
            <w:r w:rsidRPr="006C2960">
              <w:rPr>
                <w:rFonts w:ascii="Calibri" w:eastAsia="Times New Roman" w:hAnsi="Calibri" w:cs="Arial"/>
                <w:b/>
                <w:color w:val="013161"/>
                <w:sz w:val="20"/>
              </w:rPr>
              <w:t>1-2</w:t>
            </w:r>
          </w:p>
        </w:tc>
        <w:tc>
          <w:tcPr>
            <w:tcW w:w="2523" w:type="dxa"/>
            <w:shd w:val="clear" w:color="auto" w:fill="DBE5F1"/>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86,807</w:t>
            </w:r>
          </w:p>
        </w:tc>
        <w:tc>
          <w:tcPr>
            <w:tcW w:w="2196" w:type="dxa"/>
            <w:shd w:val="clear" w:color="auto" w:fill="DBE5F1"/>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219</w:t>
            </w:r>
          </w:p>
        </w:tc>
        <w:tc>
          <w:tcPr>
            <w:tcW w:w="3187" w:type="dxa"/>
            <w:shd w:val="clear" w:color="auto" w:fill="DBE5F1"/>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2.5</w:t>
            </w:r>
          </w:p>
        </w:tc>
      </w:tr>
      <w:tr w:rsidR="00D86A11" w:rsidRPr="003E2E3F">
        <w:trPr>
          <w:trHeight w:val="286"/>
        </w:trPr>
        <w:tc>
          <w:tcPr>
            <w:tcW w:w="1548" w:type="dxa"/>
            <w:shd w:val="clear" w:color="auto" w:fill="auto"/>
          </w:tcPr>
          <w:p w:rsidR="00D86A11" w:rsidRPr="006C2960" w:rsidRDefault="00D86A11" w:rsidP="00D86A11">
            <w:pPr>
              <w:spacing w:after="0" w:line="240" w:lineRule="auto"/>
              <w:rPr>
                <w:rFonts w:ascii="Calibri" w:eastAsia="Times New Roman" w:hAnsi="Calibri" w:cs="Arial"/>
                <w:b/>
                <w:color w:val="013161"/>
                <w:sz w:val="20"/>
              </w:rPr>
            </w:pPr>
            <w:r w:rsidRPr="006C2960">
              <w:rPr>
                <w:rFonts w:ascii="Calibri" w:eastAsia="Times New Roman" w:hAnsi="Calibri" w:cs="Arial"/>
                <w:b/>
                <w:color w:val="013161"/>
                <w:sz w:val="20"/>
              </w:rPr>
              <w:t>3-5</w:t>
            </w:r>
          </w:p>
        </w:tc>
        <w:tc>
          <w:tcPr>
            <w:tcW w:w="2523" w:type="dxa"/>
            <w:shd w:val="clear" w:color="auto" w:fill="auto"/>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129,218</w:t>
            </w:r>
          </w:p>
        </w:tc>
        <w:tc>
          <w:tcPr>
            <w:tcW w:w="2196" w:type="dxa"/>
            <w:shd w:val="clear" w:color="auto" w:fill="auto"/>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272</w:t>
            </w:r>
          </w:p>
        </w:tc>
        <w:tc>
          <w:tcPr>
            <w:tcW w:w="3187" w:type="dxa"/>
            <w:shd w:val="clear" w:color="auto" w:fill="auto"/>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2.1</w:t>
            </w:r>
          </w:p>
        </w:tc>
      </w:tr>
      <w:tr w:rsidR="00D86A11" w:rsidRPr="003E2E3F">
        <w:trPr>
          <w:trHeight w:val="286"/>
        </w:trPr>
        <w:tc>
          <w:tcPr>
            <w:tcW w:w="1548" w:type="dxa"/>
            <w:shd w:val="clear" w:color="auto" w:fill="DBE5F1"/>
          </w:tcPr>
          <w:p w:rsidR="00D86A11" w:rsidRPr="006C2960" w:rsidRDefault="00D86A11" w:rsidP="00D86A11">
            <w:pPr>
              <w:spacing w:after="0" w:line="240" w:lineRule="auto"/>
              <w:rPr>
                <w:rFonts w:ascii="Calibri" w:eastAsia="Times New Roman" w:hAnsi="Calibri" w:cs="Arial"/>
                <w:b/>
                <w:color w:val="013161"/>
                <w:sz w:val="20"/>
              </w:rPr>
            </w:pPr>
            <w:r w:rsidRPr="006C2960">
              <w:rPr>
                <w:rFonts w:ascii="Calibri" w:eastAsia="Times New Roman" w:hAnsi="Calibri" w:cs="Arial"/>
                <w:b/>
                <w:color w:val="013161"/>
                <w:sz w:val="20"/>
              </w:rPr>
              <w:t>6-10</w:t>
            </w:r>
          </w:p>
        </w:tc>
        <w:tc>
          <w:tcPr>
            <w:tcW w:w="2523" w:type="dxa"/>
            <w:shd w:val="clear" w:color="auto" w:fill="DBE5F1"/>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204,231</w:t>
            </w:r>
          </w:p>
        </w:tc>
        <w:tc>
          <w:tcPr>
            <w:tcW w:w="2196" w:type="dxa"/>
            <w:shd w:val="clear" w:color="auto" w:fill="DBE5F1"/>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441</w:t>
            </w:r>
          </w:p>
        </w:tc>
        <w:tc>
          <w:tcPr>
            <w:tcW w:w="3187" w:type="dxa"/>
            <w:shd w:val="clear" w:color="auto" w:fill="DBE5F1"/>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2.2</w:t>
            </w:r>
          </w:p>
        </w:tc>
      </w:tr>
      <w:tr w:rsidR="00D86A11" w:rsidRPr="003E2E3F">
        <w:trPr>
          <w:trHeight w:val="286"/>
        </w:trPr>
        <w:tc>
          <w:tcPr>
            <w:tcW w:w="1548" w:type="dxa"/>
            <w:shd w:val="clear" w:color="auto" w:fill="auto"/>
          </w:tcPr>
          <w:p w:rsidR="00D86A11" w:rsidRPr="006C2960" w:rsidRDefault="00D86A11" w:rsidP="00D86A11">
            <w:pPr>
              <w:spacing w:after="0" w:line="240" w:lineRule="auto"/>
              <w:rPr>
                <w:rFonts w:ascii="Calibri" w:eastAsia="Times New Roman" w:hAnsi="Calibri" w:cs="Arial"/>
                <w:b/>
                <w:color w:val="013161"/>
                <w:sz w:val="20"/>
              </w:rPr>
            </w:pPr>
            <w:r w:rsidRPr="006C2960">
              <w:rPr>
                <w:rFonts w:ascii="Calibri" w:eastAsia="Times New Roman" w:hAnsi="Calibri" w:cs="Arial"/>
                <w:b/>
                <w:color w:val="013161"/>
                <w:sz w:val="20"/>
              </w:rPr>
              <w:t>11-15</w:t>
            </w:r>
          </w:p>
        </w:tc>
        <w:tc>
          <w:tcPr>
            <w:tcW w:w="2523" w:type="dxa"/>
            <w:shd w:val="clear" w:color="auto" w:fill="auto"/>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195,748</w:t>
            </w:r>
          </w:p>
        </w:tc>
        <w:tc>
          <w:tcPr>
            <w:tcW w:w="2196" w:type="dxa"/>
            <w:shd w:val="clear" w:color="auto" w:fill="auto"/>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272</w:t>
            </w:r>
          </w:p>
        </w:tc>
        <w:tc>
          <w:tcPr>
            <w:tcW w:w="3187" w:type="dxa"/>
            <w:shd w:val="clear" w:color="auto" w:fill="auto"/>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1.4</w:t>
            </w:r>
          </w:p>
        </w:tc>
      </w:tr>
      <w:tr w:rsidR="00D86A11" w:rsidRPr="003E2E3F">
        <w:trPr>
          <w:trHeight w:val="286"/>
        </w:trPr>
        <w:tc>
          <w:tcPr>
            <w:tcW w:w="1548" w:type="dxa"/>
            <w:shd w:val="clear" w:color="auto" w:fill="DBE5F1"/>
          </w:tcPr>
          <w:p w:rsidR="00D86A11" w:rsidRPr="006C2960" w:rsidRDefault="00D86A11" w:rsidP="00D86A11">
            <w:pPr>
              <w:spacing w:after="0" w:line="240" w:lineRule="auto"/>
              <w:rPr>
                <w:rFonts w:ascii="Calibri" w:eastAsia="Times New Roman" w:hAnsi="Calibri" w:cs="Arial"/>
                <w:b/>
                <w:color w:val="013161"/>
                <w:sz w:val="20"/>
              </w:rPr>
            </w:pPr>
            <w:r w:rsidRPr="006C2960">
              <w:rPr>
                <w:rFonts w:ascii="Calibri" w:eastAsia="Times New Roman" w:hAnsi="Calibri" w:cs="Arial"/>
                <w:b/>
                <w:color w:val="013161"/>
                <w:sz w:val="20"/>
              </w:rPr>
              <w:t>16-17</w:t>
            </w:r>
          </w:p>
        </w:tc>
        <w:tc>
          <w:tcPr>
            <w:tcW w:w="2523" w:type="dxa"/>
            <w:shd w:val="clear" w:color="auto" w:fill="DBE5F1"/>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79,000</w:t>
            </w:r>
          </w:p>
        </w:tc>
        <w:tc>
          <w:tcPr>
            <w:tcW w:w="2196" w:type="dxa"/>
            <w:shd w:val="clear" w:color="auto" w:fill="DBE5F1"/>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49</w:t>
            </w:r>
          </w:p>
        </w:tc>
        <w:tc>
          <w:tcPr>
            <w:tcW w:w="3187" w:type="dxa"/>
            <w:shd w:val="clear" w:color="auto" w:fill="DBE5F1"/>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0.6</w:t>
            </w:r>
          </w:p>
        </w:tc>
      </w:tr>
      <w:tr w:rsidR="00D86A11" w:rsidRPr="003E2E3F">
        <w:trPr>
          <w:trHeight w:val="286"/>
        </w:trPr>
        <w:tc>
          <w:tcPr>
            <w:tcW w:w="1548" w:type="dxa"/>
            <w:shd w:val="clear" w:color="auto" w:fill="auto"/>
          </w:tcPr>
          <w:p w:rsidR="00D86A11" w:rsidRPr="006C2960" w:rsidRDefault="00D86A11" w:rsidP="00D86A11">
            <w:pPr>
              <w:spacing w:after="0" w:line="240" w:lineRule="auto"/>
              <w:rPr>
                <w:rFonts w:ascii="Calibri" w:eastAsia="Times New Roman" w:hAnsi="Calibri" w:cs="Arial"/>
                <w:b/>
                <w:color w:val="013161"/>
                <w:sz w:val="20"/>
              </w:rPr>
            </w:pPr>
            <w:r w:rsidRPr="006C2960">
              <w:rPr>
                <w:rFonts w:ascii="Calibri" w:eastAsia="Times New Roman" w:hAnsi="Calibri" w:cs="Arial"/>
                <w:b/>
                <w:color w:val="013161"/>
                <w:sz w:val="20"/>
              </w:rPr>
              <w:t>Total</w:t>
            </w:r>
          </w:p>
        </w:tc>
        <w:tc>
          <w:tcPr>
            <w:tcW w:w="2523" w:type="dxa"/>
            <w:shd w:val="clear" w:color="auto" w:fill="auto"/>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738,367</w:t>
            </w:r>
          </w:p>
        </w:tc>
        <w:tc>
          <w:tcPr>
            <w:tcW w:w="2196" w:type="dxa"/>
            <w:shd w:val="clear" w:color="auto" w:fill="auto"/>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1,635</w:t>
            </w:r>
          </w:p>
        </w:tc>
        <w:tc>
          <w:tcPr>
            <w:tcW w:w="3187" w:type="dxa"/>
            <w:shd w:val="clear" w:color="auto" w:fill="auto"/>
          </w:tcPr>
          <w:p w:rsidR="00D86A11" w:rsidRPr="006C2960" w:rsidRDefault="00D86A11" w:rsidP="00D86A11">
            <w:pPr>
              <w:spacing w:after="0" w:line="240" w:lineRule="auto"/>
              <w:jc w:val="center"/>
              <w:rPr>
                <w:rFonts w:ascii="Calibri" w:eastAsia="Times New Roman" w:hAnsi="Calibri" w:cs="Arial"/>
                <w:b/>
                <w:color w:val="013161"/>
                <w:sz w:val="20"/>
              </w:rPr>
            </w:pPr>
            <w:r w:rsidRPr="006C2960">
              <w:rPr>
                <w:rFonts w:ascii="Calibri" w:eastAsia="Times New Roman" w:hAnsi="Calibri" w:cs="Arial"/>
                <w:b/>
                <w:color w:val="013161"/>
                <w:sz w:val="20"/>
              </w:rPr>
              <w:t>2.2</w:t>
            </w:r>
          </w:p>
        </w:tc>
      </w:tr>
    </w:tbl>
    <w:p w:rsidR="00D86A11" w:rsidRDefault="00D86A11" w:rsidP="00D86A11">
      <w:pPr>
        <w:pStyle w:val="Heading3"/>
        <w:spacing w:line="276" w:lineRule="auto"/>
        <w:rPr>
          <w:b w:val="0"/>
          <w:color w:val="auto"/>
          <w:sz w:val="22"/>
        </w:rPr>
      </w:pPr>
      <w:r w:rsidRPr="00116182">
        <w:rPr>
          <w:b w:val="0"/>
          <w:color w:val="auto"/>
          <w:sz w:val="22"/>
        </w:rPr>
        <w:t xml:space="preserve">Exhibit 26 </w:t>
      </w:r>
      <w:r>
        <w:rPr>
          <w:b w:val="0"/>
          <w:color w:val="auto"/>
          <w:sz w:val="22"/>
        </w:rPr>
        <w:t xml:space="preserve">(next page) </w:t>
      </w:r>
      <w:r w:rsidRPr="00116182">
        <w:rPr>
          <w:b w:val="0"/>
          <w:color w:val="auto"/>
          <w:sz w:val="22"/>
        </w:rPr>
        <w:t>shows that in 2015, Black and Native American children were disproportionally represented among the children first entering out-of-home care. Black children only account for 4.4% of the child population but are 13.8% (225/1635) of the children entering care (rate of 6.8 per 1000). Native American children only account for .4% of the child population, but represent 1.2% (20/1635) of the children entering care (rate of 6.5 per 1000). While rates for Latino children were lower, they accounted for a majority (57.5%) of the children that entered out-of-home care for the first time.</w:t>
      </w:r>
    </w:p>
    <w:p w:rsidR="00D86A11" w:rsidRPr="00116182" w:rsidRDefault="00D86A11" w:rsidP="00D86A11">
      <w:pPr>
        <w:rPr>
          <w:sz w:val="4"/>
        </w:rPr>
      </w:pPr>
    </w:p>
    <w:tbl>
      <w:tblPr>
        <w:tblW w:w="9108" w:type="dxa"/>
        <w:tblBorders>
          <w:top w:val="single" w:sz="18" w:space="0" w:color="F6872B"/>
          <w:bottom w:val="single" w:sz="18" w:space="0" w:color="F6872B"/>
        </w:tblBorders>
        <w:tblLook w:val="04A0" w:firstRow="1" w:lastRow="0" w:firstColumn="1" w:lastColumn="0" w:noHBand="0" w:noVBand="1"/>
      </w:tblPr>
      <w:tblGrid>
        <w:gridCol w:w="1728"/>
        <w:gridCol w:w="2250"/>
        <w:gridCol w:w="2520"/>
        <w:gridCol w:w="2610"/>
      </w:tblGrid>
      <w:tr w:rsidR="00D86A11" w:rsidRPr="003E2E3F">
        <w:trPr>
          <w:trHeight w:val="309"/>
        </w:trPr>
        <w:tc>
          <w:tcPr>
            <w:tcW w:w="9108" w:type="dxa"/>
            <w:gridSpan w:val="4"/>
            <w:shd w:val="clear" w:color="auto" w:fill="013161"/>
          </w:tcPr>
          <w:p w:rsidR="00D86A11" w:rsidRPr="000055D1" w:rsidRDefault="00D86A11" w:rsidP="00D86A11">
            <w:pPr>
              <w:spacing w:after="0" w:line="240" w:lineRule="auto"/>
              <w:jc w:val="center"/>
              <w:rPr>
                <w:rFonts w:ascii="Calibri" w:eastAsia="Times New Roman" w:hAnsi="Calibri" w:cs="Arial"/>
                <w:b/>
                <w:bCs/>
                <w:color w:val="FFFFFF"/>
              </w:rPr>
            </w:pPr>
            <w:r>
              <w:rPr>
                <w:rFonts w:ascii="Calibri" w:hAnsi="Calibri"/>
                <w:b/>
                <w:color w:val="FFFFFF"/>
                <w:sz w:val="24"/>
              </w:rPr>
              <w:t xml:space="preserve">Exhibit 26. County of San Diego </w:t>
            </w:r>
            <w:r w:rsidRPr="00B53CA4">
              <w:rPr>
                <w:rFonts w:ascii="Calibri" w:hAnsi="Calibri"/>
                <w:b/>
                <w:color w:val="FFFFFF"/>
                <w:sz w:val="24"/>
              </w:rPr>
              <w:t>First Entries into Care by Ethnic Group, CY 2015</w:t>
            </w:r>
          </w:p>
        </w:tc>
      </w:tr>
      <w:tr w:rsidR="00D86A11" w:rsidRPr="003E2E3F">
        <w:trPr>
          <w:trHeight w:val="309"/>
        </w:trPr>
        <w:tc>
          <w:tcPr>
            <w:tcW w:w="1728" w:type="dxa"/>
            <w:shd w:val="clear" w:color="auto" w:fill="013161"/>
            <w:vAlign w:val="center"/>
          </w:tcPr>
          <w:p w:rsidR="00D86A11" w:rsidRPr="00721EF1" w:rsidRDefault="00D86A11" w:rsidP="00D86A11">
            <w:pPr>
              <w:spacing w:after="0" w:line="240" w:lineRule="auto"/>
              <w:rPr>
                <w:rFonts w:ascii="Calibri" w:eastAsia="Times New Roman" w:hAnsi="Calibri" w:cs="Arial"/>
                <w:b/>
                <w:bCs/>
                <w:color w:val="FFFFFF"/>
              </w:rPr>
            </w:pPr>
            <w:r w:rsidRPr="00721EF1">
              <w:rPr>
                <w:rFonts w:ascii="Calibri" w:eastAsia="Times New Roman" w:hAnsi="Calibri" w:cs="Arial"/>
                <w:b/>
                <w:bCs/>
                <w:color w:val="FFFFFF"/>
              </w:rPr>
              <w:t>Ethnic Group</w:t>
            </w:r>
          </w:p>
        </w:tc>
        <w:tc>
          <w:tcPr>
            <w:tcW w:w="2250" w:type="dxa"/>
            <w:shd w:val="clear" w:color="auto" w:fill="013161"/>
            <w:vAlign w:val="center"/>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Total Child Population</w:t>
            </w:r>
          </w:p>
        </w:tc>
        <w:tc>
          <w:tcPr>
            <w:tcW w:w="2520" w:type="dxa"/>
            <w:shd w:val="clear" w:color="auto" w:fill="013161"/>
            <w:vAlign w:val="center"/>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Children with First Entries</w:t>
            </w:r>
          </w:p>
        </w:tc>
        <w:tc>
          <w:tcPr>
            <w:tcW w:w="2610" w:type="dxa"/>
            <w:shd w:val="clear" w:color="auto" w:fill="013161"/>
            <w:vAlign w:val="center"/>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Incidence per 1,000 Children</w:t>
            </w:r>
          </w:p>
        </w:tc>
      </w:tr>
      <w:tr w:rsidR="00D86A11" w:rsidRPr="003E2E3F">
        <w:trPr>
          <w:trHeight w:val="309"/>
        </w:trPr>
        <w:tc>
          <w:tcPr>
            <w:tcW w:w="1728" w:type="dxa"/>
            <w:shd w:val="clear" w:color="auto" w:fill="auto"/>
          </w:tcPr>
          <w:p w:rsidR="00D86A11" w:rsidRPr="0078704F" w:rsidRDefault="00D86A11" w:rsidP="00D86A11">
            <w:pPr>
              <w:spacing w:after="0" w:line="240" w:lineRule="auto"/>
              <w:rPr>
                <w:rFonts w:ascii="Calibri" w:eastAsia="Times New Roman" w:hAnsi="Calibri" w:cs="Arial"/>
                <w:b/>
                <w:color w:val="013161"/>
                <w:sz w:val="20"/>
              </w:rPr>
            </w:pPr>
            <w:r w:rsidRPr="0078704F">
              <w:rPr>
                <w:rFonts w:ascii="Calibri" w:eastAsia="Times New Roman" w:hAnsi="Calibri" w:cs="Arial"/>
                <w:b/>
                <w:color w:val="013161"/>
                <w:sz w:val="20"/>
              </w:rPr>
              <w:t>Black</w:t>
            </w:r>
          </w:p>
        </w:tc>
        <w:tc>
          <w:tcPr>
            <w:tcW w:w="2250" w:type="dxa"/>
            <w:shd w:val="clear" w:color="auto" w:fill="auto"/>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32,934</w:t>
            </w:r>
          </w:p>
        </w:tc>
        <w:tc>
          <w:tcPr>
            <w:tcW w:w="2520" w:type="dxa"/>
            <w:shd w:val="clear" w:color="auto" w:fill="auto"/>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225</w:t>
            </w:r>
          </w:p>
        </w:tc>
        <w:tc>
          <w:tcPr>
            <w:tcW w:w="2610" w:type="dxa"/>
            <w:shd w:val="clear" w:color="auto" w:fill="auto"/>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6.8</w:t>
            </w:r>
          </w:p>
        </w:tc>
      </w:tr>
      <w:tr w:rsidR="00D86A11" w:rsidRPr="003E2E3F">
        <w:trPr>
          <w:trHeight w:val="309"/>
        </w:trPr>
        <w:tc>
          <w:tcPr>
            <w:tcW w:w="1728" w:type="dxa"/>
            <w:shd w:val="clear" w:color="auto" w:fill="DBE5F1"/>
          </w:tcPr>
          <w:p w:rsidR="00D86A11" w:rsidRPr="0078704F" w:rsidRDefault="00D86A11" w:rsidP="00D86A11">
            <w:pPr>
              <w:spacing w:after="0" w:line="240" w:lineRule="auto"/>
              <w:rPr>
                <w:rFonts w:ascii="Calibri" w:eastAsia="Times New Roman" w:hAnsi="Calibri" w:cs="Arial"/>
                <w:b/>
                <w:color w:val="013161"/>
                <w:sz w:val="20"/>
              </w:rPr>
            </w:pPr>
            <w:r w:rsidRPr="0078704F">
              <w:rPr>
                <w:rFonts w:ascii="Calibri" w:eastAsia="Times New Roman" w:hAnsi="Calibri" w:cs="Arial"/>
                <w:b/>
                <w:color w:val="013161"/>
                <w:sz w:val="20"/>
              </w:rPr>
              <w:t>White</w:t>
            </w:r>
          </w:p>
        </w:tc>
        <w:tc>
          <w:tcPr>
            <w:tcW w:w="2250" w:type="dxa"/>
            <w:shd w:val="clear" w:color="auto" w:fill="DBE5F1"/>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261,873</w:t>
            </w:r>
          </w:p>
        </w:tc>
        <w:tc>
          <w:tcPr>
            <w:tcW w:w="2520" w:type="dxa"/>
            <w:shd w:val="clear" w:color="auto" w:fill="DBE5F1"/>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355</w:t>
            </w:r>
          </w:p>
        </w:tc>
        <w:tc>
          <w:tcPr>
            <w:tcW w:w="2610" w:type="dxa"/>
            <w:shd w:val="clear" w:color="auto" w:fill="DBE5F1"/>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1.4</w:t>
            </w:r>
          </w:p>
        </w:tc>
      </w:tr>
      <w:tr w:rsidR="00D86A11" w:rsidRPr="003E2E3F">
        <w:trPr>
          <w:trHeight w:val="309"/>
        </w:trPr>
        <w:tc>
          <w:tcPr>
            <w:tcW w:w="1728" w:type="dxa"/>
            <w:shd w:val="clear" w:color="auto" w:fill="auto"/>
          </w:tcPr>
          <w:p w:rsidR="00D86A11" w:rsidRPr="0078704F" w:rsidRDefault="00D86A11" w:rsidP="00D86A11">
            <w:pPr>
              <w:spacing w:after="0" w:line="240" w:lineRule="auto"/>
              <w:rPr>
                <w:rFonts w:ascii="Calibri" w:eastAsia="Times New Roman" w:hAnsi="Calibri" w:cs="Arial"/>
                <w:b/>
                <w:color w:val="013161"/>
                <w:sz w:val="20"/>
              </w:rPr>
            </w:pPr>
            <w:r w:rsidRPr="0078704F">
              <w:rPr>
                <w:rFonts w:ascii="Calibri" w:eastAsia="Times New Roman" w:hAnsi="Calibri" w:cs="Arial"/>
                <w:b/>
                <w:color w:val="013161"/>
                <w:sz w:val="20"/>
              </w:rPr>
              <w:t>Latino</w:t>
            </w:r>
          </w:p>
        </w:tc>
        <w:tc>
          <w:tcPr>
            <w:tcW w:w="2250" w:type="dxa"/>
            <w:shd w:val="clear" w:color="auto" w:fill="auto"/>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330,214</w:t>
            </w:r>
          </w:p>
        </w:tc>
        <w:tc>
          <w:tcPr>
            <w:tcW w:w="2520" w:type="dxa"/>
            <w:shd w:val="clear" w:color="auto" w:fill="auto"/>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940</w:t>
            </w:r>
          </w:p>
        </w:tc>
        <w:tc>
          <w:tcPr>
            <w:tcW w:w="2610" w:type="dxa"/>
            <w:shd w:val="clear" w:color="auto" w:fill="auto"/>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2.8</w:t>
            </w:r>
          </w:p>
        </w:tc>
      </w:tr>
      <w:tr w:rsidR="00D86A11" w:rsidRPr="003E2E3F">
        <w:trPr>
          <w:trHeight w:val="309"/>
        </w:trPr>
        <w:tc>
          <w:tcPr>
            <w:tcW w:w="1728" w:type="dxa"/>
            <w:shd w:val="clear" w:color="auto" w:fill="DBE5F1"/>
          </w:tcPr>
          <w:p w:rsidR="00D86A11" w:rsidRPr="0078704F" w:rsidRDefault="00D86A11" w:rsidP="00D86A11">
            <w:pPr>
              <w:spacing w:after="0" w:line="240" w:lineRule="auto"/>
              <w:rPr>
                <w:rFonts w:ascii="Calibri" w:eastAsia="Times New Roman" w:hAnsi="Calibri" w:cs="Arial"/>
                <w:b/>
                <w:color w:val="013161"/>
                <w:sz w:val="20"/>
              </w:rPr>
            </w:pPr>
            <w:r w:rsidRPr="0078704F">
              <w:rPr>
                <w:rFonts w:ascii="Calibri" w:eastAsia="Times New Roman" w:hAnsi="Calibri" w:cs="Arial"/>
                <w:b/>
                <w:color w:val="013161"/>
                <w:sz w:val="20"/>
              </w:rPr>
              <w:t>Asian/P.I.</w:t>
            </w:r>
          </w:p>
        </w:tc>
        <w:tc>
          <w:tcPr>
            <w:tcW w:w="2250" w:type="dxa"/>
            <w:shd w:val="clear" w:color="auto" w:fill="DBE5F1"/>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68,119</w:t>
            </w:r>
          </w:p>
        </w:tc>
        <w:tc>
          <w:tcPr>
            <w:tcW w:w="2520" w:type="dxa"/>
            <w:shd w:val="clear" w:color="auto" w:fill="DBE5F1"/>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50</w:t>
            </w:r>
          </w:p>
        </w:tc>
        <w:tc>
          <w:tcPr>
            <w:tcW w:w="2610" w:type="dxa"/>
            <w:shd w:val="clear" w:color="auto" w:fill="DBE5F1"/>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0.7</w:t>
            </w:r>
          </w:p>
        </w:tc>
      </w:tr>
      <w:tr w:rsidR="00D86A11" w:rsidRPr="003E2E3F">
        <w:trPr>
          <w:trHeight w:val="309"/>
        </w:trPr>
        <w:tc>
          <w:tcPr>
            <w:tcW w:w="1728" w:type="dxa"/>
            <w:shd w:val="clear" w:color="auto" w:fill="auto"/>
          </w:tcPr>
          <w:p w:rsidR="00D86A11" w:rsidRPr="0078704F" w:rsidRDefault="00D86A11" w:rsidP="00D86A11">
            <w:pPr>
              <w:spacing w:after="0" w:line="240" w:lineRule="auto"/>
              <w:rPr>
                <w:rFonts w:ascii="Calibri" w:eastAsia="Times New Roman" w:hAnsi="Calibri" w:cs="Arial"/>
                <w:b/>
                <w:color w:val="013161"/>
                <w:sz w:val="20"/>
              </w:rPr>
            </w:pPr>
            <w:r w:rsidRPr="0078704F">
              <w:rPr>
                <w:rFonts w:ascii="Calibri" w:eastAsia="Times New Roman" w:hAnsi="Calibri" w:cs="Arial"/>
                <w:b/>
                <w:color w:val="013161"/>
                <w:sz w:val="20"/>
              </w:rPr>
              <w:t>Nat Amer</w:t>
            </w:r>
          </w:p>
        </w:tc>
        <w:tc>
          <w:tcPr>
            <w:tcW w:w="2250" w:type="dxa"/>
            <w:shd w:val="clear" w:color="auto" w:fill="auto"/>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3,089</w:t>
            </w:r>
          </w:p>
        </w:tc>
        <w:tc>
          <w:tcPr>
            <w:tcW w:w="2520" w:type="dxa"/>
            <w:shd w:val="clear" w:color="auto" w:fill="auto"/>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20</w:t>
            </w:r>
          </w:p>
        </w:tc>
        <w:tc>
          <w:tcPr>
            <w:tcW w:w="2610" w:type="dxa"/>
            <w:shd w:val="clear" w:color="auto" w:fill="auto"/>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6.5</w:t>
            </w:r>
          </w:p>
        </w:tc>
      </w:tr>
      <w:tr w:rsidR="00D86A11" w:rsidRPr="003E2E3F">
        <w:trPr>
          <w:trHeight w:val="309"/>
        </w:trPr>
        <w:tc>
          <w:tcPr>
            <w:tcW w:w="1728" w:type="dxa"/>
            <w:shd w:val="clear" w:color="auto" w:fill="DBE5F1"/>
          </w:tcPr>
          <w:p w:rsidR="00D86A11" w:rsidRPr="0078704F" w:rsidRDefault="00D86A11" w:rsidP="00D86A11">
            <w:pPr>
              <w:spacing w:after="0" w:line="240" w:lineRule="auto"/>
              <w:rPr>
                <w:rFonts w:ascii="Calibri" w:eastAsia="Times New Roman" w:hAnsi="Calibri" w:cs="Arial"/>
                <w:b/>
                <w:color w:val="013161"/>
                <w:sz w:val="20"/>
              </w:rPr>
            </w:pPr>
            <w:r w:rsidRPr="0078704F">
              <w:rPr>
                <w:rFonts w:ascii="Calibri" w:eastAsia="Times New Roman" w:hAnsi="Calibri" w:cs="Arial"/>
                <w:b/>
                <w:color w:val="013161"/>
                <w:sz w:val="20"/>
              </w:rPr>
              <w:t>Multi-Race</w:t>
            </w:r>
          </w:p>
        </w:tc>
        <w:tc>
          <w:tcPr>
            <w:tcW w:w="2250" w:type="dxa"/>
            <w:shd w:val="clear" w:color="auto" w:fill="DBE5F1"/>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42,138</w:t>
            </w:r>
          </w:p>
        </w:tc>
        <w:tc>
          <w:tcPr>
            <w:tcW w:w="2520" w:type="dxa"/>
            <w:shd w:val="clear" w:color="auto" w:fill="DBE5F1"/>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0</w:t>
            </w:r>
          </w:p>
        </w:tc>
        <w:tc>
          <w:tcPr>
            <w:tcW w:w="2610" w:type="dxa"/>
            <w:shd w:val="clear" w:color="auto" w:fill="DBE5F1"/>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0</w:t>
            </w:r>
          </w:p>
        </w:tc>
      </w:tr>
      <w:tr w:rsidR="00D86A11" w:rsidRPr="003E2E3F">
        <w:trPr>
          <w:trHeight w:val="309"/>
        </w:trPr>
        <w:tc>
          <w:tcPr>
            <w:tcW w:w="1728" w:type="dxa"/>
            <w:shd w:val="clear" w:color="auto" w:fill="auto"/>
          </w:tcPr>
          <w:p w:rsidR="00D86A11" w:rsidRPr="0078704F" w:rsidRDefault="00D86A11" w:rsidP="00D86A11">
            <w:pPr>
              <w:spacing w:after="0" w:line="240" w:lineRule="auto"/>
              <w:rPr>
                <w:rFonts w:ascii="Calibri" w:eastAsia="Times New Roman" w:hAnsi="Calibri" w:cs="Arial"/>
                <w:b/>
                <w:color w:val="013161"/>
                <w:sz w:val="20"/>
              </w:rPr>
            </w:pPr>
            <w:r w:rsidRPr="0078704F">
              <w:rPr>
                <w:rFonts w:ascii="Calibri" w:eastAsia="Times New Roman" w:hAnsi="Calibri" w:cs="Arial"/>
                <w:b/>
                <w:color w:val="013161"/>
                <w:sz w:val="20"/>
              </w:rPr>
              <w:t>Missing</w:t>
            </w:r>
          </w:p>
        </w:tc>
        <w:tc>
          <w:tcPr>
            <w:tcW w:w="2250" w:type="dxa"/>
            <w:shd w:val="clear" w:color="auto" w:fill="auto"/>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0</w:t>
            </w:r>
          </w:p>
        </w:tc>
        <w:tc>
          <w:tcPr>
            <w:tcW w:w="2520" w:type="dxa"/>
            <w:shd w:val="clear" w:color="auto" w:fill="auto"/>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45</w:t>
            </w:r>
          </w:p>
        </w:tc>
        <w:tc>
          <w:tcPr>
            <w:tcW w:w="2610" w:type="dxa"/>
            <w:shd w:val="clear" w:color="auto" w:fill="auto"/>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w:t>
            </w:r>
          </w:p>
        </w:tc>
      </w:tr>
      <w:tr w:rsidR="00D86A11" w:rsidRPr="003E2E3F">
        <w:trPr>
          <w:trHeight w:val="309"/>
        </w:trPr>
        <w:tc>
          <w:tcPr>
            <w:tcW w:w="1728" w:type="dxa"/>
            <w:shd w:val="clear" w:color="auto" w:fill="DBE5F1"/>
          </w:tcPr>
          <w:p w:rsidR="00D86A11" w:rsidRPr="0078704F" w:rsidRDefault="00D86A11" w:rsidP="00D86A11">
            <w:pPr>
              <w:spacing w:after="0" w:line="240" w:lineRule="auto"/>
              <w:rPr>
                <w:rFonts w:ascii="Calibri" w:eastAsia="Times New Roman" w:hAnsi="Calibri" w:cs="Arial"/>
                <w:b/>
                <w:color w:val="013161"/>
                <w:sz w:val="20"/>
              </w:rPr>
            </w:pPr>
            <w:r w:rsidRPr="0078704F">
              <w:rPr>
                <w:rFonts w:ascii="Calibri" w:eastAsia="Times New Roman" w:hAnsi="Calibri" w:cs="Arial"/>
                <w:b/>
                <w:color w:val="013161"/>
                <w:sz w:val="20"/>
              </w:rPr>
              <w:t>Total</w:t>
            </w:r>
          </w:p>
        </w:tc>
        <w:tc>
          <w:tcPr>
            <w:tcW w:w="2250" w:type="dxa"/>
            <w:shd w:val="clear" w:color="auto" w:fill="DBE5F1"/>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738,367</w:t>
            </w:r>
          </w:p>
        </w:tc>
        <w:tc>
          <w:tcPr>
            <w:tcW w:w="2520" w:type="dxa"/>
            <w:shd w:val="clear" w:color="auto" w:fill="DBE5F1"/>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1,635</w:t>
            </w:r>
          </w:p>
        </w:tc>
        <w:tc>
          <w:tcPr>
            <w:tcW w:w="2610" w:type="dxa"/>
            <w:shd w:val="clear" w:color="auto" w:fill="DBE5F1"/>
          </w:tcPr>
          <w:p w:rsidR="00D86A11" w:rsidRPr="0078704F" w:rsidRDefault="00D86A11" w:rsidP="00D86A11">
            <w:pPr>
              <w:spacing w:after="0" w:line="240" w:lineRule="auto"/>
              <w:jc w:val="center"/>
              <w:rPr>
                <w:rFonts w:ascii="Calibri" w:eastAsia="Times New Roman" w:hAnsi="Calibri" w:cs="Arial"/>
                <w:b/>
                <w:color w:val="013161"/>
                <w:sz w:val="20"/>
              </w:rPr>
            </w:pPr>
            <w:r w:rsidRPr="0078704F">
              <w:rPr>
                <w:rFonts w:ascii="Calibri" w:eastAsia="Times New Roman" w:hAnsi="Calibri" w:cs="Arial"/>
                <w:b/>
                <w:color w:val="013161"/>
                <w:sz w:val="20"/>
              </w:rPr>
              <w:t>2.2</w:t>
            </w:r>
          </w:p>
        </w:tc>
      </w:tr>
    </w:tbl>
    <w:p w:rsidR="00D86A11" w:rsidRPr="006337A3" w:rsidRDefault="00D86A11" w:rsidP="00D86A11">
      <w:pPr>
        <w:pStyle w:val="Heading2"/>
        <w:rPr>
          <w:rStyle w:val="Heading1Char"/>
          <w:b/>
          <w:color w:val="2E7029"/>
          <w:sz w:val="24"/>
        </w:rPr>
      </w:pPr>
      <w:r w:rsidRPr="00E5023C">
        <w:rPr>
          <w:rStyle w:val="Heading1Char"/>
          <w:b/>
          <w:color w:val="2E7029"/>
          <w:sz w:val="24"/>
        </w:rPr>
        <w:t>Subsequent Entries into Care</w:t>
      </w:r>
    </w:p>
    <w:p w:rsidR="00D86A11" w:rsidRPr="00DD650D" w:rsidRDefault="00D86A11" w:rsidP="00D86A11">
      <w:pPr>
        <w:pStyle w:val="Heading3"/>
        <w:spacing w:line="276" w:lineRule="auto"/>
        <w:rPr>
          <w:b w:val="0"/>
          <w:color w:val="auto"/>
          <w:sz w:val="22"/>
        </w:rPr>
      </w:pPr>
      <w:r w:rsidRPr="00DD650D">
        <w:rPr>
          <w:b w:val="0"/>
          <w:color w:val="auto"/>
          <w:sz w:val="22"/>
        </w:rPr>
        <w:t xml:space="preserve">Over the past six years, CWS has achieved a 29% decrease (from 330 to 234) in the annual number of children re-entering out-of-home care. The rate also decreased from .5 per 1,000 children to .3 per 1,000 children. This measure counts all children who re-entered out-of-home care during the year after leaving the CWS system, while the federal Re-entry measure (3-P4), described in the Outcome Data Measures section of this report, is limited to the children who were </w:t>
      </w:r>
      <w:r w:rsidRPr="00DD650D">
        <w:rPr>
          <w:b w:val="0"/>
          <w:color w:val="auto"/>
          <w:sz w:val="22"/>
        </w:rPr>
        <w:lastRenderedPageBreak/>
        <w:t xml:space="preserve">discharged to guardianship or reunification within 12 months of entry and then re-entered the system within 12 months. </w:t>
      </w:r>
    </w:p>
    <w:p w:rsidR="00D86A11" w:rsidRPr="00DD650D" w:rsidRDefault="00D86A11" w:rsidP="00D86A11">
      <w:pPr>
        <w:pStyle w:val="Heading3"/>
        <w:spacing w:line="276" w:lineRule="auto"/>
        <w:rPr>
          <w:b w:val="0"/>
          <w:color w:val="auto"/>
          <w:sz w:val="22"/>
        </w:rPr>
      </w:pPr>
      <w:r w:rsidRPr="00DD650D">
        <w:rPr>
          <w:b w:val="0"/>
          <w:color w:val="auto"/>
          <w:sz w:val="22"/>
        </w:rPr>
        <w:t>In 2015, the children with the lowest subsequent entry rate were children under the age of one. The children with the highest rates were 1-2 year olds and 16-17 year olds.</w:t>
      </w:r>
    </w:p>
    <w:p w:rsidR="00D86A11" w:rsidRPr="001F531B" w:rsidRDefault="00D86A11" w:rsidP="00D86A11">
      <w:pPr>
        <w:rPr>
          <w:sz w:val="4"/>
        </w:rPr>
      </w:pPr>
    </w:p>
    <w:tbl>
      <w:tblPr>
        <w:tblW w:w="9288" w:type="dxa"/>
        <w:tblBorders>
          <w:top w:val="single" w:sz="18" w:space="0" w:color="F6872B"/>
          <w:bottom w:val="single" w:sz="18" w:space="0" w:color="F6872B"/>
        </w:tblBorders>
        <w:tblLook w:val="04A0" w:firstRow="1" w:lastRow="0" w:firstColumn="1" w:lastColumn="0" w:noHBand="0" w:noVBand="1"/>
      </w:tblPr>
      <w:tblGrid>
        <w:gridCol w:w="1615"/>
        <w:gridCol w:w="2183"/>
        <w:gridCol w:w="2160"/>
        <w:gridCol w:w="3330"/>
      </w:tblGrid>
      <w:tr w:rsidR="00D86A11" w:rsidRPr="00C724EC" w:rsidTr="0017185A">
        <w:trPr>
          <w:trHeight w:val="396"/>
        </w:trPr>
        <w:tc>
          <w:tcPr>
            <w:tcW w:w="9288" w:type="dxa"/>
            <w:gridSpan w:val="4"/>
            <w:shd w:val="clear" w:color="auto" w:fill="013161"/>
          </w:tcPr>
          <w:p w:rsidR="00D86A11" w:rsidRPr="000055D1" w:rsidRDefault="00D86A11" w:rsidP="00D86A11">
            <w:pPr>
              <w:spacing w:after="0" w:line="240" w:lineRule="auto"/>
              <w:jc w:val="center"/>
              <w:rPr>
                <w:rFonts w:ascii="Calibri" w:eastAsia="Times New Roman" w:hAnsi="Calibri" w:cs="Arial"/>
                <w:b/>
                <w:bCs/>
                <w:color w:val="FFFFFF"/>
              </w:rPr>
            </w:pPr>
            <w:r>
              <w:rPr>
                <w:rFonts w:ascii="Calibri" w:hAnsi="Calibri"/>
                <w:b/>
                <w:color w:val="FFFFFF"/>
                <w:sz w:val="24"/>
              </w:rPr>
              <w:t xml:space="preserve">Exhibit 27. County of San Diego </w:t>
            </w:r>
            <w:r w:rsidRPr="00B53CA4">
              <w:rPr>
                <w:rFonts w:ascii="Calibri" w:hAnsi="Calibri"/>
                <w:b/>
                <w:color w:val="FFFFFF"/>
                <w:sz w:val="24"/>
              </w:rPr>
              <w:t>Subsequent Entries into Care by Age, CY 2015</w:t>
            </w:r>
          </w:p>
        </w:tc>
      </w:tr>
      <w:tr w:rsidR="00D86A11" w:rsidRPr="00C724EC" w:rsidTr="0017185A">
        <w:trPr>
          <w:trHeight w:val="300"/>
        </w:trPr>
        <w:tc>
          <w:tcPr>
            <w:tcW w:w="1615" w:type="dxa"/>
            <w:shd w:val="clear" w:color="auto" w:fill="013161"/>
            <w:vAlign w:val="center"/>
          </w:tcPr>
          <w:p w:rsidR="00D86A11" w:rsidRPr="00721EF1" w:rsidRDefault="00D86A11" w:rsidP="00D86A11">
            <w:pPr>
              <w:spacing w:after="0" w:line="240" w:lineRule="auto"/>
              <w:rPr>
                <w:rFonts w:ascii="Calibri" w:eastAsia="Times New Roman" w:hAnsi="Calibri" w:cs="Arial"/>
                <w:b/>
                <w:bCs/>
                <w:color w:val="FFFFFF"/>
              </w:rPr>
            </w:pPr>
            <w:r w:rsidRPr="00721EF1">
              <w:rPr>
                <w:rFonts w:ascii="Calibri" w:eastAsia="Times New Roman" w:hAnsi="Calibri" w:cs="Arial"/>
                <w:b/>
                <w:bCs/>
                <w:color w:val="FFFFFF"/>
              </w:rPr>
              <w:t>Age Group</w:t>
            </w:r>
          </w:p>
        </w:tc>
        <w:tc>
          <w:tcPr>
            <w:tcW w:w="2183"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Total Child Population</w:t>
            </w:r>
          </w:p>
        </w:tc>
        <w:tc>
          <w:tcPr>
            <w:tcW w:w="2160"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Children with Subsequent Entries</w:t>
            </w:r>
          </w:p>
        </w:tc>
        <w:tc>
          <w:tcPr>
            <w:tcW w:w="3330"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Incidence per 1,000 Children</w:t>
            </w:r>
          </w:p>
        </w:tc>
      </w:tr>
      <w:tr w:rsidR="00D86A11" w:rsidRPr="00C724EC" w:rsidTr="0017185A">
        <w:trPr>
          <w:trHeight w:val="300"/>
        </w:trPr>
        <w:tc>
          <w:tcPr>
            <w:tcW w:w="1615" w:type="dxa"/>
            <w:shd w:val="clear" w:color="auto" w:fill="auto"/>
          </w:tcPr>
          <w:p w:rsidR="00D86A11" w:rsidRPr="00DD01D5" w:rsidRDefault="00D86A11" w:rsidP="00D86A11">
            <w:pPr>
              <w:spacing w:after="0" w:line="240" w:lineRule="auto"/>
              <w:rPr>
                <w:rFonts w:ascii="Calibri" w:eastAsia="Times New Roman" w:hAnsi="Calibri" w:cs="Arial"/>
                <w:b/>
                <w:color w:val="013161"/>
                <w:sz w:val="20"/>
              </w:rPr>
            </w:pPr>
            <w:r w:rsidRPr="00DD01D5">
              <w:rPr>
                <w:rFonts w:ascii="Calibri" w:eastAsia="Times New Roman" w:hAnsi="Calibri" w:cs="Arial"/>
                <w:b/>
                <w:color w:val="013161"/>
                <w:sz w:val="20"/>
              </w:rPr>
              <w:t>Under 1</w:t>
            </w:r>
          </w:p>
        </w:tc>
        <w:tc>
          <w:tcPr>
            <w:tcW w:w="2183" w:type="dxa"/>
            <w:shd w:val="clear" w:color="auto" w:fill="auto"/>
          </w:tcPr>
          <w:p w:rsidR="00D86A11" w:rsidRPr="00DD01D5" w:rsidRDefault="00D86A11" w:rsidP="00D86A11">
            <w:pPr>
              <w:spacing w:after="0" w:line="240" w:lineRule="auto"/>
              <w:jc w:val="center"/>
              <w:rPr>
                <w:rFonts w:ascii="Calibri" w:eastAsia="Times New Roman" w:hAnsi="Calibri" w:cs="Arial"/>
                <w:b/>
                <w:color w:val="013161"/>
                <w:sz w:val="20"/>
              </w:rPr>
            </w:pPr>
            <w:r w:rsidRPr="00DD01D5">
              <w:rPr>
                <w:rFonts w:ascii="Calibri" w:eastAsia="Times New Roman" w:hAnsi="Calibri" w:cs="Arial"/>
                <w:b/>
                <w:color w:val="013161"/>
                <w:sz w:val="20"/>
              </w:rPr>
              <w:t>43,363</w:t>
            </w:r>
          </w:p>
        </w:tc>
        <w:tc>
          <w:tcPr>
            <w:tcW w:w="2160" w:type="dxa"/>
            <w:shd w:val="clear" w:color="auto" w:fill="auto"/>
          </w:tcPr>
          <w:p w:rsidR="00D86A11" w:rsidRPr="00DD01D5" w:rsidRDefault="00D86A11" w:rsidP="00D86A11">
            <w:pPr>
              <w:spacing w:after="0" w:line="240" w:lineRule="auto"/>
              <w:jc w:val="center"/>
              <w:rPr>
                <w:rFonts w:ascii="Calibri" w:eastAsia="Times New Roman" w:hAnsi="Calibri" w:cs="Arial"/>
                <w:b/>
                <w:color w:val="013161"/>
                <w:sz w:val="20"/>
              </w:rPr>
            </w:pPr>
            <w:r w:rsidRPr="00DD01D5">
              <w:rPr>
                <w:rFonts w:ascii="Calibri" w:eastAsia="Times New Roman" w:hAnsi="Calibri" w:cs="Arial"/>
                <w:b/>
                <w:color w:val="013161"/>
                <w:sz w:val="20"/>
              </w:rPr>
              <w:t>3</w:t>
            </w:r>
          </w:p>
        </w:tc>
        <w:tc>
          <w:tcPr>
            <w:tcW w:w="3330" w:type="dxa"/>
            <w:shd w:val="clear" w:color="auto" w:fill="auto"/>
          </w:tcPr>
          <w:p w:rsidR="00D86A11" w:rsidRPr="00DD01D5" w:rsidRDefault="00D86A11" w:rsidP="00D86A11">
            <w:pPr>
              <w:spacing w:after="0" w:line="240" w:lineRule="auto"/>
              <w:jc w:val="center"/>
              <w:rPr>
                <w:rFonts w:ascii="Calibri" w:eastAsia="Times New Roman" w:hAnsi="Calibri" w:cs="Arial"/>
                <w:b/>
                <w:color w:val="013161"/>
                <w:sz w:val="20"/>
              </w:rPr>
            </w:pPr>
            <w:r w:rsidRPr="00DD01D5">
              <w:rPr>
                <w:rFonts w:ascii="Calibri" w:eastAsia="Times New Roman" w:hAnsi="Calibri" w:cs="Arial"/>
                <w:b/>
                <w:color w:val="013161"/>
                <w:sz w:val="20"/>
              </w:rPr>
              <w:t>0.1</w:t>
            </w:r>
          </w:p>
        </w:tc>
      </w:tr>
      <w:tr w:rsidR="00D86A11" w:rsidRPr="00C724EC" w:rsidTr="0017185A">
        <w:trPr>
          <w:trHeight w:val="300"/>
        </w:trPr>
        <w:tc>
          <w:tcPr>
            <w:tcW w:w="1615" w:type="dxa"/>
            <w:shd w:val="clear" w:color="auto" w:fill="DBE5F1"/>
          </w:tcPr>
          <w:p w:rsidR="00D86A11" w:rsidRPr="00DD01D5" w:rsidRDefault="00D86A11" w:rsidP="00D86A11">
            <w:pPr>
              <w:spacing w:after="0" w:line="240" w:lineRule="auto"/>
              <w:rPr>
                <w:rFonts w:ascii="Calibri" w:eastAsia="Times New Roman" w:hAnsi="Calibri" w:cs="Arial"/>
                <w:b/>
                <w:color w:val="013161"/>
                <w:sz w:val="20"/>
              </w:rPr>
            </w:pPr>
            <w:r w:rsidRPr="00DD01D5">
              <w:rPr>
                <w:rFonts w:ascii="Calibri" w:eastAsia="Times New Roman" w:hAnsi="Calibri" w:cs="Arial"/>
                <w:b/>
                <w:color w:val="013161"/>
                <w:sz w:val="20"/>
              </w:rPr>
              <w:t>1-2</w:t>
            </w:r>
          </w:p>
        </w:tc>
        <w:tc>
          <w:tcPr>
            <w:tcW w:w="2183" w:type="dxa"/>
            <w:shd w:val="clear" w:color="auto" w:fill="DBE5F1"/>
          </w:tcPr>
          <w:p w:rsidR="00D86A11" w:rsidRPr="00DD01D5" w:rsidRDefault="00D86A11" w:rsidP="00D86A11">
            <w:pPr>
              <w:spacing w:after="0" w:line="240" w:lineRule="auto"/>
              <w:jc w:val="center"/>
              <w:rPr>
                <w:rFonts w:ascii="Calibri" w:eastAsia="Times New Roman" w:hAnsi="Calibri" w:cs="Arial"/>
                <w:b/>
                <w:color w:val="013161"/>
                <w:sz w:val="20"/>
              </w:rPr>
            </w:pPr>
            <w:r w:rsidRPr="00DD01D5">
              <w:rPr>
                <w:rFonts w:ascii="Calibri" w:eastAsia="Times New Roman" w:hAnsi="Calibri" w:cs="Arial"/>
                <w:b/>
                <w:color w:val="013161"/>
                <w:sz w:val="20"/>
              </w:rPr>
              <w:t>86,807</w:t>
            </w:r>
          </w:p>
        </w:tc>
        <w:tc>
          <w:tcPr>
            <w:tcW w:w="2160" w:type="dxa"/>
            <w:shd w:val="clear" w:color="auto" w:fill="DBE5F1"/>
          </w:tcPr>
          <w:p w:rsidR="00D86A11" w:rsidRPr="00DD01D5" w:rsidRDefault="00D86A11" w:rsidP="00D86A11">
            <w:pPr>
              <w:spacing w:after="0" w:line="240" w:lineRule="auto"/>
              <w:jc w:val="center"/>
              <w:rPr>
                <w:rFonts w:ascii="Calibri" w:eastAsia="Times New Roman" w:hAnsi="Calibri" w:cs="Arial"/>
                <w:b/>
                <w:color w:val="013161"/>
                <w:sz w:val="20"/>
              </w:rPr>
            </w:pPr>
            <w:r w:rsidRPr="00DD01D5">
              <w:rPr>
                <w:rFonts w:ascii="Calibri" w:eastAsia="Times New Roman" w:hAnsi="Calibri" w:cs="Arial"/>
                <w:b/>
                <w:color w:val="013161"/>
                <w:sz w:val="20"/>
              </w:rPr>
              <w:t>31</w:t>
            </w:r>
          </w:p>
        </w:tc>
        <w:tc>
          <w:tcPr>
            <w:tcW w:w="3330" w:type="dxa"/>
            <w:shd w:val="clear" w:color="auto" w:fill="DBE5F1"/>
          </w:tcPr>
          <w:p w:rsidR="00D86A11" w:rsidRPr="00DD01D5" w:rsidRDefault="00D86A11" w:rsidP="00D86A11">
            <w:pPr>
              <w:spacing w:after="0" w:line="240" w:lineRule="auto"/>
              <w:jc w:val="center"/>
              <w:rPr>
                <w:rFonts w:ascii="Calibri" w:eastAsia="Times New Roman" w:hAnsi="Calibri" w:cs="Arial"/>
                <w:b/>
                <w:color w:val="013161"/>
                <w:sz w:val="20"/>
              </w:rPr>
            </w:pPr>
            <w:r w:rsidRPr="00DD01D5">
              <w:rPr>
                <w:rFonts w:ascii="Calibri" w:eastAsia="Times New Roman" w:hAnsi="Calibri" w:cs="Arial"/>
                <w:b/>
                <w:color w:val="013161"/>
                <w:sz w:val="20"/>
              </w:rPr>
              <w:t>0.4</w:t>
            </w:r>
          </w:p>
        </w:tc>
      </w:tr>
      <w:tr w:rsidR="00D86A11" w:rsidRPr="00C724EC" w:rsidTr="0017185A">
        <w:trPr>
          <w:trHeight w:val="300"/>
        </w:trPr>
        <w:tc>
          <w:tcPr>
            <w:tcW w:w="1615" w:type="dxa"/>
            <w:shd w:val="clear" w:color="auto" w:fill="auto"/>
          </w:tcPr>
          <w:p w:rsidR="00D86A11" w:rsidRPr="00DD01D5" w:rsidRDefault="00D86A11" w:rsidP="00D86A11">
            <w:pPr>
              <w:spacing w:after="0" w:line="240" w:lineRule="auto"/>
              <w:rPr>
                <w:rFonts w:ascii="Calibri" w:eastAsia="Times New Roman" w:hAnsi="Calibri" w:cs="Arial"/>
                <w:b/>
                <w:color w:val="013161"/>
                <w:sz w:val="20"/>
              </w:rPr>
            </w:pPr>
            <w:r w:rsidRPr="00DD01D5">
              <w:rPr>
                <w:rFonts w:ascii="Calibri" w:eastAsia="Times New Roman" w:hAnsi="Calibri" w:cs="Arial"/>
                <w:b/>
                <w:color w:val="013161"/>
                <w:sz w:val="20"/>
              </w:rPr>
              <w:t>3-5</w:t>
            </w:r>
          </w:p>
        </w:tc>
        <w:tc>
          <w:tcPr>
            <w:tcW w:w="2183" w:type="dxa"/>
            <w:shd w:val="clear" w:color="auto" w:fill="auto"/>
          </w:tcPr>
          <w:p w:rsidR="00D86A11" w:rsidRPr="00DD01D5" w:rsidRDefault="00D86A11" w:rsidP="00D86A11">
            <w:pPr>
              <w:spacing w:after="0" w:line="240" w:lineRule="auto"/>
              <w:jc w:val="center"/>
              <w:rPr>
                <w:rFonts w:ascii="Calibri" w:eastAsia="Times New Roman" w:hAnsi="Calibri" w:cs="Arial"/>
                <w:b/>
                <w:color w:val="013161"/>
                <w:sz w:val="20"/>
              </w:rPr>
            </w:pPr>
            <w:r w:rsidRPr="00DD01D5">
              <w:rPr>
                <w:rFonts w:ascii="Calibri" w:eastAsia="Times New Roman" w:hAnsi="Calibri" w:cs="Arial"/>
                <w:b/>
                <w:color w:val="013161"/>
                <w:sz w:val="20"/>
              </w:rPr>
              <w:t>129,218</w:t>
            </w:r>
          </w:p>
        </w:tc>
        <w:tc>
          <w:tcPr>
            <w:tcW w:w="2160" w:type="dxa"/>
            <w:shd w:val="clear" w:color="auto" w:fill="auto"/>
          </w:tcPr>
          <w:p w:rsidR="00D86A11" w:rsidRPr="00DD01D5" w:rsidRDefault="00D86A11" w:rsidP="00D86A11">
            <w:pPr>
              <w:spacing w:after="0" w:line="240" w:lineRule="auto"/>
              <w:jc w:val="center"/>
              <w:rPr>
                <w:rFonts w:ascii="Calibri" w:eastAsia="Times New Roman" w:hAnsi="Calibri" w:cs="Arial"/>
                <w:b/>
                <w:color w:val="013161"/>
                <w:sz w:val="20"/>
              </w:rPr>
            </w:pPr>
            <w:r w:rsidRPr="00DD01D5">
              <w:rPr>
                <w:rFonts w:ascii="Calibri" w:eastAsia="Times New Roman" w:hAnsi="Calibri" w:cs="Arial"/>
                <w:b/>
                <w:color w:val="013161"/>
                <w:sz w:val="20"/>
              </w:rPr>
              <w:t>38</w:t>
            </w:r>
          </w:p>
        </w:tc>
        <w:tc>
          <w:tcPr>
            <w:tcW w:w="3330" w:type="dxa"/>
            <w:shd w:val="clear" w:color="auto" w:fill="auto"/>
          </w:tcPr>
          <w:p w:rsidR="00D86A11" w:rsidRPr="00DD01D5" w:rsidRDefault="00D86A11" w:rsidP="00D86A11">
            <w:pPr>
              <w:spacing w:after="0" w:line="240" w:lineRule="auto"/>
              <w:jc w:val="center"/>
              <w:rPr>
                <w:rFonts w:ascii="Calibri" w:eastAsia="Times New Roman" w:hAnsi="Calibri" w:cs="Arial"/>
                <w:b/>
                <w:color w:val="013161"/>
                <w:sz w:val="20"/>
              </w:rPr>
            </w:pPr>
            <w:r w:rsidRPr="00DD01D5">
              <w:rPr>
                <w:rFonts w:ascii="Calibri" w:eastAsia="Times New Roman" w:hAnsi="Calibri" w:cs="Arial"/>
                <w:b/>
                <w:color w:val="013161"/>
                <w:sz w:val="20"/>
              </w:rPr>
              <w:t>0.3</w:t>
            </w:r>
          </w:p>
        </w:tc>
      </w:tr>
      <w:tr w:rsidR="00D86A11" w:rsidRPr="00C724EC" w:rsidTr="0017185A">
        <w:trPr>
          <w:trHeight w:val="300"/>
        </w:trPr>
        <w:tc>
          <w:tcPr>
            <w:tcW w:w="1615" w:type="dxa"/>
            <w:shd w:val="clear" w:color="auto" w:fill="DBE5F1"/>
          </w:tcPr>
          <w:p w:rsidR="00D86A11" w:rsidRPr="00DD01D5" w:rsidRDefault="00D86A11" w:rsidP="00D86A11">
            <w:pPr>
              <w:spacing w:after="0" w:line="240" w:lineRule="auto"/>
              <w:rPr>
                <w:rFonts w:ascii="Calibri" w:eastAsia="Times New Roman" w:hAnsi="Calibri" w:cs="Arial"/>
                <w:b/>
                <w:color w:val="013161"/>
                <w:sz w:val="20"/>
              </w:rPr>
            </w:pPr>
            <w:r w:rsidRPr="00DD01D5">
              <w:rPr>
                <w:rFonts w:ascii="Calibri" w:eastAsia="Times New Roman" w:hAnsi="Calibri" w:cs="Arial"/>
                <w:b/>
                <w:color w:val="013161"/>
                <w:sz w:val="20"/>
              </w:rPr>
              <w:t>6-10</w:t>
            </w:r>
          </w:p>
        </w:tc>
        <w:tc>
          <w:tcPr>
            <w:tcW w:w="2183" w:type="dxa"/>
            <w:shd w:val="clear" w:color="auto" w:fill="DBE5F1"/>
          </w:tcPr>
          <w:p w:rsidR="00D86A11" w:rsidRPr="00DD01D5" w:rsidRDefault="00D86A11" w:rsidP="00D86A11">
            <w:pPr>
              <w:spacing w:after="0" w:line="240" w:lineRule="auto"/>
              <w:jc w:val="center"/>
              <w:rPr>
                <w:rFonts w:ascii="Calibri" w:eastAsia="Times New Roman" w:hAnsi="Calibri" w:cs="Arial"/>
                <w:b/>
                <w:color w:val="013161"/>
                <w:sz w:val="20"/>
              </w:rPr>
            </w:pPr>
            <w:r w:rsidRPr="00DD01D5">
              <w:rPr>
                <w:rFonts w:ascii="Calibri" w:eastAsia="Times New Roman" w:hAnsi="Calibri" w:cs="Arial"/>
                <w:b/>
                <w:color w:val="013161"/>
                <w:sz w:val="20"/>
              </w:rPr>
              <w:t>204,231</w:t>
            </w:r>
          </w:p>
        </w:tc>
        <w:tc>
          <w:tcPr>
            <w:tcW w:w="2160" w:type="dxa"/>
            <w:shd w:val="clear" w:color="auto" w:fill="DBE5F1"/>
          </w:tcPr>
          <w:p w:rsidR="00D86A11" w:rsidRPr="00DD01D5" w:rsidRDefault="00D86A11" w:rsidP="00D86A11">
            <w:pPr>
              <w:spacing w:after="0" w:line="240" w:lineRule="auto"/>
              <w:jc w:val="center"/>
              <w:rPr>
                <w:rFonts w:ascii="Calibri" w:eastAsia="Times New Roman" w:hAnsi="Calibri" w:cs="Arial"/>
                <w:b/>
                <w:color w:val="013161"/>
                <w:sz w:val="20"/>
              </w:rPr>
            </w:pPr>
            <w:r w:rsidRPr="00DD01D5">
              <w:rPr>
                <w:rFonts w:ascii="Calibri" w:eastAsia="Times New Roman" w:hAnsi="Calibri" w:cs="Arial"/>
                <w:b/>
                <w:color w:val="013161"/>
                <w:sz w:val="20"/>
              </w:rPr>
              <w:t>66</w:t>
            </w:r>
          </w:p>
        </w:tc>
        <w:tc>
          <w:tcPr>
            <w:tcW w:w="3330" w:type="dxa"/>
            <w:shd w:val="clear" w:color="auto" w:fill="DBE5F1"/>
          </w:tcPr>
          <w:p w:rsidR="00D86A11" w:rsidRPr="00DD01D5" w:rsidRDefault="00D86A11" w:rsidP="00D86A11">
            <w:pPr>
              <w:spacing w:after="0" w:line="240" w:lineRule="auto"/>
              <w:jc w:val="center"/>
              <w:rPr>
                <w:rFonts w:ascii="Calibri" w:eastAsia="Times New Roman" w:hAnsi="Calibri" w:cs="Arial"/>
                <w:b/>
                <w:color w:val="013161"/>
                <w:sz w:val="20"/>
              </w:rPr>
            </w:pPr>
            <w:r w:rsidRPr="00DD01D5">
              <w:rPr>
                <w:rFonts w:ascii="Calibri" w:eastAsia="Times New Roman" w:hAnsi="Calibri" w:cs="Arial"/>
                <w:b/>
                <w:color w:val="013161"/>
                <w:sz w:val="20"/>
              </w:rPr>
              <w:t>0.3</w:t>
            </w:r>
          </w:p>
        </w:tc>
      </w:tr>
      <w:tr w:rsidR="00D86A11" w:rsidRPr="00C724EC" w:rsidTr="0017185A">
        <w:trPr>
          <w:trHeight w:val="300"/>
        </w:trPr>
        <w:tc>
          <w:tcPr>
            <w:tcW w:w="1615" w:type="dxa"/>
            <w:shd w:val="clear" w:color="auto" w:fill="auto"/>
          </w:tcPr>
          <w:p w:rsidR="00D86A11" w:rsidRPr="00DD01D5" w:rsidRDefault="00D86A11" w:rsidP="00D86A11">
            <w:pPr>
              <w:spacing w:after="0" w:line="240" w:lineRule="auto"/>
              <w:rPr>
                <w:rFonts w:ascii="Calibri" w:eastAsia="Times New Roman" w:hAnsi="Calibri" w:cs="Arial"/>
                <w:b/>
                <w:color w:val="013161"/>
                <w:sz w:val="20"/>
              </w:rPr>
            </w:pPr>
            <w:r w:rsidRPr="00DD01D5">
              <w:rPr>
                <w:rFonts w:ascii="Calibri" w:eastAsia="Times New Roman" w:hAnsi="Calibri" w:cs="Arial"/>
                <w:b/>
                <w:color w:val="013161"/>
                <w:sz w:val="20"/>
              </w:rPr>
              <w:t>11-15</w:t>
            </w:r>
          </w:p>
        </w:tc>
        <w:tc>
          <w:tcPr>
            <w:tcW w:w="2183" w:type="dxa"/>
            <w:shd w:val="clear" w:color="auto" w:fill="auto"/>
          </w:tcPr>
          <w:p w:rsidR="00D86A11" w:rsidRPr="00DD01D5" w:rsidRDefault="00D86A11" w:rsidP="00D86A11">
            <w:pPr>
              <w:spacing w:after="0" w:line="240" w:lineRule="auto"/>
              <w:jc w:val="center"/>
              <w:rPr>
                <w:rFonts w:ascii="Calibri" w:eastAsia="Times New Roman" w:hAnsi="Calibri" w:cs="Arial"/>
                <w:b/>
                <w:color w:val="013161"/>
                <w:sz w:val="20"/>
              </w:rPr>
            </w:pPr>
            <w:r w:rsidRPr="00DD01D5">
              <w:rPr>
                <w:rFonts w:ascii="Calibri" w:eastAsia="Times New Roman" w:hAnsi="Calibri" w:cs="Arial"/>
                <w:b/>
                <w:color w:val="013161"/>
                <w:sz w:val="20"/>
              </w:rPr>
              <w:t>195,748</w:t>
            </w:r>
          </w:p>
        </w:tc>
        <w:tc>
          <w:tcPr>
            <w:tcW w:w="2160" w:type="dxa"/>
            <w:shd w:val="clear" w:color="auto" w:fill="auto"/>
          </w:tcPr>
          <w:p w:rsidR="00D86A11" w:rsidRPr="00DD01D5" w:rsidRDefault="00D86A11" w:rsidP="00D86A11">
            <w:pPr>
              <w:spacing w:after="0" w:line="240" w:lineRule="auto"/>
              <w:jc w:val="center"/>
              <w:rPr>
                <w:rFonts w:ascii="Calibri" w:eastAsia="Times New Roman" w:hAnsi="Calibri" w:cs="Arial"/>
                <w:b/>
                <w:color w:val="013161"/>
                <w:sz w:val="20"/>
              </w:rPr>
            </w:pPr>
            <w:r w:rsidRPr="00DD01D5">
              <w:rPr>
                <w:rFonts w:ascii="Calibri" w:eastAsia="Times New Roman" w:hAnsi="Calibri" w:cs="Arial"/>
                <w:b/>
                <w:color w:val="013161"/>
                <w:sz w:val="20"/>
              </w:rPr>
              <w:t>62</w:t>
            </w:r>
          </w:p>
        </w:tc>
        <w:tc>
          <w:tcPr>
            <w:tcW w:w="3330" w:type="dxa"/>
            <w:shd w:val="clear" w:color="auto" w:fill="auto"/>
          </w:tcPr>
          <w:p w:rsidR="00D86A11" w:rsidRPr="00DD01D5" w:rsidRDefault="00D86A11" w:rsidP="00D86A11">
            <w:pPr>
              <w:spacing w:after="0" w:line="240" w:lineRule="auto"/>
              <w:jc w:val="center"/>
              <w:rPr>
                <w:rFonts w:ascii="Calibri" w:eastAsia="Times New Roman" w:hAnsi="Calibri" w:cs="Arial"/>
                <w:b/>
                <w:color w:val="013161"/>
                <w:sz w:val="20"/>
              </w:rPr>
            </w:pPr>
            <w:r w:rsidRPr="00DD01D5">
              <w:rPr>
                <w:rFonts w:ascii="Calibri" w:eastAsia="Times New Roman" w:hAnsi="Calibri" w:cs="Arial"/>
                <w:b/>
                <w:color w:val="013161"/>
                <w:sz w:val="20"/>
              </w:rPr>
              <w:t>0.3</w:t>
            </w:r>
          </w:p>
        </w:tc>
      </w:tr>
      <w:tr w:rsidR="00D86A11" w:rsidRPr="00C724EC" w:rsidTr="0017185A">
        <w:trPr>
          <w:trHeight w:val="300"/>
        </w:trPr>
        <w:tc>
          <w:tcPr>
            <w:tcW w:w="1615" w:type="dxa"/>
            <w:shd w:val="clear" w:color="auto" w:fill="DBE5F1"/>
          </w:tcPr>
          <w:p w:rsidR="00D86A11" w:rsidRPr="00C73972" w:rsidRDefault="00D86A11" w:rsidP="00D86A11">
            <w:pPr>
              <w:spacing w:after="0" w:line="240" w:lineRule="auto"/>
              <w:rPr>
                <w:rFonts w:ascii="Calibri" w:eastAsia="Times New Roman" w:hAnsi="Calibri" w:cs="Arial"/>
                <w:b/>
                <w:color w:val="013161"/>
                <w:sz w:val="20"/>
              </w:rPr>
            </w:pPr>
            <w:r w:rsidRPr="00C73972">
              <w:rPr>
                <w:rFonts w:ascii="Calibri" w:eastAsia="Times New Roman" w:hAnsi="Calibri" w:cs="Arial"/>
                <w:b/>
                <w:color w:val="013161"/>
                <w:sz w:val="20"/>
              </w:rPr>
              <w:t>16-17</w:t>
            </w:r>
          </w:p>
        </w:tc>
        <w:tc>
          <w:tcPr>
            <w:tcW w:w="2183" w:type="dxa"/>
            <w:shd w:val="clear" w:color="auto" w:fill="DBE5F1"/>
          </w:tcPr>
          <w:p w:rsidR="00D86A11" w:rsidRPr="00C73972" w:rsidRDefault="00D86A11" w:rsidP="00D86A11">
            <w:pPr>
              <w:spacing w:after="0" w:line="240" w:lineRule="auto"/>
              <w:jc w:val="center"/>
              <w:rPr>
                <w:rFonts w:ascii="Calibri" w:eastAsia="Times New Roman" w:hAnsi="Calibri" w:cs="Arial"/>
                <w:b/>
                <w:color w:val="013161"/>
                <w:sz w:val="20"/>
              </w:rPr>
            </w:pPr>
            <w:r w:rsidRPr="00C73972">
              <w:rPr>
                <w:rFonts w:ascii="Calibri" w:eastAsia="Times New Roman" w:hAnsi="Calibri" w:cs="Arial"/>
                <w:b/>
                <w:color w:val="013161"/>
                <w:sz w:val="20"/>
              </w:rPr>
              <w:t>79,000</w:t>
            </w:r>
          </w:p>
        </w:tc>
        <w:tc>
          <w:tcPr>
            <w:tcW w:w="2160" w:type="dxa"/>
            <w:shd w:val="clear" w:color="auto" w:fill="DBE5F1"/>
          </w:tcPr>
          <w:p w:rsidR="00D86A11" w:rsidRPr="00C73972" w:rsidRDefault="00D86A11" w:rsidP="00D86A11">
            <w:pPr>
              <w:spacing w:after="0" w:line="240" w:lineRule="auto"/>
              <w:jc w:val="center"/>
              <w:rPr>
                <w:rFonts w:ascii="Calibri" w:eastAsia="Times New Roman" w:hAnsi="Calibri" w:cs="Arial"/>
                <w:b/>
                <w:color w:val="013161"/>
                <w:sz w:val="20"/>
              </w:rPr>
            </w:pPr>
            <w:r w:rsidRPr="00C73972">
              <w:rPr>
                <w:rFonts w:ascii="Calibri" w:eastAsia="Times New Roman" w:hAnsi="Calibri" w:cs="Arial"/>
                <w:b/>
                <w:color w:val="013161"/>
                <w:sz w:val="20"/>
              </w:rPr>
              <w:t>34</w:t>
            </w:r>
          </w:p>
        </w:tc>
        <w:tc>
          <w:tcPr>
            <w:tcW w:w="3330" w:type="dxa"/>
            <w:shd w:val="clear" w:color="auto" w:fill="DBE5F1"/>
          </w:tcPr>
          <w:p w:rsidR="00D86A11" w:rsidRPr="00C73972" w:rsidRDefault="00D86A11" w:rsidP="00D86A11">
            <w:pPr>
              <w:spacing w:after="0" w:line="240" w:lineRule="auto"/>
              <w:jc w:val="center"/>
              <w:rPr>
                <w:rFonts w:ascii="Calibri" w:eastAsia="Times New Roman" w:hAnsi="Calibri" w:cs="Arial"/>
                <w:b/>
                <w:color w:val="013161"/>
                <w:sz w:val="20"/>
              </w:rPr>
            </w:pPr>
            <w:r w:rsidRPr="00C73972">
              <w:rPr>
                <w:rFonts w:ascii="Calibri" w:eastAsia="Times New Roman" w:hAnsi="Calibri" w:cs="Arial"/>
                <w:b/>
                <w:color w:val="013161"/>
                <w:sz w:val="20"/>
              </w:rPr>
              <w:t>0.4</w:t>
            </w:r>
          </w:p>
        </w:tc>
      </w:tr>
      <w:tr w:rsidR="00D86A11" w:rsidRPr="00C724EC" w:rsidTr="0017185A">
        <w:trPr>
          <w:trHeight w:val="300"/>
        </w:trPr>
        <w:tc>
          <w:tcPr>
            <w:tcW w:w="1615" w:type="dxa"/>
            <w:shd w:val="clear" w:color="auto" w:fill="auto"/>
          </w:tcPr>
          <w:p w:rsidR="00D86A11" w:rsidRPr="00C73972" w:rsidRDefault="00D86A11" w:rsidP="00D86A11">
            <w:pPr>
              <w:spacing w:after="0" w:line="240" w:lineRule="auto"/>
              <w:rPr>
                <w:rFonts w:ascii="Calibri" w:eastAsia="Times New Roman" w:hAnsi="Calibri" w:cs="Arial"/>
                <w:b/>
                <w:color w:val="013161"/>
                <w:sz w:val="20"/>
              </w:rPr>
            </w:pPr>
            <w:r w:rsidRPr="00C73972">
              <w:rPr>
                <w:rFonts w:ascii="Calibri" w:eastAsia="Times New Roman" w:hAnsi="Calibri" w:cs="Arial"/>
                <w:b/>
                <w:color w:val="013161"/>
                <w:sz w:val="20"/>
              </w:rPr>
              <w:t>Total</w:t>
            </w:r>
          </w:p>
        </w:tc>
        <w:tc>
          <w:tcPr>
            <w:tcW w:w="2183" w:type="dxa"/>
            <w:shd w:val="clear" w:color="auto" w:fill="auto"/>
          </w:tcPr>
          <w:p w:rsidR="00D86A11" w:rsidRPr="00C73972" w:rsidRDefault="00D86A11" w:rsidP="00D86A11">
            <w:pPr>
              <w:spacing w:after="0" w:line="240" w:lineRule="auto"/>
              <w:jc w:val="center"/>
              <w:rPr>
                <w:rFonts w:ascii="Calibri" w:eastAsia="Times New Roman" w:hAnsi="Calibri" w:cs="Arial"/>
                <w:b/>
                <w:color w:val="013161"/>
                <w:sz w:val="20"/>
              </w:rPr>
            </w:pPr>
            <w:r w:rsidRPr="00C73972">
              <w:rPr>
                <w:rFonts w:ascii="Calibri" w:eastAsia="Times New Roman" w:hAnsi="Calibri" w:cs="Arial"/>
                <w:b/>
                <w:color w:val="013161"/>
                <w:sz w:val="20"/>
              </w:rPr>
              <w:t>738,367</w:t>
            </w:r>
          </w:p>
        </w:tc>
        <w:tc>
          <w:tcPr>
            <w:tcW w:w="2160" w:type="dxa"/>
            <w:shd w:val="clear" w:color="auto" w:fill="auto"/>
          </w:tcPr>
          <w:p w:rsidR="00D86A11" w:rsidRPr="00C73972" w:rsidRDefault="00D86A11" w:rsidP="00D86A11">
            <w:pPr>
              <w:spacing w:after="0" w:line="240" w:lineRule="auto"/>
              <w:jc w:val="center"/>
              <w:rPr>
                <w:rFonts w:ascii="Calibri" w:eastAsia="Times New Roman" w:hAnsi="Calibri" w:cs="Arial"/>
                <w:b/>
                <w:color w:val="013161"/>
                <w:sz w:val="20"/>
              </w:rPr>
            </w:pPr>
            <w:r w:rsidRPr="00C73972">
              <w:rPr>
                <w:rFonts w:ascii="Calibri" w:eastAsia="Times New Roman" w:hAnsi="Calibri" w:cs="Arial"/>
                <w:b/>
                <w:color w:val="013161"/>
                <w:sz w:val="20"/>
              </w:rPr>
              <w:t>234</w:t>
            </w:r>
          </w:p>
        </w:tc>
        <w:tc>
          <w:tcPr>
            <w:tcW w:w="3330" w:type="dxa"/>
            <w:shd w:val="clear" w:color="auto" w:fill="auto"/>
          </w:tcPr>
          <w:p w:rsidR="00D86A11" w:rsidRPr="00C73972" w:rsidRDefault="00D86A11" w:rsidP="00D86A11">
            <w:pPr>
              <w:spacing w:after="0" w:line="240" w:lineRule="auto"/>
              <w:jc w:val="center"/>
              <w:rPr>
                <w:rFonts w:ascii="Calibri" w:eastAsia="Times New Roman" w:hAnsi="Calibri" w:cs="Arial"/>
                <w:b/>
                <w:color w:val="013161"/>
                <w:sz w:val="20"/>
              </w:rPr>
            </w:pPr>
            <w:r w:rsidRPr="00C73972">
              <w:rPr>
                <w:rFonts w:ascii="Calibri" w:eastAsia="Times New Roman" w:hAnsi="Calibri" w:cs="Arial"/>
                <w:b/>
                <w:color w:val="013161"/>
                <w:sz w:val="20"/>
              </w:rPr>
              <w:t>0.3</w:t>
            </w:r>
          </w:p>
        </w:tc>
      </w:tr>
    </w:tbl>
    <w:p w:rsidR="00D86A11" w:rsidRDefault="00D86A11" w:rsidP="00D86A11">
      <w:pPr>
        <w:pStyle w:val="Heading3"/>
        <w:spacing w:line="276" w:lineRule="auto"/>
        <w:rPr>
          <w:b w:val="0"/>
          <w:color w:val="auto"/>
          <w:sz w:val="22"/>
        </w:rPr>
      </w:pPr>
      <w:r w:rsidRPr="00626703">
        <w:rPr>
          <w:b w:val="0"/>
          <w:color w:val="auto"/>
          <w:sz w:val="22"/>
        </w:rPr>
        <w:t>Similar to the measures described above, African American and Native American children experienced the highest rates of subsequent entries</w:t>
      </w:r>
      <w:r>
        <w:rPr>
          <w:b w:val="0"/>
          <w:color w:val="auto"/>
          <w:sz w:val="22"/>
        </w:rPr>
        <w:t xml:space="preserve"> as compared to other ethnic populations</w:t>
      </w:r>
      <w:r w:rsidRPr="00626703">
        <w:rPr>
          <w:b w:val="0"/>
          <w:color w:val="auto"/>
          <w:sz w:val="22"/>
        </w:rPr>
        <w:t>.</w:t>
      </w:r>
    </w:p>
    <w:p w:rsidR="00D86A11" w:rsidRPr="004C0E66" w:rsidRDefault="00D86A11" w:rsidP="00D86A11">
      <w:pPr>
        <w:rPr>
          <w:sz w:val="2"/>
        </w:rPr>
      </w:pPr>
    </w:p>
    <w:tbl>
      <w:tblPr>
        <w:tblW w:w="9288" w:type="dxa"/>
        <w:tblBorders>
          <w:top w:val="single" w:sz="18" w:space="0" w:color="F6872B"/>
          <w:bottom w:val="single" w:sz="18" w:space="0" w:color="F6872B"/>
        </w:tblBorders>
        <w:tblLook w:val="04A0" w:firstRow="1" w:lastRow="0" w:firstColumn="1" w:lastColumn="0" w:noHBand="0" w:noVBand="1"/>
      </w:tblPr>
      <w:tblGrid>
        <w:gridCol w:w="1615"/>
        <w:gridCol w:w="2005"/>
        <w:gridCol w:w="2120"/>
        <w:gridCol w:w="3548"/>
      </w:tblGrid>
      <w:tr w:rsidR="00D86A11" w:rsidRPr="000055D1">
        <w:trPr>
          <w:trHeight w:val="441"/>
        </w:trPr>
        <w:tc>
          <w:tcPr>
            <w:tcW w:w="9288" w:type="dxa"/>
            <w:gridSpan w:val="4"/>
            <w:shd w:val="clear" w:color="auto" w:fill="013161"/>
          </w:tcPr>
          <w:p w:rsidR="00D86A11" w:rsidRPr="000055D1" w:rsidRDefault="00D86A11" w:rsidP="00D86A11">
            <w:pPr>
              <w:spacing w:after="0" w:line="240" w:lineRule="auto"/>
              <w:jc w:val="center"/>
              <w:rPr>
                <w:rFonts w:ascii="Calibri" w:eastAsia="Times New Roman" w:hAnsi="Calibri" w:cs="Arial"/>
                <w:b/>
                <w:bCs/>
                <w:color w:val="FFFFFF"/>
              </w:rPr>
            </w:pPr>
            <w:r>
              <w:rPr>
                <w:rFonts w:ascii="Calibri" w:hAnsi="Calibri"/>
                <w:b/>
                <w:color w:val="FFFFFF"/>
                <w:sz w:val="24"/>
              </w:rPr>
              <w:t xml:space="preserve">Exhibit 28. County of San Diego </w:t>
            </w:r>
            <w:r w:rsidRPr="00B53CA4">
              <w:rPr>
                <w:rFonts w:ascii="Calibri" w:hAnsi="Calibri"/>
                <w:b/>
                <w:color w:val="FFFFFF"/>
                <w:sz w:val="24"/>
              </w:rPr>
              <w:t>Subsequent Entries into Care by Ethnic Group, CY 2015</w:t>
            </w:r>
          </w:p>
        </w:tc>
      </w:tr>
      <w:tr w:rsidR="00D86A11" w:rsidRPr="000055D1">
        <w:trPr>
          <w:trHeight w:val="300"/>
        </w:trPr>
        <w:tc>
          <w:tcPr>
            <w:tcW w:w="1615" w:type="dxa"/>
            <w:shd w:val="clear" w:color="auto" w:fill="013161"/>
            <w:vAlign w:val="center"/>
          </w:tcPr>
          <w:p w:rsidR="00D86A11" w:rsidRPr="00721EF1" w:rsidRDefault="00D86A11" w:rsidP="00D86A11">
            <w:pPr>
              <w:spacing w:after="0" w:line="240" w:lineRule="auto"/>
              <w:rPr>
                <w:rFonts w:ascii="Calibri" w:eastAsia="Times New Roman" w:hAnsi="Calibri" w:cs="Arial"/>
                <w:b/>
                <w:bCs/>
                <w:color w:val="FFFFFF"/>
              </w:rPr>
            </w:pPr>
            <w:r w:rsidRPr="00721EF1">
              <w:rPr>
                <w:rFonts w:ascii="Calibri" w:eastAsia="Times New Roman" w:hAnsi="Calibri" w:cs="Arial"/>
                <w:b/>
                <w:bCs/>
                <w:color w:val="FFFFFF"/>
              </w:rPr>
              <w:t>Ethnic Group</w:t>
            </w:r>
          </w:p>
        </w:tc>
        <w:tc>
          <w:tcPr>
            <w:tcW w:w="2005"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Total Child Population</w:t>
            </w:r>
          </w:p>
        </w:tc>
        <w:tc>
          <w:tcPr>
            <w:tcW w:w="2120"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Children with Subsequent Entries</w:t>
            </w:r>
          </w:p>
        </w:tc>
        <w:tc>
          <w:tcPr>
            <w:tcW w:w="3548"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Incidence per 1,000 Children</w:t>
            </w:r>
          </w:p>
        </w:tc>
      </w:tr>
      <w:tr w:rsidR="00D86A11" w:rsidRPr="000055D1">
        <w:trPr>
          <w:trHeight w:val="300"/>
        </w:trPr>
        <w:tc>
          <w:tcPr>
            <w:tcW w:w="1615" w:type="dxa"/>
            <w:shd w:val="clear" w:color="auto" w:fill="auto"/>
          </w:tcPr>
          <w:p w:rsidR="00D86A11" w:rsidRPr="003F691C" w:rsidRDefault="00D86A11" w:rsidP="00D86A11">
            <w:pPr>
              <w:spacing w:after="0" w:line="240" w:lineRule="auto"/>
              <w:rPr>
                <w:rFonts w:ascii="Calibri" w:eastAsia="Times New Roman" w:hAnsi="Calibri" w:cs="Arial"/>
                <w:b/>
                <w:color w:val="013161"/>
                <w:sz w:val="20"/>
              </w:rPr>
            </w:pPr>
            <w:r w:rsidRPr="003F691C">
              <w:rPr>
                <w:rFonts w:ascii="Calibri" w:eastAsia="Times New Roman" w:hAnsi="Calibri" w:cs="Arial"/>
                <w:b/>
                <w:color w:val="013161"/>
                <w:sz w:val="20"/>
              </w:rPr>
              <w:t>Black</w:t>
            </w:r>
          </w:p>
        </w:tc>
        <w:tc>
          <w:tcPr>
            <w:tcW w:w="2005" w:type="dxa"/>
            <w:shd w:val="clear" w:color="auto" w:fill="auto"/>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32,934</w:t>
            </w:r>
          </w:p>
        </w:tc>
        <w:tc>
          <w:tcPr>
            <w:tcW w:w="2120" w:type="dxa"/>
            <w:shd w:val="clear" w:color="auto" w:fill="auto"/>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40</w:t>
            </w:r>
          </w:p>
        </w:tc>
        <w:tc>
          <w:tcPr>
            <w:tcW w:w="3548" w:type="dxa"/>
            <w:shd w:val="clear" w:color="auto" w:fill="auto"/>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1.2</w:t>
            </w:r>
          </w:p>
        </w:tc>
      </w:tr>
      <w:tr w:rsidR="00D86A11" w:rsidRPr="000055D1">
        <w:trPr>
          <w:trHeight w:val="300"/>
        </w:trPr>
        <w:tc>
          <w:tcPr>
            <w:tcW w:w="1615" w:type="dxa"/>
            <w:shd w:val="clear" w:color="auto" w:fill="DBE5F1"/>
          </w:tcPr>
          <w:p w:rsidR="00D86A11" w:rsidRPr="003F691C" w:rsidRDefault="00D86A11" w:rsidP="00D86A11">
            <w:pPr>
              <w:spacing w:after="0" w:line="240" w:lineRule="auto"/>
              <w:rPr>
                <w:rFonts w:ascii="Calibri" w:eastAsia="Times New Roman" w:hAnsi="Calibri" w:cs="Arial"/>
                <w:b/>
                <w:color w:val="013161"/>
                <w:sz w:val="20"/>
              </w:rPr>
            </w:pPr>
            <w:r w:rsidRPr="003F691C">
              <w:rPr>
                <w:rFonts w:ascii="Calibri" w:eastAsia="Times New Roman" w:hAnsi="Calibri" w:cs="Arial"/>
                <w:b/>
                <w:color w:val="013161"/>
                <w:sz w:val="20"/>
              </w:rPr>
              <w:t>White</w:t>
            </w:r>
          </w:p>
        </w:tc>
        <w:tc>
          <w:tcPr>
            <w:tcW w:w="2005" w:type="dxa"/>
            <w:shd w:val="clear" w:color="auto" w:fill="DBE5F1"/>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261,873</w:t>
            </w:r>
          </w:p>
        </w:tc>
        <w:tc>
          <w:tcPr>
            <w:tcW w:w="2120" w:type="dxa"/>
            <w:shd w:val="clear" w:color="auto" w:fill="DBE5F1"/>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58</w:t>
            </w:r>
          </w:p>
        </w:tc>
        <w:tc>
          <w:tcPr>
            <w:tcW w:w="3548" w:type="dxa"/>
            <w:shd w:val="clear" w:color="auto" w:fill="DBE5F1"/>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0.2</w:t>
            </w:r>
          </w:p>
        </w:tc>
      </w:tr>
      <w:tr w:rsidR="00D86A11" w:rsidRPr="000055D1">
        <w:trPr>
          <w:trHeight w:val="300"/>
        </w:trPr>
        <w:tc>
          <w:tcPr>
            <w:tcW w:w="1615" w:type="dxa"/>
            <w:shd w:val="clear" w:color="auto" w:fill="auto"/>
          </w:tcPr>
          <w:p w:rsidR="00D86A11" w:rsidRPr="003F691C" w:rsidRDefault="00D86A11" w:rsidP="00D86A11">
            <w:pPr>
              <w:spacing w:after="0" w:line="240" w:lineRule="auto"/>
              <w:rPr>
                <w:rFonts w:ascii="Calibri" w:eastAsia="Times New Roman" w:hAnsi="Calibri" w:cs="Arial"/>
                <w:b/>
                <w:color w:val="013161"/>
                <w:sz w:val="20"/>
              </w:rPr>
            </w:pPr>
            <w:r w:rsidRPr="003F691C">
              <w:rPr>
                <w:rFonts w:ascii="Calibri" w:eastAsia="Times New Roman" w:hAnsi="Calibri" w:cs="Arial"/>
                <w:b/>
                <w:color w:val="013161"/>
                <w:sz w:val="20"/>
              </w:rPr>
              <w:t>Latino</w:t>
            </w:r>
          </w:p>
        </w:tc>
        <w:tc>
          <w:tcPr>
            <w:tcW w:w="2005" w:type="dxa"/>
            <w:shd w:val="clear" w:color="auto" w:fill="auto"/>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330,214</w:t>
            </w:r>
          </w:p>
        </w:tc>
        <w:tc>
          <w:tcPr>
            <w:tcW w:w="2120" w:type="dxa"/>
            <w:shd w:val="clear" w:color="auto" w:fill="auto"/>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123</w:t>
            </w:r>
          </w:p>
        </w:tc>
        <w:tc>
          <w:tcPr>
            <w:tcW w:w="3548" w:type="dxa"/>
            <w:shd w:val="clear" w:color="auto" w:fill="auto"/>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0.4</w:t>
            </w:r>
          </w:p>
        </w:tc>
      </w:tr>
      <w:tr w:rsidR="00D86A11" w:rsidRPr="000055D1">
        <w:trPr>
          <w:trHeight w:val="300"/>
        </w:trPr>
        <w:tc>
          <w:tcPr>
            <w:tcW w:w="1615" w:type="dxa"/>
            <w:shd w:val="clear" w:color="auto" w:fill="DBE5F1"/>
          </w:tcPr>
          <w:p w:rsidR="00D86A11" w:rsidRPr="003F691C" w:rsidRDefault="00D86A11" w:rsidP="00D86A11">
            <w:pPr>
              <w:spacing w:after="0" w:line="240" w:lineRule="auto"/>
              <w:rPr>
                <w:rFonts w:ascii="Calibri" w:eastAsia="Times New Roman" w:hAnsi="Calibri" w:cs="Arial"/>
                <w:b/>
                <w:color w:val="013161"/>
                <w:sz w:val="20"/>
              </w:rPr>
            </w:pPr>
            <w:r w:rsidRPr="003F691C">
              <w:rPr>
                <w:rFonts w:ascii="Calibri" w:eastAsia="Times New Roman" w:hAnsi="Calibri" w:cs="Arial"/>
                <w:b/>
                <w:color w:val="013161"/>
                <w:sz w:val="20"/>
              </w:rPr>
              <w:t>Asian/P.I.</w:t>
            </w:r>
          </w:p>
        </w:tc>
        <w:tc>
          <w:tcPr>
            <w:tcW w:w="2005" w:type="dxa"/>
            <w:shd w:val="clear" w:color="auto" w:fill="DBE5F1"/>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68,119</w:t>
            </w:r>
          </w:p>
        </w:tc>
        <w:tc>
          <w:tcPr>
            <w:tcW w:w="2120" w:type="dxa"/>
            <w:shd w:val="clear" w:color="auto" w:fill="DBE5F1"/>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3</w:t>
            </w:r>
          </w:p>
        </w:tc>
        <w:tc>
          <w:tcPr>
            <w:tcW w:w="3548" w:type="dxa"/>
            <w:shd w:val="clear" w:color="auto" w:fill="DBE5F1"/>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0</w:t>
            </w:r>
          </w:p>
        </w:tc>
      </w:tr>
      <w:tr w:rsidR="00D86A11" w:rsidRPr="000055D1">
        <w:trPr>
          <w:trHeight w:val="300"/>
        </w:trPr>
        <w:tc>
          <w:tcPr>
            <w:tcW w:w="1615" w:type="dxa"/>
            <w:shd w:val="clear" w:color="auto" w:fill="auto"/>
          </w:tcPr>
          <w:p w:rsidR="00D86A11" w:rsidRPr="003F691C" w:rsidRDefault="00D86A11" w:rsidP="00D86A11">
            <w:pPr>
              <w:spacing w:after="0" w:line="240" w:lineRule="auto"/>
              <w:rPr>
                <w:rFonts w:ascii="Calibri" w:eastAsia="Times New Roman" w:hAnsi="Calibri" w:cs="Arial"/>
                <w:b/>
                <w:color w:val="013161"/>
                <w:sz w:val="20"/>
              </w:rPr>
            </w:pPr>
            <w:r w:rsidRPr="003F691C">
              <w:rPr>
                <w:rFonts w:ascii="Calibri" w:eastAsia="Times New Roman" w:hAnsi="Calibri" w:cs="Arial"/>
                <w:b/>
                <w:color w:val="013161"/>
                <w:sz w:val="20"/>
              </w:rPr>
              <w:t>Native American</w:t>
            </w:r>
          </w:p>
        </w:tc>
        <w:tc>
          <w:tcPr>
            <w:tcW w:w="2005" w:type="dxa"/>
            <w:shd w:val="clear" w:color="auto" w:fill="auto"/>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3,089</w:t>
            </w:r>
          </w:p>
        </w:tc>
        <w:tc>
          <w:tcPr>
            <w:tcW w:w="2120" w:type="dxa"/>
            <w:shd w:val="clear" w:color="auto" w:fill="auto"/>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10</w:t>
            </w:r>
          </w:p>
        </w:tc>
        <w:tc>
          <w:tcPr>
            <w:tcW w:w="3548" w:type="dxa"/>
            <w:shd w:val="clear" w:color="auto" w:fill="auto"/>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3.2</w:t>
            </w:r>
          </w:p>
        </w:tc>
      </w:tr>
      <w:tr w:rsidR="00D86A11" w:rsidRPr="000055D1">
        <w:trPr>
          <w:trHeight w:val="300"/>
        </w:trPr>
        <w:tc>
          <w:tcPr>
            <w:tcW w:w="1615" w:type="dxa"/>
            <w:shd w:val="clear" w:color="auto" w:fill="DBE5F1"/>
          </w:tcPr>
          <w:p w:rsidR="00D86A11" w:rsidRPr="003F691C" w:rsidRDefault="00D86A11" w:rsidP="00D86A11">
            <w:pPr>
              <w:spacing w:after="0" w:line="240" w:lineRule="auto"/>
              <w:rPr>
                <w:rFonts w:ascii="Calibri" w:eastAsia="Times New Roman" w:hAnsi="Calibri" w:cs="Arial"/>
                <w:b/>
                <w:color w:val="013161"/>
                <w:sz w:val="20"/>
              </w:rPr>
            </w:pPr>
            <w:r w:rsidRPr="003F691C">
              <w:rPr>
                <w:rFonts w:ascii="Calibri" w:eastAsia="Times New Roman" w:hAnsi="Calibri" w:cs="Arial"/>
                <w:b/>
                <w:color w:val="013161"/>
                <w:sz w:val="20"/>
              </w:rPr>
              <w:t>Multi-Race</w:t>
            </w:r>
          </w:p>
        </w:tc>
        <w:tc>
          <w:tcPr>
            <w:tcW w:w="2005" w:type="dxa"/>
            <w:shd w:val="clear" w:color="auto" w:fill="DBE5F1"/>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42,138</w:t>
            </w:r>
          </w:p>
        </w:tc>
        <w:tc>
          <w:tcPr>
            <w:tcW w:w="2120" w:type="dxa"/>
            <w:shd w:val="clear" w:color="auto" w:fill="DBE5F1"/>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0</w:t>
            </w:r>
          </w:p>
        </w:tc>
        <w:tc>
          <w:tcPr>
            <w:tcW w:w="3548" w:type="dxa"/>
            <w:shd w:val="clear" w:color="auto" w:fill="DBE5F1"/>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0</w:t>
            </w:r>
          </w:p>
        </w:tc>
      </w:tr>
      <w:tr w:rsidR="00D86A11" w:rsidRPr="000055D1">
        <w:trPr>
          <w:trHeight w:val="300"/>
        </w:trPr>
        <w:tc>
          <w:tcPr>
            <w:tcW w:w="1615" w:type="dxa"/>
            <w:shd w:val="clear" w:color="auto" w:fill="auto"/>
          </w:tcPr>
          <w:p w:rsidR="00D86A11" w:rsidRPr="003F691C" w:rsidRDefault="00D86A11" w:rsidP="00D86A11">
            <w:pPr>
              <w:spacing w:after="0" w:line="240" w:lineRule="auto"/>
              <w:rPr>
                <w:rFonts w:ascii="Calibri" w:eastAsia="Times New Roman" w:hAnsi="Calibri" w:cs="Arial"/>
                <w:b/>
                <w:color w:val="013161"/>
                <w:sz w:val="20"/>
              </w:rPr>
            </w:pPr>
            <w:r w:rsidRPr="003F691C">
              <w:rPr>
                <w:rFonts w:ascii="Calibri" w:eastAsia="Times New Roman" w:hAnsi="Calibri" w:cs="Arial"/>
                <w:b/>
                <w:color w:val="013161"/>
                <w:sz w:val="20"/>
              </w:rPr>
              <w:t>Missing</w:t>
            </w:r>
          </w:p>
        </w:tc>
        <w:tc>
          <w:tcPr>
            <w:tcW w:w="2005" w:type="dxa"/>
            <w:shd w:val="clear" w:color="auto" w:fill="auto"/>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w:t>
            </w:r>
          </w:p>
        </w:tc>
        <w:tc>
          <w:tcPr>
            <w:tcW w:w="2120" w:type="dxa"/>
            <w:shd w:val="clear" w:color="auto" w:fill="auto"/>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w:t>
            </w:r>
          </w:p>
        </w:tc>
        <w:tc>
          <w:tcPr>
            <w:tcW w:w="3548" w:type="dxa"/>
            <w:shd w:val="clear" w:color="auto" w:fill="auto"/>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w:t>
            </w:r>
          </w:p>
        </w:tc>
      </w:tr>
      <w:tr w:rsidR="00D86A11" w:rsidRPr="000055D1">
        <w:trPr>
          <w:trHeight w:val="300"/>
        </w:trPr>
        <w:tc>
          <w:tcPr>
            <w:tcW w:w="1615" w:type="dxa"/>
            <w:shd w:val="clear" w:color="auto" w:fill="DBE5F1"/>
          </w:tcPr>
          <w:p w:rsidR="00D86A11" w:rsidRPr="003F691C" w:rsidRDefault="00D86A11" w:rsidP="00D86A11">
            <w:pPr>
              <w:spacing w:after="0" w:line="240" w:lineRule="auto"/>
              <w:rPr>
                <w:rFonts w:ascii="Calibri" w:eastAsia="Times New Roman" w:hAnsi="Calibri" w:cs="Arial"/>
                <w:b/>
                <w:color w:val="013161"/>
                <w:sz w:val="20"/>
              </w:rPr>
            </w:pPr>
            <w:r w:rsidRPr="003F691C">
              <w:rPr>
                <w:rFonts w:ascii="Calibri" w:eastAsia="Times New Roman" w:hAnsi="Calibri" w:cs="Arial"/>
                <w:b/>
                <w:color w:val="013161"/>
                <w:sz w:val="20"/>
              </w:rPr>
              <w:t>Total</w:t>
            </w:r>
          </w:p>
        </w:tc>
        <w:tc>
          <w:tcPr>
            <w:tcW w:w="2005" w:type="dxa"/>
            <w:shd w:val="clear" w:color="auto" w:fill="DBE5F1"/>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738,367</w:t>
            </w:r>
          </w:p>
        </w:tc>
        <w:tc>
          <w:tcPr>
            <w:tcW w:w="2120" w:type="dxa"/>
            <w:shd w:val="clear" w:color="auto" w:fill="DBE5F1"/>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234</w:t>
            </w:r>
          </w:p>
        </w:tc>
        <w:tc>
          <w:tcPr>
            <w:tcW w:w="3548" w:type="dxa"/>
            <w:shd w:val="clear" w:color="auto" w:fill="DBE5F1"/>
          </w:tcPr>
          <w:p w:rsidR="00D86A11" w:rsidRPr="003F691C" w:rsidRDefault="00D86A11" w:rsidP="00D86A11">
            <w:pPr>
              <w:spacing w:after="0" w:line="240" w:lineRule="auto"/>
              <w:jc w:val="center"/>
              <w:rPr>
                <w:rFonts w:ascii="Calibri" w:eastAsia="Times New Roman" w:hAnsi="Calibri" w:cs="Arial"/>
                <w:b/>
                <w:color w:val="013161"/>
                <w:sz w:val="20"/>
              </w:rPr>
            </w:pPr>
            <w:r w:rsidRPr="003F691C">
              <w:rPr>
                <w:rFonts w:ascii="Calibri" w:eastAsia="Times New Roman" w:hAnsi="Calibri" w:cs="Arial"/>
                <w:b/>
                <w:color w:val="013161"/>
                <w:sz w:val="20"/>
              </w:rPr>
              <w:t>0.3</w:t>
            </w:r>
          </w:p>
        </w:tc>
      </w:tr>
    </w:tbl>
    <w:p w:rsidR="00D86A11" w:rsidRPr="00A862E3" w:rsidRDefault="00D86A11" w:rsidP="00D86A11">
      <w:pPr>
        <w:pStyle w:val="Heading2"/>
        <w:rPr>
          <w:rStyle w:val="Heading1Char"/>
          <w:b/>
          <w:color w:val="2E7029"/>
          <w:sz w:val="24"/>
        </w:rPr>
      </w:pPr>
      <w:r w:rsidRPr="00A862E3">
        <w:rPr>
          <w:rStyle w:val="Heading1Char"/>
          <w:b/>
          <w:color w:val="2E7029"/>
          <w:sz w:val="24"/>
        </w:rPr>
        <w:t>Children in Out-of-Home Care</w:t>
      </w:r>
    </w:p>
    <w:p w:rsidR="00D86A11" w:rsidRDefault="00763E81" w:rsidP="00D86A11">
      <w:pPr>
        <w:pStyle w:val="Heading3"/>
        <w:spacing w:line="276" w:lineRule="auto"/>
        <w:rPr>
          <w:b w:val="0"/>
          <w:color w:val="auto"/>
          <w:sz w:val="22"/>
        </w:rPr>
      </w:pPr>
      <w:r>
        <w:rPr>
          <w:noProof/>
          <w:color w:val="2E7029"/>
          <w:sz w:val="22"/>
        </w:rPr>
        <mc:AlternateContent>
          <mc:Choice Requires="wps">
            <w:drawing>
              <wp:anchor distT="91440" distB="91440" distL="182880" distR="182880" simplePos="0" relativeHeight="251663360" behindDoc="1" locked="0" layoutInCell="0" allowOverlap="1">
                <wp:simplePos x="0" y="0"/>
                <wp:positionH relativeFrom="margin">
                  <wp:posOffset>3181350</wp:posOffset>
                </wp:positionH>
                <wp:positionV relativeFrom="margin">
                  <wp:posOffset>6626860</wp:posOffset>
                </wp:positionV>
                <wp:extent cx="2823210" cy="1473200"/>
                <wp:effectExtent l="0" t="0" r="0" b="0"/>
                <wp:wrapSquare wrapText="bothSides"/>
                <wp:docPr id="27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3210" cy="147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103E6" w:rsidRPr="00134555" w:rsidRDefault="009103E6" w:rsidP="00D86A11">
                            <w:pPr>
                              <w:pBdr>
                                <w:top w:val="single" w:sz="4" w:space="0" w:color="A7BFDE"/>
                                <w:bottom w:val="single" w:sz="4" w:space="10" w:color="A7BFDE"/>
                              </w:pBdr>
                              <w:spacing w:after="0"/>
                              <w:jc w:val="center"/>
                              <w:rPr>
                                <w:b/>
                                <w:i/>
                                <w:iCs/>
                                <w:color w:val="2E7029"/>
                                <w:sz w:val="14"/>
                                <w:szCs w:val="28"/>
                              </w:rPr>
                            </w:pPr>
                          </w:p>
                          <w:p w:rsidR="009103E6" w:rsidRDefault="009103E6" w:rsidP="00D86A11">
                            <w:pPr>
                              <w:pBdr>
                                <w:top w:val="single" w:sz="4" w:space="0" w:color="A7BFDE"/>
                                <w:bottom w:val="single" w:sz="4" w:space="10" w:color="A7BFDE"/>
                              </w:pBdr>
                              <w:spacing w:after="0"/>
                              <w:jc w:val="center"/>
                              <w:rPr>
                                <w:b/>
                                <w:i/>
                                <w:iCs/>
                                <w:color w:val="2E7029"/>
                                <w:sz w:val="28"/>
                                <w:szCs w:val="28"/>
                              </w:rPr>
                            </w:pPr>
                            <w:r>
                              <w:rPr>
                                <w:b/>
                                <w:i/>
                                <w:iCs/>
                                <w:color w:val="2E7029"/>
                                <w:sz w:val="28"/>
                                <w:szCs w:val="28"/>
                              </w:rPr>
                              <w:t>“</w:t>
                            </w:r>
                            <w:r w:rsidRPr="004A730F">
                              <w:rPr>
                                <w:b/>
                                <w:i/>
                                <w:iCs/>
                                <w:color w:val="2E7029"/>
                                <w:sz w:val="28"/>
                                <w:szCs w:val="28"/>
                              </w:rPr>
                              <w:t>The children a</w:t>
                            </w:r>
                            <w:r>
                              <w:rPr>
                                <w:b/>
                                <w:i/>
                                <w:iCs/>
                                <w:color w:val="2E7029"/>
                                <w:sz w:val="28"/>
                                <w:szCs w:val="28"/>
                              </w:rPr>
                              <w:t>lways go back to their families. I</w:t>
                            </w:r>
                            <w:r w:rsidRPr="004A730F">
                              <w:rPr>
                                <w:b/>
                                <w:i/>
                                <w:iCs/>
                                <w:color w:val="2E7029"/>
                                <w:sz w:val="28"/>
                                <w:szCs w:val="28"/>
                              </w:rPr>
                              <w:t>t behooves us to keep working with the families because eventually they will go back to a bad situation</w:t>
                            </w:r>
                            <w:r w:rsidRPr="00DF539B">
                              <w:rPr>
                                <w:b/>
                                <w:i/>
                                <w:iCs/>
                                <w:color w:val="2E7029"/>
                                <w:sz w:val="28"/>
                                <w:szCs w:val="28"/>
                              </w:rPr>
                              <w:t>.</w:t>
                            </w:r>
                            <w:r>
                              <w:rPr>
                                <w:b/>
                                <w:i/>
                                <w:iCs/>
                                <w:color w:val="2E7029"/>
                                <w:sz w:val="28"/>
                                <w:szCs w:val="28"/>
                              </w:rPr>
                              <w:t>”</w:t>
                            </w:r>
                          </w:p>
                          <w:p w:rsidR="009103E6" w:rsidRPr="00E22A7C" w:rsidRDefault="009103E6" w:rsidP="00D86A11">
                            <w:pPr>
                              <w:pBdr>
                                <w:top w:val="single" w:sz="4" w:space="0" w:color="A7BFDE"/>
                                <w:bottom w:val="single" w:sz="4" w:space="10" w:color="A7BFDE"/>
                              </w:pBdr>
                              <w:spacing w:after="0"/>
                              <w:jc w:val="center"/>
                              <w:rPr>
                                <w:b/>
                                <w:i/>
                                <w:iCs/>
                                <w:color w:val="2E7029"/>
                                <w:sz w:val="28"/>
                                <w:szCs w:val="28"/>
                              </w:rPr>
                            </w:pPr>
                            <w:r>
                              <w:rPr>
                                <w:b/>
                                <w:i/>
                                <w:iCs/>
                                <w:color w:val="F6872B"/>
                                <w:sz w:val="28"/>
                                <w:szCs w:val="28"/>
                              </w:rPr>
                              <w:t>- Focus group participant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 o:spid="_x0000_s1062" style="position:absolute;margin-left:250.5pt;margin-top:521.8pt;width:222.3pt;height:116pt;z-index:-251653120;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" o:allowincell="f" filled="f" stroked="f" strokecolor="#90b5e3" strokeweight="6pt">
                <v:textbox inset="0,0,0,0">
                  <w:txbxContent>
                    <w:p w:rsidR="009103E6" w:rsidRPr="00134555" w:rsidRDefault="009103E6" w:rsidP="00D86A11">
                      <w:pPr>
                        <w:pBdr>
                          <w:top w:val="single" w:sz="4" w:space="0" w:color="A7BFDE"/>
                          <w:bottom w:val="single" w:sz="4" w:space="10" w:color="A7BFDE"/>
                        </w:pBdr>
                        <w:spacing w:after="0"/>
                        <w:jc w:val="center"/>
                        <w:rPr>
                          <w:b/>
                          <w:i/>
                          <w:iCs/>
                          <w:color w:val="2E7029"/>
                          <w:sz w:val="14"/>
                          <w:szCs w:val="28"/>
                        </w:rPr>
                      </w:pPr>
                    </w:p>
                    <w:p w:rsidR="009103E6" w:rsidRDefault="009103E6" w:rsidP="00D86A11">
                      <w:pPr>
                        <w:pBdr>
                          <w:top w:val="single" w:sz="4" w:space="0" w:color="A7BFDE"/>
                          <w:bottom w:val="single" w:sz="4" w:space="10" w:color="A7BFDE"/>
                        </w:pBdr>
                        <w:spacing w:after="0"/>
                        <w:jc w:val="center"/>
                        <w:rPr>
                          <w:b/>
                          <w:i/>
                          <w:iCs/>
                          <w:color w:val="2E7029"/>
                          <w:sz w:val="28"/>
                          <w:szCs w:val="28"/>
                        </w:rPr>
                      </w:pPr>
                      <w:r>
                        <w:rPr>
                          <w:b/>
                          <w:i/>
                          <w:iCs/>
                          <w:color w:val="2E7029"/>
                          <w:sz w:val="28"/>
                          <w:szCs w:val="28"/>
                        </w:rPr>
                        <w:t>“</w:t>
                      </w:r>
                      <w:r w:rsidRPr="004A730F">
                        <w:rPr>
                          <w:b/>
                          <w:i/>
                          <w:iCs/>
                          <w:color w:val="2E7029"/>
                          <w:sz w:val="28"/>
                          <w:szCs w:val="28"/>
                        </w:rPr>
                        <w:t>The children a</w:t>
                      </w:r>
                      <w:r>
                        <w:rPr>
                          <w:b/>
                          <w:i/>
                          <w:iCs/>
                          <w:color w:val="2E7029"/>
                          <w:sz w:val="28"/>
                          <w:szCs w:val="28"/>
                        </w:rPr>
                        <w:t>lways go back to their families. I</w:t>
                      </w:r>
                      <w:r w:rsidRPr="004A730F">
                        <w:rPr>
                          <w:b/>
                          <w:i/>
                          <w:iCs/>
                          <w:color w:val="2E7029"/>
                          <w:sz w:val="28"/>
                          <w:szCs w:val="28"/>
                        </w:rPr>
                        <w:t>t behooves us to keep working with the families because eventually they will go back to a bad situation</w:t>
                      </w:r>
                      <w:r w:rsidRPr="00DF539B">
                        <w:rPr>
                          <w:b/>
                          <w:i/>
                          <w:iCs/>
                          <w:color w:val="2E7029"/>
                          <w:sz w:val="28"/>
                          <w:szCs w:val="28"/>
                        </w:rPr>
                        <w:t>.</w:t>
                      </w:r>
                      <w:r>
                        <w:rPr>
                          <w:b/>
                          <w:i/>
                          <w:iCs/>
                          <w:color w:val="2E7029"/>
                          <w:sz w:val="28"/>
                          <w:szCs w:val="28"/>
                        </w:rPr>
                        <w:t>”</w:t>
                      </w:r>
                    </w:p>
                    <w:p w:rsidR="009103E6" w:rsidRPr="00E22A7C" w:rsidRDefault="009103E6" w:rsidP="00D86A11">
                      <w:pPr>
                        <w:pBdr>
                          <w:top w:val="single" w:sz="4" w:space="0" w:color="A7BFDE"/>
                          <w:bottom w:val="single" w:sz="4" w:space="10" w:color="A7BFDE"/>
                        </w:pBdr>
                        <w:spacing w:after="0"/>
                        <w:jc w:val="center"/>
                        <w:rPr>
                          <w:b/>
                          <w:i/>
                          <w:iCs/>
                          <w:color w:val="2E7029"/>
                          <w:sz w:val="28"/>
                          <w:szCs w:val="28"/>
                        </w:rPr>
                      </w:pPr>
                      <w:r>
                        <w:rPr>
                          <w:b/>
                          <w:i/>
                          <w:iCs/>
                          <w:color w:val="F6872B"/>
                          <w:sz w:val="28"/>
                          <w:szCs w:val="28"/>
                        </w:rPr>
                        <w:t>- Focus group participant</w:t>
                      </w:r>
                    </w:p>
                  </w:txbxContent>
                </v:textbox>
                <w10:wrap type="square" anchorx="margin" anchory="margin"/>
              </v:rect>
            </w:pict>
          </mc:Fallback>
        </mc:AlternateContent>
      </w:r>
      <w:r w:rsidR="00D86A11">
        <w:rPr>
          <w:b w:val="0"/>
          <w:color w:val="auto"/>
          <w:sz w:val="22"/>
        </w:rPr>
        <w:t xml:space="preserve">The County of </w:t>
      </w:r>
      <w:r w:rsidR="00D86A11" w:rsidRPr="00835094">
        <w:rPr>
          <w:b w:val="0"/>
          <w:color w:val="auto"/>
          <w:sz w:val="22"/>
        </w:rPr>
        <w:t>San Diego’s rate of children in out-of-home care has decreased from 5.2 per 1,000 children in 2010 to 3.9 in 2015, while California’s rate of 6.0 is near</w:t>
      </w:r>
      <w:r w:rsidR="00D86A11">
        <w:rPr>
          <w:b w:val="0"/>
          <w:color w:val="auto"/>
          <w:sz w:val="22"/>
        </w:rPr>
        <w:t>ly</w:t>
      </w:r>
      <w:r w:rsidR="00D86A11" w:rsidRPr="00835094">
        <w:rPr>
          <w:b w:val="0"/>
          <w:color w:val="auto"/>
          <w:sz w:val="22"/>
        </w:rPr>
        <w:t xml:space="preserve"> unchanged from 2010, when it was 5.9</w:t>
      </w:r>
      <w:r w:rsidR="0017185A">
        <w:rPr>
          <w:b w:val="0"/>
          <w:color w:val="auto"/>
          <w:sz w:val="22"/>
        </w:rPr>
        <w:t xml:space="preserve"> (Exhibit 29, next page)</w:t>
      </w:r>
      <w:r w:rsidR="00D86A11" w:rsidRPr="00835094">
        <w:rPr>
          <w:b w:val="0"/>
          <w:color w:val="auto"/>
          <w:sz w:val="22"/>
        </w:rPr>
        <w:t xml:space="preserve">. In 2015, young children, under the age of three, had the highest out-of-home care rates, while 6-10 and 11-15 year </w:t>
      </w:r>
      <w:r w:rsidR="00D86A11" w:rsidRPr="00835094">
        <w:rPr>
          <w:b w:val="0"/>
          <w:color w:val="auto"/>
          <w:sz w:val="22"/>
        </w:rPr>
        <w:lastRenderedPageBreak/>
        <w:t>olds had the lowest rates per 1,000 children. Multiple practice changes, including improved investigations and the implementation of SOP in 2011, have led to fewer children in out-of-home care.</w:t>
      </w:r>
    </w:p>
    <w:p w:rsidR="00D86A11" w:rsidRPr="00AC4A45" w:rsidRDefault="00D86A11" w:rsidP="00D86A11">
      <w:pPr>
        <w:rPr>
          <w:sz w:val="2"/>
        </w:rPr>
      </w:pPr>
    </w:p>
    <w:tbl>
      <w:tblPr>
        <w:tblW w:w="9378" w:type="dxa"/>
        <w:tblBorders>
          <w:top w:val="single" w:sz="18" w:space="0" w:color="F6872B"/>
          <w:bottom w:val="single" w:sz="18" w:space="0" w:color="F6872B"/>
        </w:tblBorders>
        <w:tblLook w:val="04A0" w:firstRow="1" w:lastRow="0" w:firstColumn="1" w:lastColumn="0" w:noHBand="0" w:noVBand="1"/>
      </w:tblPr>
      <w:tblGrid>
        <w:gridCol w:w="1231"/>
        <w:gridCol w:w="2567"/>
        <w:gridCol w:w="1350"/>
        <w:gridCol w:w="4230"/>
      </w:tblGrid>
      <w:tr w:rsidR="00D86A11" w:rsidRPr="000055D1" w:rsidTr="0017185A">
        <w:trPr>
          <w:trHeight w:val="387"/>
        </w:trPr>
        <w:tc>
          <w:tcPr>
            <w:tcW w:w="9378" w:type="dxa"/>
            <w:gridSpan w:val="4"/>
            <w:shd w:val="clear" w:color="auto" w:fill="013161"/>
          </w:tcPr>
          <w:p w:rsidR="00D86A11" w:rsidRPr="000055D1" w:rsidRDefault="00D86A11" w:rsidP="00D86A11">
            <w:pPr>
              <w:spacing w:after="0" w:line="240" w:lineRule="auto"/>
              <w:jc w:val="center"/>
              <w:rPr>
                <w:rFonts w:ascii="Calibri" w:eastAsia="Times New Roman" w:hAnsi="Calibri" w:cs="Arial"/>
                <w:b/>
                <w:bCs/>
                <w:color w:val="FFFFFF"/>
              </w:rPr>
            </w:pPr>
            <w:r>
              <w:rPr>
                <w:rFonts w:ascii="Calibri" w:hAnsi="Calibri"/>
                <w:b/>
                <w:color w:val="FFFFFF"/>
                <w:sz w:val="24"/>
              </w:rPr>
              <w:t xml:space="preserve">Exhibit 29. County of San Diego </w:t>
            </w:r>
            <w:r w:rsidRPr="00B53CA4">
              <w:rPr>
                <w:rFonts w:ascii="Calibri" w:hAnsi="Calibri"/>
                <w:b/>
                <w:color w:val="FFFFFF"/>
                <w:sz w:val="24"/>
              </w:rPr>
              <w:t>Children in Out-of-Home Care by Age, as of July 1, 2015</w:t>
            </w:r>
          </w:p>
        </w:tc>
      </w:tr>
      <w:tr w:rsidR="00D86A11" w:rsidRPr="000055D1" w:rsidTr="0017185A">
        <w:trPr>
          <w:trHeight w:val="311"/>
        </w:trPr>
        <w:tc>
          <w:tcPr>
            <w:tcW w:w="1231"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Age Group</w:t>
            </w:r>
          </w:p>
        </w:tc>
        <w:tc>
          <w:tcPr>
            <w:tcW w:w="2567"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Total Child Population</w:t>
            </w:r>
          </w:p>
        </w:tc>
        <w:tc>
          <w:tcPr>
            <w:tcW w:w="1350"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In Care</w:t>
            </w:r>
          </w:p>
        </w:tc>
        <w:tc>
          <w:tcPr>
            <w:tcW w:w="4230" w:type="dxa"/>
            <w:shd w:val="clear" w:color="auto" w:fill="013161"/>
          </w:tcPr>
          <w:p w:rsidR="00D86A11" w:rsidRPr="00721EF1" w:rsidRDefault="00D86A11" w:rsidP="00D86A11">
            <w:pPr>
              <w:tabs>
                <w:tab w:val="center" w:pos="1507"/>
              </w:tabs>
              <w:spacing w:after="0" w:line="240" w:lineRule="auto"/>
              <w:rPr>
                <w:rFonts w:ascii="Calibri" w:eastAsia="Times New Roman" w:hAnsi="Calibri" w:cs="Arial"/>
                <w:b/>
                <w:bCs/>
                <w:color w:val="FFFFFF"/>
              </w:rPr>
            </w:pPr>
            <w:r w:rsidRPr="00721EF1">
              <w:rPr>
                <w:rFonts w:ascii="Calibri" w:eastAsia="Times New Roman" w:hAnsi="Calibri" w:cs="Arial"/>
                <w:b/>
                <w:bCs/>
                <w:color w:val="FFFFFF"/>
              </w:rPr>
              <w:tab/>
              <w:t>Prevalence per 1,000 Children</w:t>
            </w:r>
          </w:p>
        </w:tc>
      </w:tr>
      <w:tr w:rsidR="00D86A11" w:rsidRPr="000055D1" w:rsidTr="0017185A">
        <w:trPr>
          <w:trHeight w:val="311"/>
        </w:trPr>
        <w:tc>
          <w:tcPr>
            <w:tcW w:w="1231" w:type="dxa"/>
            <w:shd w:val="clear" w:color="auto" w:fill="auto"/>
          </w:tcPr>
          <w:p w:rsidR="00D86A11" w:rsidRPr="00E2267A" w:rsidRDefault="00D86A11" w:rsidP="00D86A11">
            <w:pPr>
              <w:spacing w:after="0" w:line="240" w:lineRule="auto"/>
              <w:rPr>
                <w:rFonts w:ascii="Calibri" w:eastAsia="Times New Roman" w:hAnsi="Calibri" w:cs="Arial"/>
                <w:b/>
                <w:color w:val="013161"/>
                <w:sz w:val="20"/>
              </w:rPr>
            </w:pPr>
            <w:r w:rsidRPr="00E2267A">
              <w:rPr>
                <w:rFonts w:ascii="Calibri" w:eastAsia="Times New Roman" w:hAnsi="Calibri" w:cs="Arial"/>
                <w:b/>
                <w:color w:val="013161"/>
                <w:sz w:val="20"/>
              </w:rPr>
              <w:t>Under 1</w:t>
            </w:r>
          </w:p>
        </w:tc>
        <w:tc>
          <w:tcPr>
            <w:tcW w:w="2567" w:type="dxa"/>
            <w:shd w:val="clear" w:color="auto" w:fill="auto"/>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43,363</w:t>
            </w:r>
          </w:p>
        </w:tc>
        <w:tc>
          <w:tcPr>
            <w:tcW w:w="1350" w:type="dxa"/>
            <w:shd w:val="clear" w:color="auto" w:fill="auto"/>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270</w:t>
            </w:r>
          </w:p>
        </w:tc>
        <w:tc>
          <w:tcPr>
            <w:tcW w:w="4230" w:type="dxa"/>
            <w:shd w:val="clear" w:color="auto" w:fill="auto"/>
          </w:tcPr>
          <w:p w:rsidR="00D86A11" w:rsidRPr="00E2267A" w:rsidRDefault="00D86A11" w:rsidP="00D86A11">
            <w:pPr>
              <w:spacing w:after="0" w:line="240" w:lineRule="auto"/>
              <w:ind w:left="162" w:hanging="162"/>
              <w:jc w:val="center"/>
              <w:rPr>
                <w:rFonts w:ascii="Calibri" w:eastAsia="Times New Roman" w:hAnsi="Calibri" w:cs="Arial"/>
                <w:b/>
                <w:color w:val="013161"/>
                <w:sz w:val="20"/>
              </w:rPr>
            </w:pPr>
            <w:r w:rsidRPr="00E2267A">
              <w:rPr>
                <w:rFonts w:ascii="Calibri" w:eastAsia="Times New Roman" w:hAnsi="Calibri" w:cs="Arial"/>
                <w:b/>
                <w:color w:val="013161"/>
                <w:sz w:val="20"/>
              </w:rPr>
              <w:t>6.2</w:t>
            </w:r>
          </w:p>
        </w:tc>
      </w:tr>
      <w:tr w:rsidR="00D86A11" w:rsidRPr="000055D1" w:rsidTr="0017185A">
        <w:trPr>
          <w:trHeight w:val="311"/>
        </w:trPr>
        <w:tc>
          <w:tcPr>
            <w:tcW w:w="1231" w:type="dxa"/>
            <w:shd w:val="clear" w:color="auto" w:fill="DBE5F1"/>
          </w:tcPr>
          <w:p w:rsidR="00D86A11" w:rsidRPr="00E2267A" w:rsidRDefault="00D86A11" w:rsidP="00D86A11">
            <w:pPr>
              <w:spacing w:after="0" w:line="240" w:lineRule="auto"/>
              <w:rPr>
                <w:rFonts w:ascii="Calibri" w:eastAsia="Times New Roman" w:hAnsi="Calibri" w:cs="Arial"/>
                <w:b/>
                <w:color w:val="013161"/>
                <w:sz w:val="20"/>
              </w:rPr>
            </w:pPr>
            <w:r w:rsidRPr="00E2267A">
              <w:rPr>
                <w:rFonts w:ascii="Calibri" w:eastAsia="Times New Roman" w:hAnsi="Calibri" w:cs="Arial"/>
                <w:b/>
                <w:color w:val="013161"/>
                <w:sz w:val="20"/>
              </w:rPr>
              <w:t>1-2</w:t>
            </w:r>
          </w:p>
        </w:tc>
        <w:tc>
          <w:tcPr>
            <w:tcW w:w="2567" w:type="dxa"/>
            <w:shd w:val="clear" w:color="auto" w:fill="DBE5F1"/>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86,807</w:t>
            </w:r>
          </w:p>
        </w:tc>
        <w:tc>
          <w:tcPr>
            <w:tcW w:w="1350" w:type="dxa"/>
            <w:shd w:val="clear" w:color="auto" w:fill="DBE5F1"/>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517</w:t>
            </w:r>
          </w:p>
        </w:tc>
        <w:tc>
          <w:tcPr>
            <w:tcW w:w="4230" w:type="dxa"/>
            <w:shd w:val="clear" w:color="auto" w:fill="DBE5F1"/>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6.0</w:t>
            </w:r>
          </w:p>
        </w:tc>
      </w:tr>
      <w:tr w:rsidR="00D86A11" w:rsidRPr="000055D1" w:rsidTr="0017185A">
        <w:trPr>
          <w:trHeight w:val="311"/>
        </w:trPr>
        <w:tc>
          <w:tcPr>
            <w:tcW w:w="1231" w:type="dxa"/>
            <w:shd w:val="clear" w:color="auto" w:fill="auto"/>
          </w:tcPr>
          <w:p w:rsidR="00D86A11" w:rsidRPr="00E2267A" w:rsidRDefault="00D86A11" w:rsidP="00D86A11">
            <w:pPr>
              <w:spacing w:after="0" w:line="240" w:lineRule="auto"/>
              <w:rPr>
                <w:rFonts w:ascii="Calibri" w:eastAsia="Times New Roman" w:hAnsi="Calibri" w:cs="Arial"/>
                <w:b/>
                <w:color w:val="013161"/>
                <w:sz w:val="20"/>
              </w:rPr>
            </w:pPr>
            <w:r w:rsidRPr="00E2267A">
              <w:rPr>
                <w:rFonts w:ascii="Calibri" w:eastAsia="Times New Roman" w:hAnsi="Calibri" w:cs="Arial"/>
                <w:b/>
                <w:color w:val="013161"/>
                <w:sz w:val="20"/>
              </w:rPr>
              <w:t>3-5</w:t>
            </w:r>
          </w:p>
        </w:tc>
        <w:tc>
          <w:tcPr>
            <w:tcW w:w="2567" w:type="dxa"/>
            <w:shd w:val="clear" w:color="auto" w:fill="auto"/>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129,218</w:t>
            </w:r>
          </w:p>
        </w:tc>
        <w:tc>
          <w:tcPr>
            <w:tcW w:w="1350" w:type="dxa"/>
            <w:shd w:val="clear" w:color="auto" w:fill="auto"/>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569</w:t>
            </w:r>
          </w:p>
        </w:tc>
        <w:tc>
          <w:tcPr>
            <w:tcW w:w="4230" w:type="dxa"/>
            <w:shd w:val="clear" w:color="auto" w:fill="auto"/>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4.4</w:t>
            </w:r>
          </w:p>
        </w:tc>
      </w:tr>
      <w:tr w:rsidR="00D86A11" w:rsidRPr="000055D1" w:rsidTr="0017185A">
        <w:trPr>
          <w:trHeight w:val="311"/>
        </w:trPr>
        <w:tc>
          <w:tcPr>
            <w:tcW w:w="1231" w:type="dxa"/>
            <w:shd w:val="clear" w:color="auto" w:fill="DBE5F1"/>
          </w:tcPr>
          <w:p w:rsidR="00D86A11" w:rsidRPr="00E2267A" w:rsidRDefault="00D86A11" w:rsidP="00D86A11">
            <w:pPr>
              <w:spacing w:after="0" w:line="240" w:lineRule="auto"/>
              <w:rPr>
                <w:rFonts w:ascii="Calibri" w:eastAsia="Times New Roman" w:hAnsi="Calibri" w:cs="Arial"/>
                <w:b/>
                <w:color w:val="013161"/>
                <w:sz w:val="20"/>
              </w:rPr>
            </w:pPr>
            <w:r w:rsidRPr="00E2267A">
              <w:rPr>
                <w:rFonts w:ascii="Calibri" w:eastAsia="Times New Roman" w:hAnsi="Calibri" w:cs="Arial"/>
                <w:b/>
                <w:color w:val="013161"/>
                <w:sz w:val="20"/>
              </w:rPr>
              <w:t>6-10</w:t>
            </w:r>
          </w:p>
        </w:tc>
        <w:tc>
          <w:tcPr>
            <w:tcW w:w="2567" w:type="dxa"/>
            <w:shd w:val="clear" w:color="auto" w:fill="DBE5F1"/>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204,231</w:t>
            </w:r>
          </w:p>
        </w:tc>
        <w:tc>
          <w:tcPr>
            <w:tcW w:w="1350" w:type="dxa"/>
            <w:shd w:val="clear" w:color="auto" w:fill="DBE5F1"/>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648</w:t>
            </w:r>
          </w:p>
        </w:tc>
        <w:tc>
          <w:tcPr>
            <w:tcW w:w="4230" w:type="dxa"/>
            <w:shd w:val="clear" w:color="auto" w:fill="DBE5F1"/>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3.2</w:t>
            </w:r>
          </w:p>
        </w:tc>
      </w:tr>
      <w:tr w:rsidR="00D86A11" w:rsidRPr="000055D1" w:rsidTr="0017185A">
        <w:trPr>
          <w:trHeight w:val="311"/>
        </w:trPr>
        <w:tc>
          <w:tcPr>
            <w:tcW w:w="1231" w:type="dxa"/>
            <w:shd w:val="clear" w:color="auto" w:fill="auto"/>
          </w:tcPr>
          <w:p w:rsidR="00D86A11" w:rsidRPr="00E2267A" w:rsidRDefault="00D86A11" w:rsidP="00D86A11">
            <w:pPr>
              <w:spacing w:after="0" w:line="240" w:lineRule="auto"/>
              <w:rPr>
                <w:rFonts w:ascii="Calibri" w:eastAsia="Times New Roman" w:hAnsi="Calibri" w:cs="Arial"/>
                <w:b/>
                <w:color w:val="013161"/>
                <w:sz w:val="20"/>
              </w:rPr>
            </w:pPr>
            <w:r w:rsidRPr="00E2267A">
              <w:rPr>
                <w:rFonts w:ascii="Calibri" w:eastAsia="Times New Roman" w:hAnsi="Calibri" w:cs="Arial"/>
                <w:b/>
                <w:color w:val="013161"/>
                <w:sz w:val="20"/>
              </w:rPr>
              <w:t>11-15</w:t>
            </w:r>
          </w:p>
        </w:tc>
        <w:tc>
          <w:tcPr>
            <w:tcW w:w="2567" w:type="dxa"/>
            <w:shd w:val="clear" w:color="auto" w:fill="auto"/>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195,748</w:t>
            </w:r>
          </w:p>
        </w:tc>
        <w:tc>
          <w:tcPr>
            <w:tcW w:w="1350" w:type="dxa"/>
            <w:shd w:val="clear" w:color="auto" w:fill="auto"/>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564</w:t>
            </w:r>
          </w:p>
        </w:tc>
        <w:tc>
          <w:tcPr>
            <w:tcW w:w="4230" w:type="dxa"/>
            <w:shd w:val="clear" w:color="auto" w:fill="auto"/>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2.9</w:t>
            </w:r>
          </w:p>
        </w:tc>
      </w:tr>
      <w:tr w:rsidR="00D86A11" w:rsidRPr="000055D1" w:rsidTr="0017185A">
        <w:trPr>
          <w:trHeight w:val="311"/>
        </w:trPr>
        <w:tc>
          <w:tcPr>
            <w:tcW w:w="1231" w:type="dxa"/>
            <w:shd w:val="clear" w:color="auto" w:fill="DBE5F1"/>
          </w:tcPr>
          <w:p w:rsidR="00D86A11" w:rsidRPr="00E2267A" w:rsidRDefault="00D86A11" w:rsidP="00D86A11">
            <w:pPr>
              <w:spacing w:after="0" w:line="240" w:lineRule="auto"/>
              <w:rPr>
                <w:rFonts w:ascii="Calibri" w:eastAsia="Times New Roman" w:hAnsi="Calibri" w:cs="Arial"/>
                <w:b/>
                <w:color w:val="013161"/>
                <w:sz w:val="20"/>
              </w:rPr>
            </w:pPr>
            <w:r w:rsidRPr="00E2267A">
              <w:rPr>
                <w:rFonts w:ascii="Calibri" w:eastAsia="Times New Roman" w:hAnsi="Calibri" w:cs="Arial"/>
                <w:b/>
                <w:color w:val="013161"/>
                <w:sz w:val="20"/>
              </w:rPr>
              <w:t>16-17</w:t>
            </w:r>
          </w:p>
        </w:tc>
        <w:tc>
          <w:tcPr>
            <w:tcW w:w="2567" w:type="dxa"/>
            <w:shd w:val="clear" w:color="auto" w:fill="DBE5F1"/>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79,000</w:t>
            </w:r>
          </w:p>
        </w:tc>
        <w:tc>
          <w:tcPr>
            <w:tcW w:w="1350" w:type="dxa"/>
            <w:shd w:val="clear" w:color="auto" w:fill="DBE5F1"/>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282</w:t>
            </w:r>
          </w:p>
        </w:tc>
        <w:tc>
          <w:tcPr>
            <w:tcW w:w="4230" w:type="dxa"/>
            <w:shd w:val="clear" w:color="auto" w:fill="DBE5F1"/>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3.6</w:t>
            </w:r>
          </w:p>
        </w:tc>
      </w:tr>
      <w:tr w:rsidR="00D86A11" w:rsidRPr="000055D1" w:rsidTr="0017185A">
        <w:trPr>
          <w:trHeight w:val="311"/>
        </w:trPr>
        <w:tc>
          <w:tcPr>
            <w:tcW w:w="1231" w:type="dxa"/>
            <w:shd w:val="clear" w:color="auto" w:fill="auto"/>
          </w:tcPr>
          <w:p w:rsidR="00D86A11" w:rsidRPr="00E2267A" w:rsidRDefault="00D86A11" w:rsidP="00D86A11">
            <w:pPr>
              <w:spacing w:after="0" w:line="240" w:lineRule="auto"/>
              <w:rPr>
                <w:rFonts w:ascii="Calibri" w:eastAsia="Times New Roman" w:hAnsi="Calibri" w:cs="Arial"/>
                <w:b/>
                <w:color w:val="013161"/>
                <w:sz w:val="20"/>
              </w:rPr>
            </w:pPr>
            <w:r w:rsidRPr="00E2267A">
              <w:rPr>
                <w:rFonts w:ascii="Calibri" w:eastAsia="Times New Roman" w:hAnsi="Calibri" w:cs="Arial"/>
                <w:b/>
                <w:color w:val="013161"/>
                <w:sz w:val="20"/>
              </w:rPr>
              <w:t>Total</w:t>
            </w:r>
          </w:p>
        </w:tc>
        <w:tc>
          <w:tcPr>
            <w:tcW w:w="2567" w:type="dxa"/>
            <w:shd w:val="clear" w:color="auto" w:fill="auto"/>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738,367</w:t>
            </w:r>
          </w:p>
        </w:tc>
        <w:tc>
          <w:tcPr>
            <w:tcW w:w="1350" w:type="dxa"/>
            <w:shd w:val="clear" w:color="auto" w:fill="auto"/>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2,850</w:t>
            </w:r>
          </w:p>
        </w:tc>
        <w:tc>
          <w:tcPr>
            <w:tcW w:w="4230" w:type="dxa"/>
            <w:shd w:val="clear" w:color="auto" w:fill="auto"/>
          </w:tcPr>
          <w:p w:rsidR="00D86A11" w:rsidRPr="00E2267A" w:rsidRDefault="00D86A11" w:rsidP="00D86A11">
            <w:pPr>
              <w:spacing w:after="0" w:line="240" w:lineRule="auto"/>
              <w:jc w:val="center"/>
              <w:rPr>
                <w:rFonts w:ascii="Calibri" w:eastAsia="Times New Roman" w:hAnsi="Calibri" w:cs="Arial"/>
                <w:b/>
                <w:color w:val="013161"/>
                <w:sz w:val="20"/>
              </w:rPr>
            </w:pPr>
            <w:r w:rsidRPr="00E2267A">
              <w:rPr>
                <w:rFonts w:ascii="Calibri" w:eastAsia="Times New Roman" w:hAnsi="Calibri" w:cs="Arial"/>
                <w:b/>
                <w:color w:val="013161"/>
                <w:sz w:val="20"/>
              </w:rPr>
              <w:t>3.9</w:t>
            </w:r>
          </w:p>
        </w:tc>
      </w:tr>
    </w:tbl>
    <w:p w:rsidR="00267528" w:rsidRPr="00267528" w:rsidRDefault="00267528" w:rsidP="00D86A11">
      <w:pPr>
        <w:pStyle w:val="Heading3"/>
        <w:spacing w:line="276" w:lineRule="auto"/>
        <w:rPr>
          <w:b w:val="0"/>
          <w:color w:val="auto"/>
          <w:sz w:val="2"/>
          <w:szCs w:val="16"/>
        </w:rPr>
      </w:pPr>
    </w:p>
    <w:p w:rsidR="00D86A11" w:rsidRDefault="00D86A11" w:rsidP="00D86A11">
      <w:pPr>
        <w:pStyle w:val="Heading3"/>
        <w:spacing w:line="276" w:lineRule="auto"/>
        <w:rPr>
          <w:b w:val="0"/>
          <w:color w:val="auto"/>
          <w:sz w:val="22"/>
        </w:rPr>
      </w:pPr>
      <w:r w:rsidRPr="00D05B10">
        <w:rPr>
          <w:b w:val="0"/>
          <w:color w:val="auto"/>
          <w:sz w:val="22"/>
        </w:rPr>
        <w:t xml:space="preserve">In 2015, Black and Native American children had the highest rates of children in out-of-home care at 16.7/1000 and 18.1/1000 respectively. However, these rates have decreased significantly, as they have for all children, since 2010 when the out-of-home care rate for Black children was 23.1 (817) and for Native American children was 22.6 (73). </w:t>
      </w:r>
    </w:p>
    <w:p w:rsidR="00267528" w:rsidRPr="00267528" w:rsidRDefault="00267528" w:rsidP="00267528">
      <w:pPr>
        <w:pStyle w:val="Heading3"/>
        <w:spacing w:line="276" w:lineRule="auto"/>
        <w:rPr>
          <w:b w:val="0"/>
          <w:color w:val="auto"/>
          <w:sz w:val="2"/>
          <w:szCs w:val="16"/>
        </w:rPr>
      </w:pPr>
    </w:p>
    <w:tbl>
      <w:tblPr>
        <w:tblW w:w="9648" w:type="dxa"/>
        <w:tblBorders>
          <w:top w:val="single" w:sz="18" w:space="0" w:color="F6872B"/>
          <w:bottom w:val="single" w:sz="18" w:space="0" w:color="F6872B"/>
        </w:tblBorders>
        <w:tblLook w:val="04A0" w:firstRow="1" w:lastRow="0" w:firstColumn="1" w:lastColumn="0" w:noHBand="0" w:noVBand="1"/>
      </w:tblPr>
      <w:tblGrid>
        <w:gridCol w:w="2020"/>
        <w:gridCol w:w="2467"/>
        <w:gridCol w:w="1143"/>
        <w:gridCol w:w="4018"/>
      </w:tblGrid>
      <w:tr w:rsidR="00D86A11" w:rsidRPr="000055D1" w:rsidTr="00964CF1">
        <w:trPr>
          <w:trHeight w:val="468"/>
        </w:trPr>
        <w:tc>
          <w:tcPr>
            <w:tcW w:w="9648" w:type="dxa"/>
            <w:gridSpan w:val="4"/>
            <w:shd w:val="clear" w:color="auto" w:fill="013161"/>
          </w:tcPr>
          <w:p w:rsidR="00D86A11" w:rsidRPr="000055D1" w:rsidRDefault="00D86A11" w:rsidP="00D86A11">
            <w:pPr>
              <w:spacing w:after="0" w:line="240" w:lineRule="auto"/>
              <w:jc w:val="center"/>
              <w:rPr>
                <w:rFonts w:ascii="Calibri" w:eastAsia="Times New Roman" w:hAnsi="Calibri" w:cs="Arial"/>
                <w:b/>
                <w:bCs/>
                <w:color w:val="FFFFFF"/>
              </w:rPr>
            </w:pPr>
            <w:r>
              <w:rPr>
                <w:rFonts w:ascii="Calibri" w:hAnsi="Calibri"/>
                <w:b/>
                <w:color w:val="FFFFFF"/>
                <w:sz w:val="24"/>
              </w:rPr>
              <w:t xml:space="preserve">Exhibit 30. County of San Diego </w:t>
            </w:r>
            <w:r w:rsidRPr="00B53CA4">
              <w:rPr>
                <w:rFonts w:ascii="Calibri" w:hAnsi="Calibri"/>
                <w:b/>
                <w:color w:val="FFFFFF"/>
                <w:sz w:val="24"/>
              </w:rPr>
              <w:t>Children in Out-of-Home Care by Ethnic Group, as of July 1, 2015</w:t>
            </w:r>
          </w:p>
        </w:tc>
      </w:tr>
      <w:tr w:rsidR="00D86A11" w:rsidRPr="000055D1" w:rsidTr="00964CF1">
        <w:trPr>
          <w:trHeight w:val="307"/>
        </w:trPr>
        <w:tc>
          <w:tcPr>
            <w:tcW w:w="2020" w:type="dxa"/>
            <w:shd w:val="clear" w:color="auto" w:fill="013161"/>
            <w:vAlign w:val="center"/>
          </w:tcPr>
          <w:p w:rsidR="00D86A11" w:rsidRPr="00721EF1" w:rsidRDefault="00D86A11" w:rsidP="00D86A11">
            <w:pPr>
              <w:spacing w:after="0" w:line="240" w:lineRule="auto"/>
              <w:rPr>
                <w:rFonts w:ascii="Calibri" w:eastAsia="Times New Roman" w:hAnsi="Calibri" w:cs="Arial"/>
                <w:b/>
                <w:bCs/>
                <w:color w:val="FFFFFF"/>
              </w:rPr>
            </w:pPr>
            <w:r w:rsidRPr="00721EF1">
              <w:rPr>
                <w:rFonts w:ascii="Calibri" w:eastAsia="Times New Roman" w:hAnsi="Calibri" w:cs="Arial"/>
                <w:b/>
                <w:bCs/>
                <w:color w:val="FFFFFF"/>
              </w:rPr>
              <w:t>Ethnic Group</w:t>
            </w:r>
          </w:p>
        </w:tc>
        <w:tc>
          <w:tcPr>
            <w:tcW w:w="2467"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Total Child Population</w:t>
            </w:r>
          </w:p>
        </w:tc>
        <w:tc>
          <w:tcPr>
            <w:tcW w:w="1143"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In Care</w:t>
            </w:r>
          </w:p>
        </w:tc>
        <w:tc>
          <w:tcPr>
            <w:tcW w:w="4018"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Prevalence per 1,000 Children</w:t>
            </w:r>
          </w:p>
        </w:tc>
      </w:tr>
      <w:tr w:rsidR="00D86A11" w:rsidRPr="000055D1" w:rsidTr="00964CF1">
        <w:trPr>
          <w:trHeight w:val="307"/>
        </w:trPr>
        <w:tc>
          <w:tcPr>
            <w:tcW w:w="2020" w:type="dxa"/>
            <w:shd w:val="clear" w:color="auto" w:fill="auto"/>
          </w:tcPr>
          <w:p w:rsidR="00D86A11" w:rsidRPr="001F690D" w:rsidRDefault="00D86A11" w:rsidP="00D86A11">
            <w:pPr>
              <w:spacing w:after="0" w:line="240" w:lineRule="auto"/>
              <w:rPr>
                <w:rFonts w:ascii="Calibri" w:eastAsia="Times New Roman" w:hAnsi="Calibri" w:cs="Arial"/>
                <w:b/>
                <w:color w:val="013161"/>
                <w:sz w:val="20"/>
              </w:rPr>
            </w:pPr>
            <w:r w:rsidRPr="001F690D">
              <w:rPr>
                <w:rFonts w:ascii="Calibri" w:eastAsia="Times New Roman" w:hAnsi="Calibri" w:cs="Arial"/>
                <w:b/>
                <w:color w:val="013161"/>
                <w:sz w:val="20"/>
              </w:rPr>
              <w:t>Black</w:t>
            </w:r>
          </w:p>
        </w:tc>
        <w:tc>
          <w:tcPr>
            <w:tcW w:w="2467" w:type="dxa"/>
            <w:shd w:val="clear" w:color="auto" w:fill="auto"/>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32,934</w:t>
            </w:r>
          </w:p>
        </w:tc>
        <w:tc>
          <w:tcPr>
            <w:tcW w:w="1143" w:type="dxa"/>
            <w:shd w:val="clear" w:color="auto" w:fill="auto"/>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551</w:t>
            </w:r>
          </w:p>
        </w:tc>
        <w:tc>
          <w:tcPr>
            <w:tcW w:w="4018" w:type="dxa"/>
            <w:shd w:val="clear" w:color="auto" w:fill="auto"/>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16.7</w:t>
            </w:r>
          </w:p>
        </w:tc>
      </w:tr>
      <w:tr w:rsidR="00D86A11" w:rsidRPr="000055D1" w:rsidTr="00964CF1">
        <w:trPr>
          <w:trHeight w:val="307"/>
        </w:trPr>
        <w:tc>
          <w:tcPr>
            <w:tcW w:w="2020" w:type="dxa"/>
            <w:shd w:val="clear" w:color="auto" w:fill="DBE5F1"/>
          </w:tcPr>
          <w:p w:rsidR="00D86A11" w:rsidRPr="001F690D" w:rsidRDefault="00D86A11" w:rsidP="00D86A11">
            <w:pPr>
              <w:spacing w:after="0" w:line="240" w:lineRule="auto"/>
              <w:rPr>
                <w:rFonts w:ascii="Calibri" w:eastAsia="Times New Roman" w:hAnsi="Calibri" w:cs="Arial"/>
                <w:b/>
                <w:color w:val="013161"/>
                <w:sz w:val="20"/>
              </w:rPr>
            </w:pPr>
            <w:r w:rsidRPr="001F690D">
              <w:rPr>
                <w:rFonts w:ascii="Calibri" w:eastAsia="Times New Roman" w:hAnsi="Calibri" w:cs="Arial"/>
                <w:b/>
                <w:color w:val="013161"/>
                <w:sz w:val="20"/>
              </w:rPr>
              <w:t>White</w:t>
            </w:r>
          </w:p>
        </w:tc>
        <w:tc>
          <w:tcPr>
            <w:tcW w:w="2467" w:type="dxa"/>
            <w:shd w:val="clear" w:color="auto" w:fill="DBE5F1"/>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261,873</w:t>
            </w:r>
          </w:p>
        </w:tc>
        <w:tc>
          <w:tcPr>
            <w:tcW w:w="1143" w:type="dxa"/>
            <w:shd w:val="clear" w:color="auto" w:fill="DBE5F1"/>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713</w:t>
            </w:r>
          </w:p>
        </w:tc>
        <w:tc>
          <w:tcPr>
            <w:tcW w:w="4018" w:type="dxa"/>
            <w:shd w:val="clear" w:color="auto" w:fill="DBE5F1"/>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2.7</w:t>
            </w:r>
          </w:p>
        </w:tc>
      </w:tr>
      <w:tr w:rsidR="00D86A11" w:rsidRPr="000055D1" w:rsidTr="00964CF1">
        <w:trPr>
          <w:trHeight w:val="307"/>
        </w:trPr>
        <w:tc>
          <w:tcPr>
            <w:tcW w:w="2020" w:type="dxa"/>
            <w:shd w:val="clear" w:color="auto" w:fill="auto"/>
          </w:tcPr>
          <w:p w:rsidR="00D86A11" w:rsidRPr="001F690D" w:rsidRDefault="00D86A11" w:rsidP="00D86A11">
            <w:pPr>
              <w:spacing w:after="0" w:line="240" w:lineRule="auto"/>
              <w:rPr>
                <w:rFonts w:ascii="Calibri" w:eastAsia="Times New Roman" w:hAnsi="Calibri" w:cs="Arial"/>
                <w:b/>
                <w:color w:val="013161"/>
                <w:sz w:val="20"/>
              </w:rPr>
            </w:pPr>
            <w:r w:rsidRPr="001F690D">
              <w:rPr>
                <w:rFonts w:ascii="Calibri" w:eastAsia="Times New Roman" w:hAnsi="Calibri" w:cs="Arial"/>
                <w:b/>
                <w:color w:val="013161"/>
                <w:sz w:val="20"/>
              </w:rPr>
              <w:t>Latino</w:t>
            </w:r>
          </w:p>
        </w:tc>
        <w:tc>
          <w:tcPr>
            <w:tcW w:w="2467" w:type="dxa"/>
            <w:shd w:val="clear" w:color="auto" w:fill="auto"/>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330,214</w:t>
            </w:r>
          </w:p>
        </w:tc>
        <w:tc>
          <w:tcPr>
            <w:tcW w:w="1143" w:type="dxa"/>
            <w:shd w:val="clear" w:color="auto" w:fill="auto"/>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1,447</w:t>
            </w:r>
          </w:p>
        </w:tc>
        <w:tc>
          <w:tcPr>
            <w:tcW w:w="4018" w:type="dxa"/>
            <w:shd w:val="clear" w:color="auto" w:fill="auto"/>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4.4</w:t>
            </w:r>
          </w:p>
        </w:tc>
      </w:tr>
      <w:tr w:rsidR="00D86A11" w:rsidRPr="000055D1" w:rsidTr="00964CF1">
        <w:trPr>
          <w:trHeight w:val="307"/>
        </w:trPr>
        <w:tc>
          <w:tcPr>
            <w:tcW w:w="2020" w:type="dxa"/>
            <w:shd w:val="clear" w:color="auto" w:fill="DBE5F1"/>
          </w:tcPr>
          <w:p w:rsidR="00D86A11" w:rsidRPr="001F690D" w:rsidRDefault="00D86A11" w:rsidP="00D86A11">
            <w:pPr>
              <w:spacing w:after="0" w:line="240" w:lineRule="auto"/>
              <w:rPr>
                <w:rFonts w:ascii="Calibri" w:eastAsia="Times New Roman" w:hAnsi="Calibri" w:cs="Arial"/>
                <w:b/>
                <w:color w:val="013161"/>
                <w:sz w:val="20"/>
              </w:rPr>
            </w:pPr>
            <w:r w:rsidRPr="001F690D">
              <w:rPr>
                <w:rFonts w:ascii="Calibri" w:eastAsia="Times New Roman" w:hAnsi="Calibri" w:cs="Arial"/>
                <w:b/>
                <w:color w:val="013161"/>
                <w:sz w:val="20"/>
              </w:rPr>
              <w:t>Asian/P.I.</w:t>
            </w:r>
          </w:p>
        </w:tc>
        <w:tc>
          <w:tcPr>
            <w:tcW w:w="2467" w:type="dxa"/>
            <w:shd w:val="clear" w:color="auto" w:fill="DBE5F1"/>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68,119</w:t>
            </w:r>
          </w:p>
        </w:tc>
        <w:tc>
          <w:tcPr>
            <w:tcW w:w="1143" w:type="dxa"/>
            <w:shd w:val="clear" w:color="auto" w:fill="DBE5F1"/>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83</w:t>
            </w:r>
          </w:p>
        </w:tc>
        <w:tc>
          <w:tcPr>
            <w:tcW w:w="4018" w:type="dxa"/>
            <w:shd w:val="clear" w:color="auto" w:fill="DBE5F1"/>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1.2</w:t>
            </w:r>
          </w:p>
        </w:tc>
      </w:tr>
      <w:tr w:rsidR="00D86A11" w:rsidRPr="000055D1" w:rsidTr="00964CF1">
        <w:trPr>
          <w:trHeight w:val="307"/>
        </w:trPr>
        <w:tc>
          <w:tcPr>
            <w:tcW w:w="2020" w:type="dxa"/>
            <w:shd w:val="clear" w:color="auto" w:fill="auto"/>
          </w:tcPr>
          <w:p w:rsidR="00D86A11" w:rsidRPr="001F690D" w:rsidRDefault="00D86A11" w:rsidP="00D86A11">
            <w:pPr>
              <w:spacing w:after="0" w:line="240" w:lineRule="auto"/>
              <w:rPr>
                <w:rFonts w:ascii="Calibri" w:eastAsia="Times New Roman" w:hAnsi="Calibri" w:cs="Arial"/>
                <w:b/>
                <w:color w:val="013161"/>
                <w:sz w:val="20"/>
              </w:rPr>
            </w:pPr>
            <w:r w:rsidRPr="001F690D">
              <w:rPr>
                <w:rFonts w:ascii="Calibri" w:eastAsia="Times New Roman" w:hAnsi="Calibri" w:cs="Arial"/>
                <w:b/>
                <w:color w:val="013161"/>
                <w:sz w:val="20"/>
              </w:rPr>
              <w:t>Native American</w:t>
            </w:r>
          </w:p>
        </w:tc>
        <w:tc>
          <w:tcPr>
            <w:tcW w:w="2467" w:type="dxa"/>
            <w:shd w:val="clear" w:color="auto" w:fill="auto"/>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3,089</w:t>
            </w:r>
          </w:p>
        </w:tc>
        <w:tc>
          <w:tcPr>
            <w:tcW w:w="1143" w:type="dxa"/>
            <w:shd w:val="clear" w:color="auto" w:fill="auto"/>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56</w:t>
            </w:r>
          </w:p>
        </w:tc>
        <w:tc>
          <w:tcPr>
            <w:tcW w:w="4018" w:type="dxa"/>
            <w:shd w:val="clear" w:color="auto" w:fill="auto"/>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18.1</w:t>
            </w:r>
          </w:p>
        </w:tc>
      </w:tr>
      <w:tr w:rsidR="00D86A11" w:rsidRPr="000055D1" w:rsidTr="00964CF1">
        <w:trPr>
          <w:trHeight w:val="307"/>
        </w:trPr>
        <w:tc>
          <w:tcPr>
            <w:tcW w:w="2020" w:type="dxa"/>
            <w:shd w:val="clear" w:color="auto" w:fill="DBE5F1"/>
          </w:tcPr>
          <w:p w:rsidR="00D86A11" w:rsidRPr="001F690D" w:rsidRDefault="00D86A11" w:rsidP="00D86A11">
            <w:pPr>
              <w:spacing w:after="0" w:line="240" w:lineRule="auto"/>
              <w:rPr>
                <w:rFonts w:ascii="Calibri" w:eastAsia="Times New Roman" w:hAnsi="Calibri" w:cs="Arial"/>
                <w:b/>
                <w:color w:val="013161"/>
                <w:sz w:val="20"/>
              </w:rPr>
            </w:pPr>
            <w:r w:rsidRPr="001F690D">
              <w:rPr>
                <w:rFonts w:ascii="Calibri" w:eastAsia="Times New Roman" w:hAnsi="Calibri" w:cs="Arial"/>
                <w:b/>
                <w:color w:val="013161"/>
                <w:sz w:val="20"/>
              </w:rPr>
              <w:t>Multi-Race</w:t>
            </w:r>
          </w:p>
        </w:tc>
        <w:tc>
          <w:tcPr>
            <w:tcW w:w="2467" w:type="dxa"/>
            <w:shd w:val="clear" w:color="auto" w:fill="DBE5F1"/>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42,138</w:t>
            </w:r>
          </w:p>
        </w:tc>
        <w:tc>
          <w:tcPr>
            <w:tcW w:w="1143" w:type="dxa"/>
            <w:shd w:val="clear" w:color="auto" w:fill="DBE5F1"/>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0</w:t>
            </w:r>
          </w:p>
        </w:tc>
        <w:tc>
          <w:tcPr>
            <w:tcW w:w="4018" w:type="dxa"/>
            <w:shd w:val="clear" w:color="auto" w:fill="DBE5F1"/>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0</w:t>
            </w:r>
          </w:p>
        </w:tc>
      </w:tr>
      <w:tr w:rsidR="00D86A11" w:rsidRPr="000055D1" w:rsidTr="00964CF1">
        <w:trPr>
          <w:trHeight w:val="307"/>
        </w:trPr>
        <w:tc>
          <w:tcPr>
            <w:tcW w:w="2020" w:type="dxa"/>
            <w:shd w:val="clear" w:color="auto" w:fill="auto"/>
          </w:tcPr>
          <w:p w:rsidR="00D86A11" w:rsidRPr="001F690D" w:rsidRDefault="00D86A11" w:rsidP="00D86A11">
            <w:pPr>
              <w:spacing w:after="0" w:line="240" w:lineRule="auto"/>
              <w:rPr>
                <w:rFonts w:ascii="Calibri" w:eastAsia="Times New Roman" w:hAnsi="Calibri" w:cs="Arial"/>
                <w:b/>
                <w:color w:val="013161"/>
                <w:sz w:val="20"/>
              </w:rPr>
            </w:pPr>
            <w:r w:rsidRPr="001F690D">
              <w:rPr>
                <w:rFonts w:ascii="Calibri" w:eastAsia="Times New Roman" w:hAnsi="Calibri" w:cs="Arial"/>
                <w:b/>
                <w:color w:val="013161"/>
                <w:sz w:val="20"/>
              </w:rPr>
              <w:t>Missing</w:t>
            </w:r>
          </w:p>
        </w:tc>
        <w:tc>
          <w:tcPr>
            <w:tcW w:w="2467" w:type="dxa"/>
            <w:shd w:val="clear" w:color="auto" w:fill="auto"/>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w:t>
            </w:r>
          </w:p>
        </w:tc>
        <w:tc>
          <w:tcPr>
            <w:tcW w:w="1143" w:type="dxa"/>
            <w:shd w:val="clear" w:color="auto" w:fill="auto"/>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w:t>
            </w:r>
          </w:p>
        </w:tc>
        <w:tc>
          <w:tcPr>
            <w:tcW w:w="4018" w:type="dxa"/>
            <w:shd w:val="clear" w:color="auto" w:fill="auto"/>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w:t>
            </w:r>
          </w:p>
        </w:tc>
      </w:tr>
      <w:tr w:rsidR="00D86A11" w:rsidRPr="000055D1" w:rsidTr="00964CF1">
        <w:trPr>
          <w:trHeight w:val="307"/>
        </w:trPr>
        <w:tc>
          <w:tcPr>
            <w:tcW w:w="2020" w:type="dxa"/>
            <w:shd w:val="clear" w:color="auto" w:fill="DBE5F1"/>
          </w:tcPr>
          <w:p w:rsidR="00D86A11" w:rsidRPr="001F690D" w:rsidRDefault="00D86A11" w:rsidP="00D86A11">
            <w:pPr>
              <w:spacing w:after="0" w:line="240" w:lineRule="auto"/>
              <w:rPr>
                <w:rFonts w:ascii="Calibri" w:eastAsia="Times New Roman" w:hAnsi="Calibri" w:cs="Arial"/>
                <w:b/>
                <w:color w:val="013161"/>
                <w:sz w:val="20"/>
              </w:rPr>
            </w:pPr>
            <w:r w:rsidRPr="001F690D">
              <w:rPr>
                <w:rFonts w:ascii="Calibri" w:eastAsia="Times New Roman" w:hAnsi="Calibri" w:cs="Arial"/>
                <w:b/>
                <w:color w:val="013161"/>
                <w:sz w:val="20"/>
              </w:rPr>
              <w:t>Total</w:t>
            </w:r>
          </w:p>
        </w:tc>
        <w:tc>
          <w:tcPr>
            <w:tcW w:w="2467" w:type="dxa"/>
            <w:shd w:val="clear" w:color="auto" w:fill="DBE5F1"/>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738,367</w:t>
            </w:r>
          </w:p>
        </w:tc>
        <w:tc>
          <w:tcPr>
            <w:tcW w:w="1143" w:type="dxa"/>
            <w:shd w:val="clear" w:color="auto" w:fill="DBE5F1"/>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2,850</w:t>
            </w:r>
          </w:p>
        </w:tc>
        <w:tc>
          <w:tcPr>
            <w:tcW w:w="4018" w:type="dxa"/>
            <w:shd w:val="clear" w:color="auto" w:fill="DBE5F1"/>
          </w:tcPr>
          <w:p w:rsidR="00D86A11" w:rsidRPr="001F690D" w:rsidRDefault="00D86A11" w:rsidP="00D86A11">
            <w:pPr>
              <w:spacing w:after="0" w:line="240" w:lineRule="auto"/>
              <w:jc w:val="center"/>
              <w:rPr>
                <w:rFonts w:ascii="Calibri" w:eastAsia="Times New Roman" w:hAnsi="Calibri" w:cs="Arial"/>
                <w:b/>
                <w:color w:val="013161"/>
                <w:sz w:val="20"/>
              </w:rPr>
            </w:pPr>
            <w:r w:rsidRPr="001F690D">
              <w:rPr>
                <w:rFonts w:ascii="Calibri" w:eastAsia="Times New Roman" w:hAnsi="Calibri" w:cs="Arial"/>
                <w:b/>
                <w:color w:val="013161"/>
                <w:sz w:val="20"/>
              </w:rPr>
              <w:t>3.9</w:t>
            </w:r>
          </w:p>
        </w:tc>
      </w:tr>
    </w:tbl>
    <w:p w:rsidR="00267528" w:rsidRPr="00267528" w:rsidRDefault="00267528" w:rsidP="00D86A11">
      <w:pPr>
        <w:pStyle w:val="Heading3"/>
        <w:spacing w:line="276" w:lineRule="auto"/>
        <w:rPr>
          <w:b w:val="0"/>
          <w:color w:val="auto"/>
          <w:sz w:val="2"/>
          <w:szCs w:val="16"/>
        </w:rPr>
      </w:pPr>
    </w:p>
    <w:p w:rsidR="00D86A11" w:rsidRDefault="00D86A11" w:rsidP="00D86A11">
      <w:pPr>
        <w:pStyle w:val="Heading3"/>
        <w:spacing w:line="276" w:lineRule="auto"/>
        <w:rPr>
          <w:b w:val="0"/>
          <w:color w:val="auto"/>
          <w:sz w:val="22"/>
        </w:rPr>
      </w:pPr>
      <w:r>
        <w:rPr>
          <w:b w:val="0"/>
          <w:color w:val="auto"/>
          <w:sz w:val="22"/>
        </w:rPr>
        <w:t>Exhibit 31</w:t>
      </w:r>
      <w:r w:rsidR="00267528">
        <w:rPr>
          <w:b w:val="0"/>
          <w:color w:val="auto"/>
          <w:sz w:val="22"/>
        </w:rPr>
        <w:t xml:space="preserve"> (next page)</w:t>
      </w:r>
      <w:r>
        <w:rPr>
          <w:b w:val="0"/>
          <w:color w:val="auto"/>
          <w:sz w:val="22"/>
        </w:rPr>
        <w:t xml:space="preserve"> </w:t>
      </w:r>
      <w:r w:rsidRPr="003D7A86">
        <w:rPr>
          <w:b w:val="0"/>
          <w:color w:val="auto"/>
          <w:sz w:val="22"/>
        </w:rPr>
        <w:t xml:space="preserve">shows that as of January 1, 2016, 41% of children with an open case were receiving Permanent Placement services, 26.2% were in Family Reunification services, 20.1% were receiving Family Maintenance services (no placement and post-placement combined), and 10.8% were receiving Supportive Transition services (extended foster care for 18-21 year olds). </w:t>
      </w:r>
    </w:p>
    <w:p w:rsidR="00267528" w:rsidRDefault="00267528" w:rsidP="00267528"/>
    <w:p w:rsidR="00267528" w:rsidRDefault="00267528" w:rsidP="00267528"/>
    <w:p w:rsidR="00267528" w:rsidRDefault="00267528" w:rsidP="00267528"/>
    <w:p w:rsidR="00267528" w:rsidRDefault="00267528" w:rsidP="00267528"/>
    <w:p w:rsidR="00267528" w:rsidRDefault="00267528" w:rsidP="00267528"/>
    <w:p w:rsidR="00267528" w:rsidRPr="00267528" w:rsidRDefault="00267528" w:rsidP="00267528"/>
    <w:tbl>
      <w:tblPr>
        <w:tblW w:w="9648" w:type="dxa"/>
        <w:tblBorders>
          <w:top w:val="single" w:sz="18" w:space="0" w:color="F6872B"/>
          <w:bottom w:val="single" w:sz="18" w:space="0" w:color="F6872B"/>
        </w:tblBorders>
        <w:tblLook w:val="04A0" w:firstRow="1" w:lastRow="0" w:firstColumn="1" w:lastColumn="0" w:noHBand="0" w:noVBand="1"/>
      </w:tblPr>
      <w:tblGrid>
        <w:gridCol w:w="2386"/>
        <w:gridCol w:w="1000"/>
        <w:gridCol w:w="952"/>
        <w:gridCol w:w="763"/>
        <w:gridCol w:w="1152"/>
        <w:gridCol w:w="1145"/>
        <w:gridCol w:w="771"/>
        <w:gridCol w:w="1479"/>
      </w:tblGrid>
      <w:tr w:rsidR="00D86A11" w:rsidRPr="003E2E3F" w:rsidTr="00267528">
        <w:trPr>
          <w:trHeight w:val="654"/>
        </w:trPr>
        <w:tc>
          <w:tcPr>
            <w:tcW w:w="9648" w:type="dxa"/>
            <w:gridSpan w:val="8"/>
            <w:tcBorders>
              <w:bottom w:val="nil"/>
            </w:tcBorders>
            <w:shd w:val="clear" w:color="auto" w:fill="013161"/>
            <w:noWrap/>
          </w:tcPr>
          <w:p w:rsidR="00D86A11" w:rsidRPr="00B53CA4" w:rsidRDefault="00D86A11" w:rsidP="00D86A11">
            <w:pPr>
              <w:spacing w:after="0"/>
              <w:jc w:val="center"/>
              <w:rPr>
                <w:rFonts w:ascii="Calibri" w:hAnsi="Calibri"/>
                <w:b/>
                <w:color w:val="FFFFFF"/>
                <w:sz w:val="24"/>
              </w:rPr>
            </w:pPr>
            <w:r>
              <w:rPr>
                <w:rFonts w:ascii="Calibri" w:hAnsi="Calibri"/>
                <w:b/>
                <w:color w:val="FFFFFF"/>
                <w:sz w:val="24"/>
              </w:rPr>
              <w:t xml:space="preserve">Exhibit 31. County of San Diego </w:t>
            </w:r>
            <w:r w:rsidRPr="00B53CA4">
              <w:rPr>
                <w:rFonts w:ascii="Calibri" w:hAnsi="Calibri"/>
                <w:b/>
                <w:color w:val="FFFFFF"/>
                <w:sz w:val="24"/>
              </w:rPr>
              <w:t>Children with Open Cases by Service</w:t>
            </w:r>
            <w:r>
              <w:rPr>
                <w:rFonts w:ascii="Calibri" w:hAnsi="Calibri"/>
                <w:b/>
                <w:color w:val="FFFFFF"/>
                <w:sz w:val="24"/>
              </w:rPr>
              <w:t xml:space="preserve"> Component and Voluntary Status </w:t>
            </w:r>
            <w:r w:rsidRPr="00B53CA4">
              <w:rPr>
                <w:rFonts w:ascii="Calibri" w:hAnsi="Calibri"/>
                <w:b/>
                <w:color w:val="FFFFFF"/>
                <w:sz w:val="24"/>
              </w:rPr>
              <w:t>as of January 1, 2016</w:t>
            </w:r>
          </w:p>
        </w:tc>
      </w:tr>
      <w:tr w:rsidR="00D86A11" w:rsidRPr="003E2E3F" w:rsidTr="00267528">
        <w:trPr>
          <w:trHeight w:val="360"/>
        </w:trPr>
        <w:tc>
          <w:tcPr>
            <w:tcW w:w="2386" w:type="dxa"/>
            <w:tcBorders>
              <w:top w:val="nil"/>
              <w:left w:val="nil"/>
              <w:bottom w:val="nil"/>
              <w:right w:val="nil"/>
            </w:tcBorders>
            <w:shd w:val="clear" w:color="auto" w:fill="013161"/>
            <w:noWrap/>
            <w:vAlign w:val="center"/>
          </w:tcPr>
          <w:p w:rsidR="00D86A11" w:rsidRPr="00721EF1" w:rsidRDefault="00D86A11" w:rsidP="00D86A11">
            <w:pPr>
              <w:spacing w:after="0" w:line="240" w:lineRule="auto"/>
              <w:rPr>
                <w:rFonts w:ascii="Calibri" w:eastAsia="Times New Roman" w:hAnsi="Calibri"/>
                <w:b/>
                <w:color w:val="FFFFFF"/>
              </w:rPr>
            </w:pPr>
            <w:r w:rsidRPr="00721EF1">
              <w:rPr>
                <w:rFonts w:ascii="Calibri" w:eastAsia="Times New Roman" w:hAnsi="Calibri"/>
                <w:b/>
                <w:color w:val="FFFFFF"/>
              </w:rPr>
              <w:t>Service Component</w:t>
            </w:r>
          </w:p>
        </w:tc>
        <w:tc>
          <w:tcPr>
            <w:tcW w:w="1952" w:type="dxa"/>
            <w:gridSpan w:val="2"/>
            <w:tcBorders>
              <w:top w:val="nil"/>
              <w:left w:val="nil"/>
              <w:bottom w:val="nil"/>
              <w:right w:val="nil"/>
            </w:tcBorders>
            <w:shd w:val="clear" w:color="auto" w:fill="013161"/>
            <w:vAlign w:val="center"/>
          </w:tcPr>
          <w:p w:rsidR="00D86A11" w:rsidRPr="00721EF1" w:rsidRDefault="00D86A11" w:rsidP="00D86A11">
            <w:pPr>
              <w:spacing w:after="0" w:line="240" w:lineRule="auto"/>
              <w:jc w:val="center"/>
              <w:rPr>
                <w:rFonts w:ascii="Calibri" w:eastAsia="Times New Roman" w:hAnsi="Calibri"/>
                <w:b/>
                <w:color w:val="FFFFFF"/>
              </w:rPr>
            </w:pPr>
            <w:r w:rsidRPr="00721EF1">
              <w:rPr>
                <w:rFonts w:ascii="Calibri" w:eastAsia="Times New Roman" w:hAnsi="Calibri"/>
                <w:b/>
                <w:color w:val="FFFFFF"/>
              </w:rPr>
              <w:t>Court Ordered</w:t>
            </w:r>
          </w:p>
        </w:tc>
        <w:tc>
          <w:tcPr>
            <w:tcW w:w="1915" w:type="dxa"/>
            <w:gridSpan w:val="2"/>
            <w:tcBorders>
              <w:top w:val="nil"/>
              <w:left w:val="nil"/>
              <w:bottom w:val="nil"/>
              <w:right w:val="nil"/>
            </w:tcBorders>
            <w:shd w:val="clear" w:color="auto" w:fill="013161"/>
            <w:noWrap/>
            <w:vAlign w:val="center"/>
          </w:tcPr>
          <w:p w:rsidR="00D86A11" w:rsidRPr="00721EF1" w:rsidRDefault="00D86A11" w:rsidP="00D86A11">
            <w:pPr>
              <w:spacing w:after="0" w:line="240" w:lineRule="auto"/>
              <w:rPr>
                <w:rFonts w:ascii="Calibri" w:eastAsia="Times New Roman" w:hAnsi="Calibri"/>
                <w:b/>
                <w:color w:val="FFFFFF"/>
              </w:rPr>
            </w:pPr>
            <w:r w:rsidRPr="00721EF1">
              <w:rPr>
                <w:rFonts w:ascii="Calibri" w:eastAsia="Times New Roman" w:hAnsi="Calibri"/>
                <w:b/>
                <w:color w:val="FFFFFF"/>
              </w:rPr>
              <w:t xml:space="preserve">     Voluntary</w:t>
            </w:r>
          </w:p>
        </w:tc>
        <w:tc>
          <w:tcPr>
            <w:tcW w:w="1145" w:type="dxa"/>
            <w:tcBorders>
              <w:top w:val="nil"/>
              <w:left w:val="nil"/>
              <w:bottom w:val="nil"/>
              <w:right w:val="nil"/>
            </w:tcBorders>
            <w:shd w:val="clear" w:color="auto" w:fill="013161"/>
            <w:noWrap/>
            <w:vAlign w:val="center"/>
          </w:tcPr>
          <w:p w:rsidR="00D86A11" w:rsidRPr="00721EF1" w:rsidRDefault="00D86A11" w:rsidP="00D86A11">
            <w:pPr>
              <w:spacing w:after="0" w:line="240" w:lineRule="auto"/>
              <w:jc w:val="center"/>
              <w:rPr>
                <w:rFonts w:ascii="Calibri" w:eastAsia="Times New Roman" w:hAnsi="Calibri"/>
                <w:b/>
                <w:color w:val="FFFFFF"/>
              </w:rPr>
            </w:pPr>
            <w:r w:rsidRPr="00721EF1">
              <w:rPr>
                <w:rFonts w:ascii="Calibri" w:eastAsia="Times New Roman" w:hAnsi="Calibri"/>
                <w:b/>
                <w:color w:val="FFFFFF"/>
              </w:rPr>
              <w:t>Missing</w:t>
            </w:r>
          </w:p>
        </w:tc>
        <w:tc>
          <w:tcPr>
            <w:tcW w:w="2250" w:type="dxa"/>
            <w:gridSpan w:val="2"/>
            <w:tcBorders>
              <w:top w:val="nil"/>
              <w:left w:val="nil"/>
              <w:bottom w:val="nil"/>
              <w:right w:val="nil"/>
            </w:tcBorders>
            <w:shd w:val="clear" w:color="auto" w:fill="013161"/>
            <w:noWrap/>
            <w:vAlign w:val="center"/>
          </w:tcPr>
          <w:p w:rsidR="00D86A11" w:rsidRPr="00721EF1" w:rsidRDefault="00D86A11" w:rsidP="00D86A11">
            <w:pPr>
              <w:spacing w:after="0" w:line="240" w:lineRule="auto"/>
              <w:rPr>
                <w:rFonts w:ascii="Calibri" w:eastAsia="Times New Roman" w:hAnsi="Calibri"/>
                <w:b/>
                <w:color w:val="FFFFFF"/>
              </w:rPr>
            </w:pPr>
            <w:r w:rsidRPr="00721EF1">
              <w:rPr>
                <w:rFonts w:ascii="Calibri" w:eastAsia="Times New Roman" w:hAnsi="Calibri"/>
                <w:b/>
                <w:color w:val="FFFFFF"/>
              </w:rPr>
              <w:t xml:space="preserve">         Total</w:t>
            </w:r>
          </w:p>
        </w:tc>
      </w:tr>
      <w:tr w:rsidR="00D86A11" w:rsidRPr="003E2E3F" w:rsidTr="00267528">
        <w:trPr>
          <w:trHeight w:val="304"/>
        </w:trPr>
        <w:tc>
          <w:tcPr>
            <w:tcW w:w="2386" w:type="dxa"/>
            <w:tcBorders>
              <w:top w:val="nil"/>
              <w:left w:val="nil"/>
              <w:bottom w:val="nil"/>
              <w:right w:val="nil"/>
            </w:tcBorders>
            <w:shd w:val="clear" w:color="auto" w:fill="013161"/>
            <w:noWrap/>
          </w:tcPr>
          <w:p w:rsidR="00D86A11" w:rsidRPr="00721EF1" w:rsidRDefault="00D86A11" w:rsidP="00D86A11">
            <w:pPr>
              <w:spacing w:after="0" w:line="240" w:lineRule="auto"/>
              <w:rPr>
                <w:rFonts w:ascii="Calibri" w:eastAsia="Times New Roman" w:hAnsi="Calibri"/>
                <w:color w:val="FFFFFF"/>
              </w:rPr>
            </w:pPr>
            <w:r w:rsidRPr="00721EF1">
              <w:rPr>
                <w:rFonts w:ascii="Calibri" w:eastAsia="Times New Roman" w:hAnsi="Calibri"/>
                <w:color w:val="FFFFFF"/>
              </w:rPr>
              <w:t> </w:t>
            </w:r>
          </w:p>
        </w:tc>
        <w:tc>
          <w:tcPr>
            <w:tcW w:w="1000" w:type="dxa"/>
            <w:tcBorders>
              <w:top w:val="nil"/>
              <w:left w:val="nil"/>
              <w:bottom w:val="nil"/>
              <w:right w:val="nil"/>
            </w:tcBorders>
            <w:shd w:val="clear" w:color="auto" w:fill="013161"/>
            <w:noWrap/>
          </w:tcPr>
          <w:p w:rsidR="00D86A11" w:rsidRPr="00721EF1" w:rsidRDefault="00D86A11" w:rsidP="00D86A11">
            <w:pPr>
              <w:spacing w:after="0" w:line="240" w:lineRule="auto"/>
              <w:jc w:val="center"/>
              <w:rPr>
                <w:rFonts w:ascii="Calibri" w:eastAsia="Times New Roman" w:hAnsi="Calibri"/>
                <w:b/>
                <w:color w:val="FFFFFF"/>
              </w:rPr>
            </w:pPr>
            <w:r w:rsidRPr="00721EF1">
              <w:rPr>
                <w:rFonts w:ascii="Calibri" w:eastAsia="Times New Roman" w:hAnsi="Calibri"/>
                <w:b/>
                <w:color w:val="FFFFFF"/>
              </w:rPr>
              <w:t>n</w:t>
            </w:r>
          </w:p>
        </w:tc>
        <w:tc>
          <w:tcPr>
            <w:tcW w:w="952" w:type="dxa"/>
            <w:tcBorders>
              <w:top w:val="nil"/>
              <w:left w:val="nil"/>
              <w:bottom w:val="nil"/>
              <w:right w:val="nil"/>
            </w:tcBorders>
            <w:shd w:val="clear" w:color="auto" w:fill="013161"/>
            <w:noWrap/>
          </w:tcPr>
          <w:p w:rsidR="00D86A11" w:rsidRPr="00721EF1" w:rsidRDefault="00D86A11" w:rsidP="00D86A11">
            <w:pPr>
              <w:spacing w:after="0" w:line="240" w:lineRule="auto"/>
              <w:jc w:val="center"/>
              <w:rPr>
                <w:rFonts w:ascii="Calibri" w:eastAsia="Times New Roman" w:hAnsi="Calibri"/>
                <w:b/>
                <w:color w:val="FFFFFF"/>
              </w:rPr>
            </w:pPr>
            <w:r w:rsidRPr="00721EF1">
              <w:rPr>
                <w:rFonts w:ascii="Calibri" w:eastAsia="Times New Roman" w:hAnsi="Calibri"/>
                <w:b/>
                <w:color w:val="FFFFFF"/>
              </w:rPr>
              <w:t>%</w:t>
            </w:r>
          </w:p>
        </w:tc>
        <w:tc>
          <w:tcPr>
            <w:tcW w:w="763" w:type="dxa"/>
            <w:tcBorders>
              <w:top w:val="nil"/>
              <w:left w:val="nil"/>
              <w:bottom w:val="nil"/>
              <w:right w:val="nil"/>
            </w:tcBorders>
            <w:shd w:val="clear" w:color="auto" w:fill="013161"/>
            <w:noWrap/>
          </w:tcPr>
          <w:p w:rsidR="00D86A11" w:rsidRPr="00721EF1" w:rsidRDefault="009103E6" w:rsidP="00D86A11">
            <w:pPr>
              <w:spacing w:after="0" w:line="240" w:lineRule="auto"/>
              <w:jc w:val="center"/>
              <w:rPr>
                <w:rFonts w:ascii="Calibri" w:eastAsia="Times New Roman" w:hAnsi="Calibri"/>
                <w:b/>
                <w:color w:val="FFFFFF"/>
              </w:rPr>
            </w:pPr>
            <w:r w:rsidRPr="00721EF1">
              <w:rPr>
                <w:rFonts w:ascii="Calibri" w:eastAsia="Times New Roman" w:hAnsi="Calibri"/>
                <w:b/>
                <w:color w:val="FFFFFF"/>
              </w:rPr>
              <w:t>N</w:t>
            </w:r>
          </w:p>
        </w:tc>
        <w:tc>
          <w:tcPr>
            <w:tcW w:w="1152" w:type="dxa"/>
            <w:tcBorders>
              <w:top w:val="nil"/>
              <w:left w:val="nil"/>
              <w:bottom w:val="nil"/>
              <w:right w:val="nil"/>
            </w:tcBorders>
            <w:shd w:val="clear" w:color="auto" w:fill="013161"/>
            <w:noWrap/>
          </w:tcPr>
          <w:p w:rsidR="00D86A11" w:rsidRPr="00721EF1" w:rsidRDefault="00D86A11" w:rsidP="00D86A11">
            <w:pPr>
              <w:spacing w:after="0" w:line="240" w:lineRule="auto"/>
              <w:jc w:val="center"/>
              <w:rPr>
                <w:rFonts w:ascii="Calibri" w:eastAsia="Times New Roman" w:hAnsi="Calibri"/>
                <w:b/>
                <w:color w:val="FFFFFF"/>
              </w:rPr>
            </w:pPr>
            <w:r w:rsidRPr="00721EF1">
              <w:rPr>
                <w:rFonts w:ascii="Calibri" w:eastAsia="Times New Roman" w:hAnsi="Calibri"/>
                <w:b/>
                <w:color w:val="FFFFFF"/>
              </w:rPr>
              <w:t>%</w:t>
            </w:r>
          </w:p>
        </w:tc>
        <w:tc>
          <w:tcPr>
            <w:tcW w:w="1145" w:type="dxa"/>
            <w:tcBorders>
              <w:top w:val="nil"/>
              <w:left w:val="nil"/>
              <w:bottom w:val="nil"/>
              <w:right w:val="nil"/>
            </w:tcBorders>
            <w:shd w:val="clear" w:color="auto" w:fill="013161"/>
            <w:noWrap/>
          </w:tcPr>
          <w:p w:rsidR="00D86A11" w:rsidRPr="00721EF1" w:rsidRDefault="00D86A11" w:rsidP="00D86A11">
            <w:pPr>
              <w:spacing w:after="0" w:line="240" w:lineRule="auto"/>
              <w:jc w:val="center"/>
              <w:rPr>
                <w:rFonts w:ascii="Calibri" w:eastAsia="Times New Roman" w:hAnsi="Calibri"/>
                <w:b/>
                <w:color w:val="FFFFFF"/>
              </w:rPr>
            </w:pPr>
            <w:r w:rsidRPr="00721EF1">
              <w:rPr>
                <w:rFonts w:ascii="Calibri" w:eastAsia="Times New Roman" w:hAnsi="Calibri"/>
                <w:b/>
                <w:color w:val="FFFFFF"/>
              </w:rPr>
              <w:t>n</w:t>
            </w:r>
          </w:p>
        </w:tc>
        <w:tc>
          <w:tcPr>
            <w:tcW w:w="771" w:type="dxa"/>
            <w:tcBorders>
              <w:top w:val="nil"/>
              <w:left w:val="nil"/>
              <w:bottom w:val="nil"/>
              <w:right w:val="nil"/>
            </w:tcBorders>
            <w:shd w:val="clear" w:color="auto" w:fill="013161"/>
            <w:noWrap/>
          </w:tcPr>
          <w:p w:rsidR="00D86A11" w:rsidRPr="00721EF1" w:rsidRDefault="00D86A11" w:rsidP="00D86A11">
            <w:pPr>
              <w:spacing w:after="0" w:line="240" w:lineRule="auto"/>
              <w:jc w:val="center"/>
              <w:rPr>
                <w:rFonts w:ascii="Calibri" w:eastAsia="Times New Roman" w:hAnsi="Calibri"/>
                <w:b/>
                <w:color w:val="FFFFFF"/>
              </w:rPr>
            </w:pPr>
            <w:r w:rsidRPr="00721EF1">
              <w:rPr>
                <w:rFonts w:ascii="Calibri" w:eastAsia="Times New Roman" w:hAnsi="Calibri"/>
                <w:b/>
                <w:color w:val="FFFFFF"/>
              </w:rPr>
              <w:t>n</w:t>
            </w:r>
          </w:p>
        </w:tc>
        <w:tc>
          <w:tcPr>
            <w:tcW w:w="1479" w:type="dxa"/>
            <w:tcBorders>
              <w:top w:val="nil"/>
              <w:left w:val="nil"/>
              <w:bottom w:val="nil"/>
              <w:right w:val="nil"/>
            </w:tcBorders>
            <w:shd w:val="clear" w:color="auto" w:fill="013161"/>
            <w:noWrap/>
          </w:tcPr>
          <w:p w:rsidR="00D86A11" w:rsidRPr="00721EF1" w:rsidRDefault="00D86A11" w:rsidP="00D86A11">
            <w:pPr>
              <w:spacing w:after="0" w:line="240" w:lineRule="auto"/>
              <w:jc w:val="center"/>
              <w:rPr>
                <w:rFonts w:ascii="Calibri" w:eastAsia="Times New Roman" w:hAnsi="Calibri"/>
                <w:b/>
                <w:color w:val="FFFFFF"/>
              </w:rPr>
            </w:pPr>
            <w:r w:rsidRPr="00721EF1">
              <w:rPr>
                <w:rFonts w:ascii="Calibri" w:eastAsia="Times New Roman" w:hAnsi="Calibri"/>
                <w:b/>
                <w:color w:val="FFFFFF"/>
              </w:rPr>
              <w:t>%</w:t>
            </w:r>
          </w:p>
        </w:tc>
      </w:tr>
      <w:tr w:rsidR="00D86A11" w:rsidRPr="003E2E3F" w:rsidTr="00267528">
        <w:trPr>
          <w:trHeight w:val="304"/>
        </w:trPr>
        <w:tc>
          <w:tcPr>
            <w:tcW w:w="2386" w:type="dxa"/>
            <w:tcBorders>
              <w:top w:val="nil"/>
              <w:left w:val="nil"/>
              <w:bottom w:val="nil"/>
              <w:right w:val="nil"/>
            </w:tcBorders>
            <w:shd w:val="clear" w:color="auto" w:fill="DBE5F1"/>
            <w:noWrap/>
          </w:tcPr>
          <w:p w:rsidR="00D86A11" w:rsidRPr="00C51502" w:rsidRDefault="00D86A11" w:rsidP="00D86A11">
            <w:pPr>
              <w:spacing w:after="0" w:line="240" w:lineRule="auto"/>
              <w:rPr>
                <w:rFonts w:ascii="Calibri" w:eastAsia="Times New Roman" w:hAnsi="Calibri"/>
                <w:b/>
                <w:color w:val="013161"/>
                <w:sz w:val="20"/>
              </w:rPr>
            </w:pPr>
            <w:r w:rsidRPr="00C51502">
              <w:rPr>
                <w:rFonts w:ascii="Calibri" w:eastAsia="Times New Roman" w:hAnsi="Calibri"/>
                <w:b/>
                <w:color w:val="013161"/>
                <w:sz w:val="20"/>
              </w:rPr>
              <w:t>Emergency Response</w:t>
            </w:r>
          </w:p>
        </w:tc>
        <w:tc>
          <w:tcPr>
            <w:tcW w:w="1000"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4</w:t>
            </w:r>
          </w:p>
        </w:tc>
        <w:tc>
          <w:tcPr>
            <w:tcW w:w="952"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0.1</w:t>
            </w:r>
          </w:p>
        </w:tc>
        <w:tc>
          <w:tcPr>
            <w:tcW w:w="763"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2</w:t>
            </w:r>
          </w:p>
        </w:tc>
        <w:tc>
          <w:tcPr>
            <w:tcW w:w="1152"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0.3</w:t>
            </w:r>
          </w:p>
        </w:tc>
        <w:tc>
          <w:tcPr>
            <w:tcW w:w="1145"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75</w:t>
            </w:r>
          </w:p>
        </w:tc>
        <w:tc>
          <w:tcPr>
            <w:tcW w:w="771"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81</w:t>
            </w:r>
          </w:p>
        </w:tc>
        <w:tc>
          <w:tcPr>
            <w:tcW w:w="1479"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1.9</w:t>
            </w:r>
          </w:p>
        </w:tc>
      </w:tr>
      <w:tr w:rsidR="00D86A11" w:rsidRPr="003E2E3F" w:rsidTr="00267528">
        <w:trPr>
          <w:trHeight w:val="304"/>
        </w:trPr>
        <w:tc>
          <w:tcPr>
            <w:tcW w:w="2386" w:type="dxa"/>
            <w:tcBorders>
              <w:top w:val="nil"/>
              <w:left w:val="nil"/>
              <w:bottom w:val="nil"/>
              <w:right w:val="nil"/>
            </w:tcBorders>
            <w:shd w:val="clear" w:color="auto" w:fill="auto"/>
            <w:noWrap/>
          </w:tcPr>
          <w:p w:rsidR="00D86A11" w:rsidRPr="00C51502" w:rsidRDefault="00D86A11" w:rsidP="00D86A11">
            <w:pPr>
              <w:spacing w:after="0" w:line="240" w:lineRule="auto"/>
              <w:rPr>
                <w:rFonts w:ascii="Calibri" w:eastAsia="Times New Roman" w:hAnsi="Calibri"/>
                <w:b/>
                <w:color w:val="013161"/>
                <w:sz w:val="20"/>
              </w:rPr>
            </w:pPr>
            <w:r w:rsidRPr="00C51502">
              <w:rPr>
                <w:rFonts w:ascii="Calibri" w:eastAsia="Times New Roman" w:hAnsi="Calibri"/>
                <w:b/>
                <w:color w:val="013161"/>
                <w:sz w:val="20"/>
              </w:rPr>
              <w:t>No Placement FM</w:t>
            </w:r>
          </w:p>
        </w:tc>
        <w:tc>
          <w:tcPr>
            <w:tcW w:w="1000"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115</w:t>
            </w:r>
          </w:p>
        </w:tc>
        <w:tc>
          <w:tcPr>
            <w:tcW w:w="952"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3.3</w:t>
            </w:r>
          </w:p>
        </w:tc>
        <w:tc>
          <w:tcPr>
            <w:tcW w:w="763"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415</w:t>
            </w:r>
          </w:p>
        </w:tc>
        <w:tc>
          <w:tcPr>
            <w:tcW w:w="1152"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54.8</w:t>
            </w:r>
          </w:p>
        </w:tc>
        <w:tc>
          <w:tcPr>
            <w:tcW w:w="1145"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w:t>
            </w:r>
          </w:p>
        </w:tc>
        <w:tc>
          <w:tcPr>
            <w:tcW w:w="771"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530</w:t>
            </w:r>
          </w:p>
        </w:tc>
        <w:tc>
          <w:tcPr>
            <w:tcW w:w="1479"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12.3</w:t>
            </w:r>
          </w:p>
        </w:tc>
      </w:tr>
      <w:tr w:rsidR="00D86A11" w:rsidRPr="003E2E3F" w:rsidTr="00267528">
        <w:trPr>
          <w:trHeight w:val="304"/>
        </w:trPr>
        <w:tc>
          <w:tcPr>
            <w:tcW w:w="2386" w:type="dxa"/>
            <w:tcBorders>
              <w:top w:val="nil"/>
              <w:left w:val="nil"/>
              <w:bottom w:val="nil"/>
              <w:right w:val="nil"/>
            </w:tcBorders>
            <w:shd w:val="clear" w:color="auto" w:fill="DBE5F1"/>
            <w:noWrap/>
          </w:tcPr>
          <w:p w:rsidR="00D86A11" w:rsidRPr="00C51502" w:rsidRDefault="00D86A11" w:rsidP="00D86A11">
            <w:pPr>
              <w:spacing w:after="0" w:line="240" w:lineRule="auto"/>
              <w:rPr>
                <w:rFonts w:ascii="Calibri" w:eastAsia="Times New Roman" w:hAnsi="Calibri"/>
                <w:b/>
                <w:color w:val="013161"/>
                <w:sz w:val="20"/>
              </w:rPr>
            </w:pPr>
            <w:r w:rsidRPr="00C51502">
              <w:rPr>
                <w:rFonts w:ascii="Calibri" w:eastAsia="Times New Roman" w:hAnsi="Calibri"/>
                <w:b/>
                <w:color w:val="013161"/>
                <w:sz w:val="20"/>
              </w:rPr>
              <w:t>Post-Placement FM</w:t>
            </w:r>
          </w:p>
        </w:tc>
        <w:tc>
          <w:tcPr>
            <w:tcW w:w="1000"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330</w:t>
            </w:r>
          </w:p>
        </w:tc>
        <w:tc>
          <w:tcPr>
            <w:tcW w:w="952"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9.5</w:t>
            </w:r>
          </w:p>
        </w:tc>
        <w:tc>
          <w:tcPr>
            <w:tcW w:w="763"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6</w:t>
            </w:r>
          </w:p>
        </w:tc>
        <w:tc>
          <w:tcPr>
            <w:tcW w:w="1152"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0.8</w:t>
            </w:r>
          </w:p>
        </w:tc>
        <w:tc>
          <w:tcPr>
            <w:tcW w:w="1145"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w:t>
            </w:r>
          </w:p>
        </w:tc>
        <w:tc>
          <w:tcPr>
            <w:tcW w:w="771"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336</w:t>
            </w:r>
          </w:p>
        </w:tc>
        <w:tc>
          <w:tcPr>
            <w:tcW w:w="1479"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7.8</w:t>
            </w:r>
          </w:p>
        </w:tc>
      </w:tr>
      <w:tr w:rsidR="00D86A11" w:rsidRPr="003E2E3F" w:rsidTr="00267528">
        <w:trPr>
          <w:trHeight w:val="304"/>
        </w:trPr>
        <w:tc>
          <w:tcPr>
            <w:tcW w:w="2386" w:type="dxa"/>
            <w:tcBorders>
              <w:top w:val="nil"/>
              <w:left w:val="nil"/>
              <w:bottom w:val="nil"/>
              <w:right w:val="nil"/>
            </w:tcBorders>
            <w:shd w:val="clear" w:color="auto" w:fill="auto"/>
            <w:noWrap/>
          </w:tcPr>
          <w:p w:rsidR="00D86A11" w:rsidRPr="00C51502" w:rsidRDefault="00D86A11" w:rsidP="00D86A11">
            <w:pPr>
              <w:spacing w:after="0" w:line="240" w:lineRule="auto"/>
              <w:rPr>
                <w:rFonts w:ascii="Calibri" w:eastAsia="Times New Roman" w:hAnsi="Calibri"/>
                <w:b/>
                <w:color w:val="013161"/>
                <w:sz w:val="20"/>
              </w:rPr>
            </w:pPr>
            <w:r w:rsidRPr="00C51502">
              <w:rPr>
                <w:rFonts w:ascii="Calibri" w:eastAsia="Times New Roman" w:hAnsi="Calibri"/>
                <w:b/>
                <w:color w:val="013161"/>
                <w:sz w:val="20"/>
              </w:rPr>
              <w:t>Family Reunification</w:t>
            </w:r>
          </w:p>
        </w:tc>
        <w:tc>
          <w:tcPr>
            <w:tcW w:w="1000"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1102</w:t>
            </w:r>
          </w:p>
        </w:tc>
        <w:tc>
          <w:tcPr>
            <w:tcW w:w="952"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31.7</w:t>
            </w:r>
          </w:p>
        </w:tc>
        <w:tc>
          <w:tcPr>
            <w:tcW w:w="763"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25</w:t>
            </w:r>
          </w:p>
        </w:tc>
        <w:tc>
          <w:tcPr>
            <w:tcW w:w="1152"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3.3</w:t>
            </w:r>
          </w:p>
        </w:tc>
        <w:tc>
          <w:tcPr>
            <w:tcW w:w="1145"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w:t>
            </w:r>
          </w:p>
        </w:tc>
        <w:tc>
          <w:tcPr>
            <w:tcW w:w="771"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1127</w:t>
            </w:r>
          </w:p>
        </w:tc>
        <w:tc>
          <w:tcPr>
            <w:tcW w:w="1479"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26.2</w:t>
            </w:r>
          </w:p>
        </w:tc>
      </w:tr>
      <w:tr w:rsidR="00D86A11" w:rsidRPr="003E2E3F" w:rsidTr="00267528">
        <w:trPr>
          <w:trHeight w:val="304"/>
        </w:trPr>
        <w:tc>
          <w:tcPr>
            <w:tcW w:w="2386" w:type="dxa"/>
            <w:tcBorders>
              <w:top w:val="nil"/>
              <w:left w:val="nil"/>
              <w:bottom w:val="nil"/>
              <w:right w:val="nil"/>
            </w:tcBorders>
            <w:shd w:val="clear" w:color="auto" w:fill="DBE5F1"/>
            <w:noWrap/>
          </w:tcPr>
          <w:p w:rsidR="00D86A11" w:rsidRPr="00C51502" w:rsidRDefault="00D86A11" w:rsidP="00D86A11">
            <w:pPr>
              <w:spacing w:after="0" w:line="240" w:lineRule="auto"/>
              <w:rPr>
                <w:rFonts w:ascii="Calibri" w:eastAsia="Times New Roman" w:hAnsi="Calibri"/>
                <w:b/>
                <w:color w:val="013161"/>
                <w:sz w:val="20"/>
              </w:rPr>
            </w:pPr>
            <w:r w:rsidRPr="00C51502">
              <w:rPr>
                <w:rFonts w:ascii="Calibri" w:eastAsia="Times New Roman" w:hAnsi="Calibri"/>
                <w:b/>
                <w:color w:val="013161"/>
                <w:sz w:val="20"/>
              </w:rPr>
              <w:t>Permanent Placement</w:t>
            </w:r>
          </w:p>
        </w:tc>
        <w:tc>
          <w:tcPr>
            <w:tcW w:w="1000"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1495</w:t>
            </w:r>
          </w:p>
        </w:tc>
        <w:tc>
          <w:tcPr>
            <w:tcW w:w="952"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43</w:t>
            </w:r>
          </w:p>
        </w:tc>
        <w:tc>
          <w:tcPr>
            <w:tcW w:w="763"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271</w:t>
            </w:r>
          </w:p>
        </w:tc>
        <w:tc>
          <w:tcPr>
            <w:tcW w:w="1152"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35.8</w:t>
            </w:r>
          </w:p>
        </w:tc>
        <w:tc>
          <w:tcPr>
            <w:tcW w:w="1145"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w:t>
            </w:r>
          </w:p>
        </w:tc>
        <w:tc>
          <w:tcPr>
            <w:tcW w:w="771"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1766</w:t>
            </w:r>
          </w:p>
        </w:tc>
        <w:tc>
          <w:tcPr>
            <w:tcW w:w="1479"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41.0</w:t>
            </w:r>
          </w:p>
        </w:tc>
      </w:tr>
      <w:tr w:rsidR="00D86A11" w:rsidRPr="003E2E3F" w:rsidTr="00267528">
        <w:trPr>
          <w:trHeight w:val="304"/>
        </w:trPr>
        <w:tc>
          <w:tcPr>
            <w:tcW w:w="2386" w:type="dxa"/>
            <w:tcBorders>
              <w:top w:val="nil"/>
              <w:left w:val="nil"/>
              <w:bottom w:val="nil"/>
              <w:right w:val="nil"/>
            </w:tcBorders>
            <w:shd w:val="clear" w:color="auto" w:fill="auto"/>
            <w:noWrap/>
          </w:tcPr>
          <w:p w:rsidR="00D86A11" w:rsidRPr="00C51502" w:rsidRDefault="00D86A11" w:rsidP="00D86A11">
            <w:pPr>
              <w:spacing w:after="0" w:line="240" w:lineRule="auto"/>
              <w:rPr>
                <w:rFonts w:ascii="Calibri" w:eastAsia="Times New Roman" w:hAnsi="Calibri"/>
                <w:b/>
                <w:color w:val="013161"/>
                <w:sz w:val="20"/>
              </w:rPr>
            </w:pPr>
            <w:r w:rsidRPr="00C51502">
              <w:rPr>
                <w:rFonts w:ascii="Calibri" w:eastAsia="Times New Roman" w:hAnsi="Calibri"/>
                <w:b/>
                <w:color w:val="013161"/>
                <w:sz w:val="20"/>
              </w:rPr>
              <w:t>Supportive Transition</w:t>
            </w:r>
          </w:p>
        </w:tc>
        <w:tc>
          <w:tcPr>
            <w:tcW w:w="1000"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429</w:t>
            </w:r>
          </w:p>
        </w:tc>
        <w:tc>
          <w:tcPr>
            <w:tcW w:w="952"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12.3</w:t>
            </w:r>
          </w:p>
        </w:tc>
        <w:tc>
          <w:tcPr>
            <w:tcW w:w="763"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38</w:t>
            </w:r>
          </w:p>
        </w:tc>
        <w:tc>
          <w:tcPr>
            <w:tcW w:w="1152"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5</w:t>
            </w:r>
          </w:p>
        </w:tc>
        <w:tc>
          <w:tcPr>
            <w:tcW w:w="1145"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w:t>
            </w:r>
          </w:p>
        </w:tc>
        <w:tc>
          <w:tcPr>
            <w:tcW w:w="771"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467</w:t>
            </w:r>
          </w:p>
        </w:tc>
        <w:tc>
          <w:tcPr>
            <w:tcW w:w="1479" w:type="dxa"/>
            <w:tcBorders>
              <w:top w:val="nil"/>
              <w:left w:val="nil"/>
              <w:bottom w:val="nil"/>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10.8</w:t>
            </w:r>
          </w:p>
        </w:tc>
      </w:tr>
      <w:tr w:rsidR="00D86A11" w:rsidRPr="003E2E3F" w:rsidTr="00267528">
        <w:trPr>
          <w:trHeight w:val="304"/>
        </w:trPr>
        <w:tc>
          <w:tcPr>
            <w:tcW w:w="2386" w:type="dxa"/>
            <w:tcBorders>
              <w:top w:val="nil"/>
              <w:left w:val="nil"/>
              <w:bottom w:val="nil"/>
              <w:right w:val="nil"/>
            </w:tcBorders>
            <w:shd w:val="clear" w:color="auto" w:fill="DBE5F1"/>
            <w:noWrap/>
          </w:tcPr>
          <w:p w:rsidR="00D86A11" w:rsidRPr="00C51502" w:rsidRDefault="00D86A11" w:rsidP="00D86A11">
            <w:pPr>
              <w:spacing w:after="0" w:line="240" w:lineRule="auto"/>
              <w:rPr>
                <w:rFonts w:ascii="Calibri" w:eastAsia="Times New Roman" w:hAnsi="Calibri"/>
                <w:b/>
                <w:color w:val="013161"/>
                <w:sz w:val="20"/>
              </w:rPr>
            </w:pPr>
            <w:r w:rsidRPr="00C51502">
              <w:rPr>
                <w:rFonts w:ascii="Calibri" w:eastAsia="Times New Roman" w:hAnsi="Calibri"/>
                <w:b/>
                <w:color w:val="013161"/>
                <w:sz w:val="20"/>
              </w:rPr>
              <w:t>Missing</w:t>
            </w:r>
          </w:p>
        </w:tc>
        <w:tc>
          <w:tcPr>
            <w:tcW w:w="1000"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w:t>
            </w:r>
          </w:p>
        </w:tc>
        <w:tc>
          <w:tcPr>
            <w:tcW w:w="952"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w:t>
            </w:r>
          </w:p>
        </w:tc>
        <w:tc>
          <w:tcPr>
            <w:tcW w:w="763"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w:t>
            </w:r>
          </w:p>
        </w:tc>
        <w:tc>
          <w:tcPr>
            <w:tcW w:w="1152"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w:t>
            </w:r>
          </w:p>
        </w:tc>
        <w:tc>
          <w:tcPr>
            <w:tcW w:w="1145"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w:t>
            </w:r>
          </w:p>
        </w:tc>
        <w:tc>
          <w:tcPr>
            <w:tcW w:w="771"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w:t>
            </w:r>
          </w:p>
        </w:tc>
        <w:tc>
          <w:tcPr>
            <w:tcW w:w="1479" w:type="dxa"/>
            <w:tcBorders>
              <w:top w:val="nil"/>
              <w:left w:val="nil"/>
              <w:bottom w:val="nil"/>
              <w:right w:val="nil"/>
            </w:tcBorders>
            <w:shd w:val="clear" w:color="auto" w:fill="DBE5F1"/>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w:t>
            </w:r>
          </w:p>
        </w:tc>
      </w:tr>
      <w:tr w:rsidR="00D86A11" w:rsidRPr="003E2E3F" w:rsidTr="00267528">
        <w:trPr>
          <w:trHeight w:val="304"/>
        </w:trPr>
        <w:tc>
          <w:tcPr>
            <w:tcW w:w="2386" w:type="dxa"/>
            <w:tcBorders>
              <w:top w:val="nil"/>
              <w:left w:val="nil"/>
              <w:bottom w:val="single" w:sz="18" w:space="0" w:color="F6872B"/>
              <w:right w:val="nil"/>
            </w:tcBorders>
            <w:shd w:val="clear" w:color="auto" w:fill="auto"/>
            <w:noWrap/>
          </w:tcPr>
          <w:p w:rsidR="00D86A11" w:rsidRPr="00C51502" w:rsidRDefault="00D86A11" w:rsidP="00D86A11">
            <w:pPr>
              <w:spacing w:after="0" w:line="240" w:lineRule="auto"/>
              <w:rPr>
                <w:rFonts w:ascii="Calibri" w:eastAsia="Times New Roman" w:hAnsi="Calibri"/>
                <w:b/>
                <w:color w:val="013161"/>
                <w:sz w:val="20"/>
              </w:rPr>
            </w:pPr>
            <w:r w:rsidRPr="00C51502">
              <w:rPr>
                <w:rFonts w:ascii="Calibri" w:eastAsia="Times New Roman" w:hAnsi="Calibri"/>
                <w:b/>
                <w:color w:val="013161"/>
                <w:sz w:val="20"/>
              </w:rPr>
              <w:t>Total</w:t>
            </w:r>
          </w:p>
        </w:tc>
        <w:tc>
          <w:tcPr>
            <w:tcW w:w="1000" w:type="dxa"/>
            <w:tcBorders>
              <w:top w:val="nil"/>
              <w:left w:val="nil"/>
              <w:bottom w:val="single" w:sz="18" w:space="0" w:color="F6872B"/>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3475</w:t>
            </w:r>
          </w:p>
        </w:tc>
        <w:tc>
          <w:tcPr>
            <w:tcW w:w="952" w:type="dxa"/>
            <w:tcBorders>
              <w:top w:val="nil"/>
              <w:left w:val="nil"/>
              <w:bottom w:val="single" w:sz="18" w:space="0" w:color="F6872B"/>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100</w:t>
            </w:r>
          </w:p>
        </w:tc>
        <w:tc>
          <w:tcPr>
            <w:tcW w:w="763" w:type="dxa"/>
            <w:tcBorders>
              <w:top w:val="nil"/>
              <w:left w:val="nil"/>
              <w:bottom w:val="single" w:sz="18" w:space="0" w:color="F6872B"/>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757</w:t>
            </w:r>
          </w:p>
        </w:tc>
        <w:tc>
          <w:tcPr>
            <w:tcW w:w="1152" w:type="dxa"/>
            <w:tcBorders>
              <w:top w:val="nil"/>
              <w:left w:val="nil"/>
              <w:bottom w:val="single" w:sz="18" w:space="0" w:color="F6872B"/>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100</w:t>
            </w:r>
          </w:p>
        </w:tc>
        <w:tc>
          <w:tcPr>
            <w:tcW w:w="1145" w:type="dxa"/>
            <w:tcBorders>
              <w:top w:val="nil"/>
              <w:left w:val="nil"/>
              <w:bottom w:val="single" w:sz="18" w:space="0" w:color="F6872B"/>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75</w:t>
            </w:r>
          </w:p>
        </w:tc>
        <w:tc>
          <w:tcPr>
            <w:tcW w:w="771" w:type="dxa"/>
            <w:tcBorders>
              <w:top w:val="nil"/>
              <w:left w:val="nil"/>
              <w:bottom w:val="single" w:sz="18" w:space="0" w:color="F6872B"/>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4307</w:t>
            </w:r>
          </w:p>
        </w:tc>
        <w:tc>
          <w:tcPr>
            <w:tcW w:w="1479" w:type="dxa"/>
            <w:tcBorders>
              <w:top w:val="nil"/>
              <w:left w:val="nil"/>
              <w:bottom w:val="single" w:sz="18" w:space="0" w:color="F6872B"/>
              <w:right w:val="nil"/>
            </w:tcBorders>
            <w:shd w:val="clear" w:color="auto" w:fill="auto"/>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100</w:t>
            </w:r>
          </w:p>
        </w:tc>
      </w:tr>
    </w:tbl>
    <w:p w:rsidR="0004419F" w:rsidRPr="00753E95" w:rsidRDefault="0004419F" w:rsidP="00D86A11">
      <w:pPr>
        <w:spacing w:before="120" w:after="0"/>
        <w:ind w:right="130"/>
        <w:rPr>
          <w:rFonts w:ascii="Franklin Gothic Book" w:hAnsi="Franklin Gothic Book"/>
          <w:color w:val="auto"/>
          <w:spacing w:val="20"/>
          <w:sz w:val="8"/>
          <w:szCs w:val="28"/>
        </w:rPr>
      </w:pPr>
    </w:p>
    <w:p w:rsidR="00D86A11" w:rsidRPr="00371118" w:rsidRDefault="00D86A11" w:rsidP="00D86A11">
      <w:pPr>
        <w:spacing w:before="120" w:after="0"/>
        <w:ind w:right="130"/>
        <w:rPr>
          <w:rFonts w:ascii="Franklin Gothic Book" w:hAnsi="Franklin Gothic Book"/>
          <w:color w:val="auto"/>
          <w:spacing w:val="20"/>
          <w:szCs w:val="28"/>
        </w:rPr>
      </w:pPr>
      <w:r w:rsidRPr="00371118">
        <w:rPr>
          <w:rFonts w:ascii="Franklin Gothic Book" w:hAnsi="Franklin Gothic Book"/>
          <w:color w:val="auto"/>
          <w:spacing w:val="20"/>
          <w:szCs w:val="28"/>
        </w:rPr>
        <w:t xml:space="preserve">As of January 1, 2016, there were 86 ICWA-eligible children in out-of-home care which is a decrease from the 116 children as of January 1, 2010. Current data show that 36% (31) of the ICWA eligible children in out-of-home placement were under the age of six. </w:t>
      </w:r>
    </w:p>
    <w:p w:rsidR="00D86A11" w:rsidRPr="000755A1" w:rsidRDefault="00D86A11" w:rsidP="00D86A11">
      <w:pPr>
        <w:rPr>
          <w:sz w:val="6"/>
        </w:rPr>
      </w:pPr>
    </w:p>
    <w:tbl>
      <w:tblPr>
        <w:tblW w:w="9648" w:type="dxa"/>
        <w:tblBorders>
          <w:top w:val="single" w:sz="18" w:space="0" w:color="F6872B"/>
          <w:bottom w:val="single" w:sz="18" w:space="0" w:color="F6872B"/>
        </w:tblBorders>
        <w:tblLayout w:type="fixed"/>
        <w:tblLook w:val="04A0" w:firstRow="1" w:lastRow="0" w:firstColumn="1" w:lastColumn="0" w:noHBand="0" w:noVBand="1"/>
      </w:tblPr>
      <w:tblGrid>
        <w:gridCol w:w="3139"/>
        <w:gridCol w:w="659"/>
        <w:gridCol w:w="720"/>
        <w:gridCol w:w="720"/>
        <w:gridCol w:w="720"/>
        <w:gridCol w:w="810"/>
        <w:gridCol w:w="810"/>
        <w:gridCol w:w="835"/>
        <w:gridCol w:w="978"/>
        <w:gridCol w:w="257"/>
      </w:tblGrid>
      <w:tr w:rsidR="00D86A11" w:rsidRPr="009379AF">
        <w:trPr>
          <w:trHeight w:val="300"/>
        </w:trPr>
        <w:tc>
          <w:tcPr>
            <w:tcW w:w="9648" w:type="dxa"/>
            <w:gridSpan w:val="10"/>
            <w:shd w:val="clear" w:color="auto" w:fill="013161"/>
          </w:tcPr>
          <w:p w:rsidR="00D86A11" w:rsidRDefault="00D86A11" w:rsidP="00D86A11">
            <w:pPr>
              <w:spacing w:after="0"/>
              <w:jc w:val="center"/>
              <w:rPr>
                <w:rFonts w:ascii="Calibri" w:hAnsi="Calibri"/>
                <w:b/>
                <w:color w:val="FFFFFF"/>
                <w:sz w:val="24"/>
              </w:rPr>
            </w:pPr>
            <w:r>
              <w:rPr>
                <w:rFonts w:ascii="Calibri" w:hAnsi="Calibri"/>
                <w:b/>
                <w:color w:val="FFFFFF"/>
                <w:sz w:val="24"/>
              </w:rPr>
              <w:t xml:space="preserve">Exhibit 32. County of </w:t>
            </w:r>
            <w:r w:rsidRPr="00B53CA4">
              <w:rPr>
                <w:rFonts w:ascii="Calibri" w:hAnsi="Calibri"/>
                <w:b/>
                <w:color w:val="FFFFFF"/>
                <w:sz w:val="24"/>
              </w:rPr>
              <w:t xml:space="preserve">San Diego Children with ICWA Eligibility in Out-of-Home Placement </w:t>
            </w:r>
          </w:p>
          <w:p w:rsidR="00D86A11" w:rsidRPr="000055D1" w:rsidRDefault="00D86A11" w:rsidP="00D86A11">
            <w:pPr>
              <w:spacing w:after="0"/>
              <w:jc w:val="center"/>
              <w:rPr>
                <w:rFonts w:ascii="Calibri" w:hAnsi="Calibri" w:cs="Perpetua"/>
                <w:b/>
                <w:bCs/>
              </w:rPr>
            </w:pPr>
            <w:r w:rsidRPr="00B53CA4">
              <w:rPr>
                <w:rFonts w:ascii="Calibri" w:hAnsi="Calibri"/>
                <w:b/>
                <w:color w:val="FFFFFF"/>
                <w:sz w:val="24"/>
              </w:rPr>
              <w:t>by Age Group</w:t>
            </w:r>
            <w:r>
              <w:rPr>
                <w:rFonts w:ascii="Calibri" w:hAnsi="Calibri"/>
                <w:b/>
                <w:color w:val="FFFFFF"/>
                <w:sz w:val="24"/>
              </w:rPr>
              <w:t xml:space="preserve"> </w:t>
            </w:r>
            <w:r w:rsidRPr="00B53CA4">
              <w:rPr>
                <w:rFonts w:ascii="Calibri" w:hAnsi="Calibri"/>
                <w:b/>
                <w:color w:val="FFFFFF"/>
                <w:sz w:val="24"/>
              </w:rPr>
              <w:t>as of January 1, 2016</w:t>
            </w:r>
          </w:p>
        </w:tc>
      </w:tr>
      <w:tr w:rsidR="00D86A11" w:rsidRPr="009379AF">
        <w:trPr>
          <w:trHeight w:val="300"/>
        </w:trPr>
        <w:tc>
          <w:tcPr>
            <w:tcW w:w="3139" w:type="dxa"/>
            <w:vMerge w:val="restart"/>
            <w:shd w:val="clear" w:color="auto" w:fill="013161"/>
            <w:vAlign w:val="center"/>
          </w:tcPr>
          <w:p w:rsidR="00D86A11" w:rsidRPr="00721EF1" w:rsidRDefault="00D86A11" w:rsidP="00D86A11">
            <w:pPr>
              <w:spacing w:after="0"/>
              <w:rPr>
                <w:rFonts w:ascii="Calibri" w:hAnsi="Calibri" w:cs="Perpetua"/>
                <w:b/>
                <w:bCs/>
                <w:color w:val="FFFFFF"/>
              </w:rPr>
            </w:pPr>
            <w:r w:rsidRPr="00721EF1">
              <w:rPr>
                <w:rFonts w:ascii="Calibri" w:hAnsi="Calibri" w:cs="Perpetua"/>
                <w:b/>
                <w:bCs/>
                <w:color w:val="FFFFFF"/>
              </w:rPr>
              <w:t>Measure 4E-1</w:t>
            </w:r>
          </w:p>
        </w:tc>
        <w:tc>
          <w:tcPr>
            <w:tcW w:w="6252" w:type="dxa"/>
            <w:gridSpan w:val="8"/>
            <w:shd w:val="clear" w:color="auto" w:fill="013161"/>
            <w:vAlign w:val="center"/>
          </w:tcPr>
          <w:p w:rsidR="00D86A11" w:rsidRPr="00721EF1" w:rsidRDefault="00D86A11" w:rsidP="00D86A11">
            <w:pPr>
              <w:spacing w:after="0"/>
              <w:jc w:val="center"/>
              <w:rPr>
                <w:rFonts w:ascii="Calibri" w:hAnsi="Calibri" w:cs="Perpetua"/>
                <w:b/>
                <w:bCs/>
                <w:color w:val="FFFFFF"/>
              </w:rPr>
            </w:pPr>
            <w:r w:rsidRPr="00721EF1">
              <w:rPr>
                <w:rFonts w:ascii="Calibri" w:hAnsi="Calibri" w:cs="Perpetua"/>
                <w:b/>
                <w:bCs/>
                <w:color w:val="FFFFFF"/>
              </w:rPr>
              <w:t>Age Group</w:t>
            </w:r>
          </w:p>
        </w:tc>
        <w:tc>
          <w:tcPr>
            <w:tcW w:w="257" w:type="dxa"/>
            <w:shd w:val="clear" w:color="auto" w:fill="013161"/>
          </w:tcPr>
          <w:p w:rsidR="00D86A11" w:rsidRPr="00721EF1" w:rsidRDefault="00D86A11" w:rsidP="00D86A11">
            <w:pPr>
              <w:spacing w:after="0"/>
              <w:rPr>
                <w:rFonts w:ascii="Calibri" w:hAnsi="Calibri" w:cs="Perpetua"/>
                <w:b/>
                <w:bCs/>
                <w:color w:val="FFFFFF"/>
              </w:rPr>
            </w:pPr>
          </w:p>
        </w:tc>
      </w:tr>
      <w:tr w:rsidR="00D86A11" w:rsidRPr="009379AF">
        <w:trPr>
          <w:trHeight w:val="300"/>
        </w:trPr>
        <w:tc>
          <w:tcPr>
            <w:tcW w:w="3139" w:type="dxa"/>
            <w:vMerge/>
            <w:shd w:val="clear" w:color="auto" w:fill="013161"/>
          </w:tcPr>
          <w:p w:rsidR="00D86A11" w:rsidRPr="00721EF1" w:rsidRDefault="00D86A11" w:rsidP="00D86A11">
            <w:pPr>
              <w:spacing w:after="0"/>
              <w:rPr>
                <w:rFonts w:ascii="Calibri" w:hAnsi="Calibri" w:cs="Perpetua"/>
                <w:b/>
                <w:bCs/>
                <w:color w:val="FFFFFF"/>
              </w:rPr>
            </w:pPr>
          </w:p>
        </w:tc>
        <w:tc>
          <w:tcPr>
            <w:tcW w:w="659" w:type="dxa"/>
            <w:shd w:val="clear" w:color="auto" w:fill="013161"/>
          </w:tcPr>
          <w:p w:rsidR="00D86A11" w:rsidRPr="00721EF1" w:rsidRDefault="00D86A11" w:rsidP="00D86A11">
            <w:pPr>
              <w:spacing w:after="0"/>
              <w:rPr>
                <w:rFonts w:ascii="Calibri" w:hAnsi="Calibri" w:cs="Perpetua"/>
                <w:b/>
                <w:bCs/>
                <w:color w:val="FFFFFF"/>
              </w:rPr>
            </w:pPr>
            <w:r w:rsidRPr="00721EF1">
              <w:rPr>
                <w:rFonts w:ascii="Calibri" w:hAnsi="Calibri" w:cs="Perpetua"/>
                <w:b/>
                <w:bCs/>
                <w:color w:val="FFFFFF"/>
              </w:rPr>
              <w:t>&lt;1</w:t>
            </w:r>
          </w:p>
        </w:tc>
        <w:tc>
          <w:tcPr>
            <w:tcW w:w="720" w:type="dxa"/>
            <w:shd w:val="clear" w:color="auto" w:fill="013161"/>
          </w:tcPr>
          <w:p w:rsidR="00D86A11" w:rsidRPr="00721EF1" w:rsidRDefault="00D86A11" w:rsidP="00D86A11">
            <w:pPr>
              <w:spacing w:after="0"/>
              <w:rPr>
                <w:rFonts w:ascii="Calibri" w:hAnsi="Calibri" w:cs="Perpetua"/>
                <w:b/>
                <w:bCs/>
                <w:color w:val="FFFFFF"/>
              </w:rPr>
            </w:pPr>
            <w:r w:rsidRPr="00721EF1">
              <w:rPr>
                <w:rFonts w:ascii="Calibri" w:hAnsi="Calibri" w:cs="Perpetua"/>
                <w:b/>
                <w:bCs/>
                <w:color w:val="FFFFFF"/>
              </w:rPr>
              <w:t>1-2</w:t>
            </w:r>
          </w:p>
        </w:tc>
        <w:tc>
          <w:tcPr>
            <w:tcW w:w="720" w:type="dxa"/>
            <w:shd w:val="clear" w:color="auto" w:fill="013161"/>
          </w:tcPr>
          <w:p w:rsidR="00D86A11" w:rsidRPr="00721EF1" w:rsidRDefault="00D86A11" w:rsidP="00D86A11">
            <w:pPr>
              <w:spacing w:after="0"/>
              <w:rPr>
                <w:rFonts w:ascii="Calibri" w:hAnsi="Calibri" w:cs="Perpetua"/>
                <w:b/>
                <w:bCs/>
                <w:color w:val="FFFFFF"/>
              </w:rPr>
            </w:pPr>
            <w:r w:rsidRPr="00721EF1">
              <w:rPr>
                <w:rFonts w:ascii="Calibri" w:hAnsi="Calibri" w:cs="Perpetua"/>
                <w:b/>
                <w:bCs/>
                <w:color w:val="FFFFFF"/>
              </w:rPr>
              <w:t>3-5</w:t>
            </w:r>
          </w:p>
        </w:tc>
        <w:tc>
          <w:tcPr>
            <w:tcW w:w="720" w:type="dxa"/>
            <w:shd w:val="clear" w:color="auto" w:fill="013161"/>
          </w:tcPr>
          <w:p w:rsidR="00D86A11" w:rsidRPr="00721EF1" w:rsidRDefault="00D86A11" w:rsidP="00D86A11">
            <w:pPr>
              <w:spacing w:after="0"/>
              <w:rPr>
                <w:rFonts w:ascii="Calibri" w:hAnsi="Calibri" w:cs="Perpetua"/>
                <w:b/>
                <w:bCs/>
                <w:color w:val="FFFFFF"/>
              </w:rPr>
            </w:pPr>
            <w:r w:rsidRPr="00721EF1">
              <w:rPr>
                <w:rFonts w:ascii="Calibri" w:hAnsi="Calibri" w:cs="Perpetua"/>
                <w:b/>
                <w:bCs/>
                <w:color w:val="FFFFFF"/>
              </w:rPr>
              <w:t>6-10</w:t>
            </w:r>
          </w:p>
        </w:tc>
        <w:tc>
          <w:tcPr>
            <w:tcW w:w="810" w:type="dxa"/>
            <w:shd w:val="clear" w:color="auto" w:fill="013161"/>
          </w:tcPr>
          <w:p w:rsidR="00D86A11" w:rsidRPr="00721EF1" w:rsidRDefault="00D86A11" w:rsidP="00D86A11">
            <w:pPr>
              <w:spacing w:after="0"/>
              <w:rPr>
                <w:rFonts w:ascii="Calibri" w:hAnsi="Calibri" w:cs="Perpetua"/>
                <w:b/>
                <w:bCs/>
                <w:color w:val="FFFFFF"/>
              </w:rPr>
            </w:pPr>
            <w:r w:rsidRPr="00721EF1">
              <w:rPr>
                <w:rFonts w:ascii="Calibri" w:hAnsi="Calibri" w:cs="Perpetua"/>
                <w:b/>
                <w:bCs/>
                <w:color w:val="FFFFFF"/>
              </w:rPr>
              <w:t>11-15</w:t>
            </w:r>
          </w:p>
        </w:tc>
        <w:tc>
          <w:tcPr>
            <w:tcW w:w="810" w:type="dxa"/>
            <w:shd w:val="clear" w:color="auto" w:fill="013161"/>
          </w:tcPr>
          <w:p w:rsidR="00D86A11" w:rsidRPr="00721EF1" w:rsidRDefault="00D86A11" w:rsidP="00D86A11">
            <w:pPr>
              <w:spacing w:after="0"/>
              <w:rPr>
                <w:rFonts w:ascii="Calibri" w:hAnsi="Calibri" w:cs="Perpetua"/>
                <w:b/>
                <w:bCs/>
                <w:color w:val="FFFFFF"/>
              </w:rPr>
            </w:pPr>
            <w:r w:rsidRPr="00721EF1">
              <w:rPr>
                <w:rFonts w:ascii="Calibri" w:hAnsi="Calibri" w:cs="Perpetua"/>
                <w:b/>
                <w:bCs/>
                <w:color w:val="FFFFFF"/>
              </w:rPr>
              <w:t>16-17</w:t>
            </w:r>
          </w:p>
        </w:tc>
        <w:tc>
          <w:tcPr>
            <w:tcW w:w="835" w:type="dxa"/>
            <w:shd w:val="clear" w:color="auto" w:fill="013161"/>
          </w:tcPr>
          <w:p w:rsidR="00D86A11" w:rsidRPr="00721EF1" w:rsidRDefault="00D86A11" w:rsidP="00D86A11">
            <w:pPr>
              <w:spacing w:after="0"/>
              <w:rPr>
                <w:rFonts w:ascii="Calibri" w:hAnsi="Calibri" w:cs="Perpetua"/>
                <w:b/>
                <w:bCs/>
                <w:color w:val="FFFFFF"/>
              </w:rPr>
            </w:pPr>
            <w:r w:rsidRPr="00721EF1">
              <w:rPr>
                <w:rFonts w:ascii="Calibri" w:hAnsi="Calibri" w:cs="Perpetua"/>
                <w:b/>
                <w:bCs/>
                <w:color w:val="FFFFFF"/>
              </w:rPr>
              <w:t>18-21</w:t>
            </w:r>
          </w:p>
        </w:tc>
        <w:tc>
          <w:tcPr>
            <w:tcW w:w="978" w:type="dxa"/>
            <w:shd w:val="clear" w:color="auto" w:fill="013161"/>
          </w:tcPr>
          <w:p w:rsidR="00D86A11" w:rsidRPr="00721EF1" w:rsidRDefault="00D86A11" w:rsidP="00D86A11">
            <w:pPr>
              <w:spacing w:after="0"/>
              <w:rPr>
                <w:rFonts w:ascii="Calibri" w:hAnsi="Calibri" w:cs="Perpetua"/>
                <w:b/>
                <w:bCs/>
                <w:color w:val="FFFFFF"/>
              </w:rPr>
            </w:pPr>
            <w:r w:rsidRPr="00721EF1">
              <w:rPr>
                <w:rFonts w:ascii="Calibri" w:hAnsi="Calibri" w:cs="Perpetua"/>
                <w:b/>
                <w:bCs/>
                <w:color w:val="FFFFFF"/>
              </w:rPr>
              <w:t>Total</w:t>
            </w:r>
          </w:p>
        </w:tc>
        <w:tc>
          <w:tcPr>
            <w:tcW w:w="257" w:type="dxa"/>
            <w:shd w:val="clear" w:color="auto" w:fill="013161"/>
          </w:tcPr>
          <w:p w:rsidR="00D86A11" w:rsidRPr="00721EF1" w:rsidRDefault="00D86A11" w:rsidP="00D86A11">
            <w:pPr>
              <w:spacing w:after="0"/>
              <w:rPr>
                <w:rFonts w:ascii="Calibri" w:hAnsi="Calibri" w:cs="Perpetua"/>
                <w:b/>
                <w:bCs/>
                <w:color w:val="FFFFFF"/>
              </w:rPr>
            </w:pPr>
          </w:p>
        </w:tc>
      </w:tr>
      <w:tr w:rsidR="00D86A11" w:rsidRPr="009379AF">
        <w:trPr>
          <w:trHeight w:val="300"/>
        </w:trPr>
        <w:tc>
          <w:tcPr>
            <w:tcW w:w="3139" w:type="dxa"/>
            <w:shd w:val="clear" w:color="auto" w:fill="DBE5F1"/>
          </w:tcPr>
          <w:p w:rsidR="00D86A11" w:rsidRPr="00BF6095" w:rsidRDefault="00D86A11" w:rsidP="00D86A11">
            <w:pPr>
              <w:spacing w:after="0"/>
              <w:rPr>
                <w:rFonts w:ascii="Calibri" w:hAnsi="Calibri" w:cs="Perpetua"/>
                <w:b/>
                <w:color w:val="013161"/>
                <w:sz w:val="20"/>
              </w:rPr>
            </w:pPr>
            <w:r w:rsidRPr="00BF6095">
              <w:rPr>
                <w:rFonts w:ascii="Calibri" w:hAnsi="Calibri" w:cs="Perpetua"/>
                <w:b/>
                <w:color w:val="013161"/>
                <w:sz w:val="20"/>
              </w:rPr>
              <w:t>Number of Children</w:t>
            </w:r>
          </w:p>
        </w:tc>
        <w:tc>
          <w:tcPr>
            <w:tcW w:w="659" w:type="dxa"/>
            <w:shd w:val="clear" w:color="auto" w:fill="DBE5F1"/>
          </w:tcPr>
          <w:p w:rsidR="00D86A11" w:rsidRPr="00BF6095" w:rsidRDefault="00D86A11" w:rsidP="00D86A11">
            <w:pPr>
              <w:spacing w:after="0"/>
              <w:jc w:val="center"/>
              <w:rPr>
                <w:rFonts w:ascii="Calibri" w:hAnsi="Calibri" w:cs="Perpetua"/>
                <w:b/>
                <w:color w:val="013161"/>
                <w:sz w:val="20"/>
              </w:rPr>
            </w:pPr>
            <w:r w:rsidRPr="00BF6095">
              <w:rPr>
                <w:rFonts w:ascii="Calibri" w:hAnsi="Calibri" w:cs="Perpetua"/>
                <w:b/>
                <w:color w:val="013161"/>
                <w:sz w:val="20"/>
              </w:rPr>
              <w:t>4</w:t>
            </w:r>
          </w:p>
        </w:tc>
        <w:tc>
          <w:tcPr>
            <w:tcW w:w="720" w:type="dxa"/>
            <w:shd w:val="clear" w:color="auto" w:fill="DBE5F1"/>
          </w:tcPr>
          <w:p w:rsidR="00D86A11" w:rsidRPr="00BF6095" w:rsidRDefault="00D86A11" w:rsidP="00D86A11">
            <w:pPr>
              <w:spacing w:after="0"/>
              <w:jc w:val="center"/>
              <w:rPr>
                <w:rFonts w:ascii="Calibri" w:hAnsi="Calibri" w:cs="Perpetua"/>
                <w:b/>
                <w:color w:val="013161"/>
                <w:sz w:val="20"/>
              </w:rPr>
            </w:pPr>
            <w:r w:rsidRPr="00BF6095">
              <w:rPr>
                <w:rFonts w:ascii="Calibri" w:hAnsi="Calibri" w:cs="Perpetua"/>
                <w:b/>
                <w:color w:val="013161"/>
                <w:sz w:val="20"/>
              </w:rPr>
              <w:t>16</w:t>
            </w:r>
          </w:p>
        </w:tc>
        <w:tc>
          <w:tcPr>
            <w:tcW w:w="720" w:type="dxa"/>
            <w:shd w:val="clear" w:color="auto" w:fill="DBE5F1"/>
          </w:tcPr>
          <w:p w:rsidR="00D86A11" w:rsidRPr="00BF6095" w:rsidRDefault="00D86A11" w:rsidP="00D86A11">
            <w:pPr>
              <w:spacing w:after="0"/>
              <w:jc w:val="center"/>
              <w:rPr>
                <w:rFonts w:ascii="Calibri" w:hAnsi="Calibri" w:cs="Perpetua"/>
                <w:b/>
                <w:color w:val="013161"/>
                <w:sz w:val="20"/>
              </w:rPr>
            </w:pPr>
            <w:r w:rsidRPr="00BF6095">
              <w:rPr>
                <w:rFonts w:ascii="Calibri" w:hAnsi="Calibri" w:cs="Perpetua"/>
                <w:b/>
                <w:color w:val="013161"/>
                <w:sz w:val="20"/>
              </w:rPr>
              <w:t>11</w:t>
            </w:r>
          </w:p>
        </w:tc>
        <w:tc>
          <w:tcPr>
            <w:tcW w:w="720" w:type="dxa"/>
            <w:shd w:val="clear" w:color="auto" w:fill="DBE5F1"/>
          </w:tcPr>
          <w:p w:rsidR="00D86A11" w:rsidRPr="00BF6095" w:rsidRDefault="00D86A11" w:rsidP="00D86A11">
            <w:pPr>
              <w:spacing w:after="0"/>
              <w:jc w:val="center"/>
              <w:rPr>
                <w:rFonts w:ascii="Calibri" w:hAnsi="Calibri" w:cs="Perpetua"/>
                <w:b/>
                <w:color w:val="013161"/>
                <w:sz w:val="20"/>
              </w:rPr>
            </w:pPr>
            <w:r w:rsidRPr="00BF6095">
              <w:rPr>
                <w:rFonts w:ascii="Calibri" w:hAnsi="Calibri" w:cs="Perpetua"/>
                <w:b/>
                <w:color w:val="013161"/>
                <w:sz w:val="20"/>
              </w:rPr>
              <w:t>19</w:t>
            </w:r>
          </w:p>
        </w:tc>
        <w:tc>
          <w:tcPr>
            <w:tcW w:w="810" w:type="dxa"/>
            <w:shd w:val="clear" w:color="auto" w:fill="DBE5F1"/>
          </w:tcPr>
          <w:p w:rsidR="00D86A11" w:rsidRPr="00BF6095" w:rsidRDefault="00D86A11" w:rsidP="00D86A11">
            <w:pPr>
              <w:spacing w:after="0"/>
              <w:jc w:val="center"/>
              <w:rPr>
                <w:rFonts w:ascii="Calibri" w:hAnsi="Calibri" w:cs="Perpetua"/>
                <w:b/>
                <w:color w:val="013161"/>
                <w:sz w:val="20"/>
              </w:rPr>
            </w:pPr>
            <w:r w:rsidRPr="00BF6095">
              <w:rPr>
                <w:rFonts w:ascii="Calibri" w:hAnsi="Calibri" w:cs="Perpetua"/>
                <w:b/>
                <w:color w:val="013161"/>
                <w:sz w:val="20"/>
              </w:rPr>
              <w:t>12</w:t>
            </w:r>
          </w:p>
        </w:tc>
        <w:tc>
          <w:tcPr>
            <w:tcW w:w="810" w:type="dxa"/>
            <w:shd w:val="clear" w:color="auto" w:fill="DBE5F1"/>
          </w:tcPr>
          <w:p w:rsidR="00D86A11" w:rsidRPr="00BF6095" w:rsidRDefault="00D86A11" w:rsidP="00D86A11">
            <w:pPr>
              <w:spacing w:after="0"/>
              <w:jc w:val="center"/>
              <w:rPr>
                <w:rFonts w:ascii="Calibri" w:hAnsi="Calibri" w:cs="Perpetua"/>
                <w:b/>
                <w:color w:val="013161"/>
                <w:sz w:val="20"/>
              </w:rPr>
            </w:pPr>
            <w:r w:rsidRPr="00BF6095">
              <w:rPr>
                <w:rFonts w:ascii="Calibri" w:hAnsi="Calibri" w:cs="Perpetua"/>
                <w:b/>
                <w:color w:val="013161"/>
                <w:sz w:val="20"/>
              </w:rPr>
              <w:t>10</w:t>
            </w:r>
          </w:p>
        </w:tc>
        <w:tc>
          <w:tcPr>
            <w:tcW w:w="835" w:type="dxa"/>
            <w:shd w:val="clear" w:color="auto" w:fill="DBE5F1"/>
          </w:tcPr>
          <w:p w:rsidR="00D86A11" w:rsidRPr="00BF6095" w:rsidRDefault="00D86A11" w:rsidP="00D86A11">
            <w:pPr>
              <w:spacing w:after="0"/>
              <w:jc w:val="center"/>
              <w:rPr>
                <w:rFonts w:ascii="Calibri" w:hAnsi="Calibri" w:cs="Perpetua"/>
                <w:b/>
                <w:color w:val="013161"/>
                <w:sz w:val="20"/>
              </w:rPr>
            </w:pPr>
            <w:r w:rsidRPr="00BF6095">
              <w:rPr>
                <w:rFonts w:ascii="Calibri" w:hAnsi="Calibri" w:cs="Perpetua"/>
                <w:b/>
                <w:color w:val="013161"/>
                <w:sz w:val="20"/>
              </w:rPr>
              <w:t>14</w:t>
            </w:r>
          </w:p>
        </w:tc>
        <w:tc>
          <w:tcPr>
            <w:tcW w:w="978" w:type="dxa"/>
            <w:shd w:val="clear" w:color="auto" w:fill="DBE5F1"/>
          </w:tcPr>
          <w:p w:rsidR="00D86A11" w:rsidRPr="00BF6095" w:rsidRDefault="00D86A11" w:rsidP="00D86A11">
            <w:pPr>
              <w:spacing w:after="0"/>
              <w:jc w:val="center"/>
              <w:rPr>
                <w:rFonts w:ascii="Calibri" w:hAnsi="Calibri" w:cs="Perpetua"/>
                <w:b/>
                <w:color w:val="013161"/>
                <w:sz w:val="20"/>
              </w:rPr>
            </w:pPr>
            <w:r w:rsidRPr="00BF6095">
              <w:rPr>
                <w:rFonts w:ascii="Calibri" w:hAnsi="Calibri" w:cs="Perpetua"/>
                <w:b/>
                <w:color w:val="013161"/>
                <w:sz w:val="20"/>
              </w:rPr>
              <w:t>86</w:t>
            </w:r>
          </w:p>
        </w:tc>
        <w:tc>
          <w:tcPr>
            <w:tcW w:w="257" w:type="dxa"/>
            <w:shd w:val="clear" w:color="auto" w:fill="DBE5F1"/>
          </w:tcPr>
          <w:p w:rsidR="00D86A11" w:rsidRPr="00BF6095" w:rsidRDefault="00D86A11" w:rsidP="00D86A11">
            <w:pPr>
              <w:spacing w:after="0"/>
              <w:jc w:val="center"/>
              <w:rPr>
                <w:rFonts w:ascii="Calibri" w:hAnsi="Calibri" w:cs="Perpetua"/>
                <w:b/>
                <w:color w:val="013161"/>
                <w:sz w:val="20"/>
              </w:rPr>
            </w:pPr>
          </w:p>
        </w:tc>
      </w:tr>
    </w:tbl>
    <w:p w:rsidR="0004419F" w:rsidRPr="00753E95" w:rsidRDefault="0004419F" w:rsidP="0004419F">
      <w:pPr>
        <w:spacing w:before="120" w:after="0"/>
        <w:ind w:right="130"/>
        <w:rPr>
          <w:color w:val="auto"/>
          <w:sz w:val="4"/>
          <w:szCs w:val="28"/>
        </w:rPr>
      </w:pPr>
    </w:p>
    <w:p w:rsidR="00D86A11" w:rsidRPr="000E7387" w:rsidRDefault="00D86A11" w:rsidP="00D86A11">
      <w:pPr>
        <w:pStyle w:val="Heading2"/>
        <w:rPr>
          <w:rStyle w:val="Heading1Char"/>
          <w:b/>
          <w:color w:val="F6872B"/>
          <w:sz w:val="24"/>
        </w:rPr>
      </w:pPr>
      <w:r w:rsidRPr="000E7387">
        <w:rPr>
          <w:rStyle w:val="Heading1Char"/>
          <w:b/>
          <w:color w:val="F6872B"/>
          <w:sz w:val="24"/>
        </w:rPr>
        <w:t xml:space="preserve">Probation Population </w:t>
      </w:r>
    </w:p>
    <w:p w:rsidR="00D86A11" w:rsidRDefault="00D86A11" w:rsidP="00753E95">
      <w:pPr>
        <w:pStyle w:val="Heading3"/>
        <w:spacing w:line="276" w:lineRule="auto"/>
        <w:rPr>
          <w:b w:val="0"/>
          <w:color w:val="auto"/>
          <w:sz w:val="22"/>
        </w:rPr>
      </w:pPr>
      <w:r w:rsidRPr="00CD637D">
        <w:rPr>
          <w:b w:val="0"/>
          <w:color w:val="auto"/>
          <w:sz w:val="22"/>
        </w:rPr>
        <w:t xml:space="preserve">The statistics provided in this section were retrieved from the </w:t>
      </w:r>
      <w:r>
        <w:rPr>
          <w:b w:val="0"/>
          <w:color w:val="auto"/>
          <w:sz w:val="22"/>
        </w:rPr>
        <w:t xml:space="preserve">California </w:t>
      </w:r>
      <w:r w:rsidRPr="00CD637D">
        <w:rPr>
          <w:b w:val="0"/>
          <w:color w:val="auto"/>
          <w:sz w:val="22"/>
        </w:rPr>
        <w:t>Child Welfare Indicators Project website, a joint venture of the California Department of Social Services and the University of California at Berkeley California. The source for program data is the CWS/CMS administrative data system used by all counties in the State of California (2016 Q1 extract for Probation). For child population data, the website reported statistics from the 2015 California Department of Finance: 2010-2060 - Population Projections (</w:t>
      </w:r>
      <w:hyperlink r:id="rId34" w:history="1">
        <w:r w:rsidR="00753E95" w:rsidRPr="00A93553">
          <w:rPr>
            <w:rStyle w:val="Hyperlink"/>
            <w:rFonts w:ascii="Franklin Gothic Book" w:hAnsi="Franklin Gothic Book"/>
            <w:b w:val="0"/>
            <w:sz w:val="22"/>
          </w:rPr>
          <w:t>http://cssr.berkeley.edu/ucb_childwelfare</w:t>
        </w:r>
      </w:hyperlink>
      <w:r w:rsidR="00753E95">
        <w:rPr>
          <w:b w:val="0"/>
          <w:color w:val="auto"/>
          <w:sz w:val="22"/>
        </w:rPr>
        <w:t xml:space="preserve">). </w:t>
      </w:r>
    </w:p>
    <w:tbl>
      <w:tblPr>
        <w:tblW w:w="9918" w:type="dxa"/>
        <w:tblBorders>
          <w:top w:val="single" w:sz="18" w:space="0" w:color="F6872B"/>
          <w:bottom w:val="single" w:sz="18" w:space="0" w:color="F6872B"/>
        </w:tblBorders>
        <w:tblLayout w:type="fixed"/>
        <w:tblLook w:val="04A0" w:firstRow="1" w:lastRow="0" w:firstColumn="1" w:lastColumn="0" w:noHBand="0" w:noVBand="1"/>
      </w:tblPr>
      <w:tblGrid>
        <w:gridCol w:w="4428"/>
        <w:gridCol w:w="1080"/>
        <w:gridCol w:w="1080"/>
        <w:gridCol w:w="1080"/>
        <w:gridCol w:w="1080"/>
        <w:gridCol w:w="1170"/>
      </w:tblGrid>
      <w:tr w:rsidR="00D86A11" w:rsidRPr="00ED1D85" w:rsidTr="00753E95">
        <w:trPr>
          <w:trHeight w:val="316"/>
        </w:trPr>
        <w:tc>
          <w:tcPr>
            <w:tcW w:w="9918" w:type="dxa"/>
            <w:gridSpan w:val="6"/>
            <w:tcBorders>
              <w:bottom w:val="nil"/>
            </w:tcBorders>
            <w:shd w:val="clear" w:color="auto" w:fill="013161"/>
            <w:vAlign w:val="center"/>
          </w:tcPr>
          <w:p w:rsidR="00D86A11" w:rsidRPr="000055D1" w:rsidRDefault="00D86A11" w:rsidP="00D86A11">
            <w:pPr>
              <w:spacing w:after="0" w:line="240" w:lineRule="auto"/>
              <w:jc w:val="center"/>
              <w:rPr>
                <w:rFonts w:ascii="Calibri" w:eastAsia="Calibri" w:hAnsi="Calibri" w:cs="Arial"/>
                <w:b/>
                <w:bCs/>
                <w:color w:val="FFFFFF"/>
                <w:szCs w:val="22"/>
              </w:rPr>
            </w:pPr>
            <w:r w:rsidRPr="000055D1">
              <w:rPr>
                <w:rFonts w:ascii="Calibri" w:eastAsia="Calibri" w:hAnsi="Calibri" w:cs="Arial"/>
                <w:b/>
                <w:bCs/>
                <w:szCs w:val="22"/>
              </w:rPr>
              <w:br w:type="page"/>
            </w:r>
            <w:r w:rsidRPr="00B53CA4">
              <w:rPr>
                <w:rFonts w:ascii="Calibri" w:eastAsia="Calibri" w:hAnsi="Calibri" w:cs="Arial"/>
                <w:b/>
                <w:bCs/>
                <w:color w:val="FFFFFF"/>
                <w:sz w:val="24"/>
                <w:szCs w:val="22"/>
              </w:rPr>
              <w:t xml:space="preserve">Exhibit </w:t>
            </w:r>
            <w:r>
              <w:rPr>
                <w:rFonts w:ascii="Calibri" w:eastAsia="Calibri" w:hAnsi="Calibri" w:cs="Arial"/>
                <w:b/>
                <w:bCs/>
                <w:color w:val="FFFFFF"/>
                <w:sz w:val="24"/>
                <w:szCs w:val="22"/>
              </w:rPr>
              <w:t>33.</w:t>
            </w:r>
            <w:r w:rsidRPr="00B53CA4">
              <w:rPr>
                <w:rFonts w:ascii="Calibri" w:eastAsia="Calibri" w:hAnsi="Calibri" w:cs="Arial"/>
                <w:b/>
                <w:bCs/>
                <w:color w:val="FFFFFF"/>
                <w:sz w:val="24"/>
                <w:szCs w:val="22"/>
              </w:rPr>
              <w:t xml:space="preserve"> Proba</w:t>
            </w:r>
            <w:r>
              <w:rPr>
                <w:rFonts w:ascii="Calibri" w:eastAsia="Calibri" w:hAnsi="Calibri" w:cs="Arial"/>
                <w:b/>
                <w:bCs/>
                <w:color w:val="FFFFFF"/>
                <w:sz w:val="24"/>
                <w:szCs w:val="22"/>
              </w:rPr>
              <w:t>tion Population Rates for 2010 and</w:t>
            </w:r>
            <w:r w:rsidRPr="00B53CA4">
              <w:rPr>
                <w:rFonts w:ascii="Calibri" w:eastAsia="Calibri" w:hAnsi="Calibri" w:cs="Arial"/>
                <w:b/>
                <w:bCs/>
                <w:color w:val="FFFFFF"/>
                <w:sz w:val="24"/>
                <w:szCs w:val="22"/>
              </w:rPr>
              <w:t xml:space="preserve"> 2015 Summary Table</w:t>
            </w:r>
          </w:p>
        </w:tc>
      </w:tr>
      <w:tr w:rsidR="00D86A11" w:rsidRPr="00ED1D85" w:rsidTr="00753E95">
        <w:trPr>
          <w:trHeight w:val="316"/>
        </w:trPr>
        <w:tc>
          <w:tcPr>
            <w:tcW w:w="4428" w:type="dxa"/>
            <w:vMerge w:val="restart"/>
            <w:tcBorders>
              <w:top w:val="nil"/>
              <w:left w:val="nil"/>
              <w:bottom w:val="nil"/>
              <w:right w:val="single" w:sz="18" w:space="0" w:color="013161"/>
            </w:tcBorders>
            <w:shd w:val="clear" w:color="auto" w:fill="013161"/>
          </w:tcPr>
          <w:p w:rsidR="00D86A11" w:rsidRPr="00721EF1" w:rsidRDefault="00D86A11" w:rsidP="00D86A11">
            <w:pPr>
              <w:rPr>
                <w:rFonts w:ascii="Calibri" w:eastAsia="Calibri" w:hAnsi="Calibri" w:cs="Arial"/>
                <w:b/>
                <w:bCs/>
                <w:color w:val="FFFFFF"/>
              </w:rPr>
            </w:pPr>
          </w:p>
        </w:tc>
        <w:tc>
          <w:tcPr>
            <w:tcW w:w="4320" w:type="dxa"/>
            <w:gridSpan w:val="4"/>
            <w:tcBorders>
              <w:top w:val="nil"/>
              <w:left w:val="single" w:sz="18" w:space="0" w:color="013161"/>
              <w:bottom w:val="nil"/>
              <w:right w:val="nil"/>
            </w:tcBorders>
            <w:shd w:val="clear" w:color="auto" w:fill="013161"/>
            <w:vAlign w:val="center"/>
          </w:tcPr>
          <w:p w:rsidR="00D86A11" w:rsidRPr="00E02841" w:rsidRDefault="00D86A11" w:rsidP="00D86A11">
            <w:pPr>
              <w:spacing w:after="0" w:line="240" w:lineRule="auto"/>
              <w:jc w:val="center"/>
              <w:rPr>
                <w:rFonts w:ascii="Calibri" w:eastAsia="Calibri" w:hAnsi="Calibri" w:cs="Arial"/>
                <w:b/>
                <w:color w:val="FFFFFF"/>
                <w:szCs w:val="22"/>
              </w:rPr>
            </w:pPr>
            <w:r>
              <w:rPr>
                <w:rFonts w:ascii="Calibri" w:eastAsia="Calibri" w:hAnsi="Calibri" w:cs="Arial"/>
                <w:b/>
                <w:bCs/>
                <w:color w:val="FFFFFF"/>
                <w:szCs w:val="22"/>
              </w:rPr>
              <w:t xml:space="preserve">County of </w:t>
            </w:r>
            <w:r w:rsidRPr="00E02841">
              <w:rPr>
                <w:rFonts w:ascii="Calibri" w:eastAsia="Calibri" w:hAnsi="Calibri" w:cs="Arial"/>
                <w:b/>
                <w:bCs/>
                <w:color w:val="FFFFFF"/>
                <w:szCs w:val="22"/>
              </w:rPr>
              <w:t>San Diego</w:t>
            </w:r>
          </w:p>
        </w:tc>
        <w:tc>
          <w:tcPr>
            <w:tcW w:w="1170" w:type="dxa"/>
            <w:tcBorders>
              <w:top w:val="nil"/>
              <w:left w:val="nil"/>
              <w:bottom w:val="nil"/>
              <w:right w:val="nil"/>
            </w:tcBorders>
            <w:shd w:val="clear" w:color="auto" w:fill="013161"/>
            <w:noWrap/>
            <w:vAlign w:val="center"/>
          </w:tcPr>
          <w:p w:rsidR="00D86A11" w:rsidRPr="00E02841" w:rsidRDefault="00D86A11" w:rsidP="00D86A11">
            <w:pPr>
              <w:spacing w:after="0" w:line="240" w:lineRule="auto"/>
              <w:jc w:val="center"/>
              <w:rPr>
                <w:rFonts w:ascii="Calibri" w:eastAsia="Calibri" w:hAnsi="Calibri" w:cs="Arial"/>
                <w:b/>
                <w:bCs/>
                <w:color w:val="FFFFFF"/>
                <w:szCs w:val="22"/>
              </w:rPr>
            </w:pPr>
            <w:r w:rsidRPr="00E02841">
              <w:rPr>
                <w:rFonts w:ascii="Calibri" w:eastAsia="Calibri" w:hAnsi="Calibri" w:cs="Arial"/>
                <w:b/>
                <w:bCs/>
                <w:color w:val="FFFFFF"/>
                <w:szCs w:val="22"/>
              </w:rPr>
              <w:t>California</w:t>
            </w:r>
          </w:p>
        </w:tc>
      </w:tr>
      <w:tr w:rsidR="00D86A11" w:rsidRPr="00ED1D85" w:rsidTr="00753E95">
        <w:trPr>
          <w:trHeight w:val="333"/>
        </w:trPr>
        <w:tc>
          <w:tcPr>
            <w:tcW w:w="4428" w:type="dxa"/>
            <w:vMerge/>
            <w:tcBorders>
              <w:top w:val="nil"/>
              <w:left w:val="nil"/>
              <w:bottom w:val="nil"/>
              <w:right w:val="single" w:sz="18" w:space="0" w:color="F6872B"/>
            </w:tcBorders>
            <w:shd w:val="clear" w:color="auto" w:fill="013161"/>
          </w:tcPr>
          <w:p w:rsidR="00D86A11" w:rsidRPr="00721EF1" w:rsidRDefault="00D86A11" w:rsidP="00D86A11">
            <w:pPr>
              <w:rPr>
                <w:rFonts w:ascii="Calibri" w:eastAsia="Calibri" w:hAnsi="Calibri" w:cs="Arial"/>
                <w:b/>
                <w:bCs/>
                <w:color w:val="FFFFFF"/>
              </w:rPr>
            </w:pPr>
          </w:p>
        </w:tc>
        <w:tc>
          <w:tcPr>
            <w:tcW w:w="2160" w:type="dxa"/>
            <w:gridSpan w:val="2"/>
            <w:tcBorders>
              <w:top w:val="nil"/>
              <w:left w:val="single" w:sz="18" w:space="0" w:color="F6872B"/>
              <w:bottom w:val="nil"/>
              <w:right w:val="single" w:sz="18" w:space="0" w:color="F6872B"/>
            </w:tcBorders>
            <w:shd w:val="clear" w:color="auto" w:fill="013161"/>
            <w:vAlign w:val="center"/>
          </w:tcPr>
          <w:p w:rsidR="00D86A11" w:rsidRPr="00E02841" w:rsidRDefault="00D86A11" w:rsidP="00D86A11">
            <w:pPr>
              <w:spacing w:after="0" w:line="240" w:lineRule="auto"/>
              <w:jc w:val="center"/>
              <w:rPr>
                <w:rFonts w:ascii="Calibri" w:eastAsia="Calibri" w:hAnsi="Calibri" w:cs="Arial"/>
                <w:b/>
                <w:bCs/>
                <w:color w:val="FFFFFF"/>
                <w:szCs w:val="22"/>
              </w:rPr>
            </w:pPr>
            <w:r w:rsidRPr="00E02841">
              <w:rPr>
                <w:rFonts w:ascii="Calibri" w:eastAsia="Calibri" w:hAnsi="Calibri" w:cs="Arial"/>
                <w:b/>
                <w:bCs/>
                <w:color w:val="FFFFFF"/>
                <w:szCs w:val="22"/>
              </w:rPr>
              <w:t>2010</w:t>
            </w:r>
          </w:p>
        </w:tc>
        <w:tc>
          <w:tcPr>
            <w:tcW w:w="2160" w:type="dxa"/>
            <w:gridSpan w:val="2"/>
            <w:tcBorders>
              <w:top w:val="nil"/>
              <w:left w:val="single" w:sz="18" w:space="0" w:color="F6872B"/>
              <w:bottom w:val="nil"/>
              <w:right w:val="single" w:sz="18" w:space="0" w:color="F6872B"/>
            </w:tcBorders>
            <w:shd w:val="clear" w:color="auto" w:fill="013161"/>
            <w:vAlign w:val="center"/>
          </w:tcPr>
          <w:p w:rsidR="00D86A11" w:rsidRPr="00E02841" w:rsidRDefault="00D86A11" w:rsidP="00D86A11">
            <w:pPr>
              <w:spacing w:after="0" w:line="240" w:lineRule="auto"/>
              <w:jc w:val="center"/>
              <w:rPr>
                <w:rFonts w:ascii="Calibri" w:eastAsia="Calibri" w:hAnsi="Calibri" w:cs="Arial"/>
                <w:b/>
                <w:bCs/>
                <w:color w:val="FFFFFF"/>
                <w:szCs w:val="22"/>
              </w:rPr>
            </w:pPr>
            <w:r w:rsidRPr="00E02841">
              <w:rPr>
                <w:rFonts w:ascii="Calibri" w:eastAsia="Calibri" w:hAnsi="Calibri" w:cs="Arial"/>
                <w:b/>
                <w:bCs/>
                <w:color w:val="FFFFFF"/>
                <w:szCs w:val="22"/>
              </w:rPr>
              <w:t>2015</w:t>
            </w:r>
          </w:p>
        </w:tc>
        <w:tc>
          <w:tcPr>
            <w:tcW w:w="1170" w:type="dxa"/>
            <w:tcBorders>
              <w:top w:val="nil"/>
              <w:left w:val="single" w:sz="18" w:space="0" w:color="F6872B"/>
              <w:bottom w:val="nil"/>
              <w:right w:val="nil"/>
            </w:tcBorders>
            <w:shd w:val="clear" w:color="auto" w:fill="013161"/>
            <w:noWrap/>
            <w:vAlign w:val="center"/>
          </w:tcPr>
          <w:p w:rsidR="00D86A11" w:rsidRPr="00E02841" w:rsidRDefault="00D86A11" w:rsidP="00D86A11">
            <w:pPr>
              <w:spacing w:after="0" w:line="240" w:lineRule="auto"/>
              <w:jc w:val="center"/>
              <w:rPr>
                <w:rFonts w:ascii="Calibri" w:eastAsia="Calibri" w:hAnsi="Calibri" w:cs="Arial"/>
                <w:b/>
                <w:bCs/>
                <w:color w:val="FFFFFF"/>
                <w:szCs w:val="22"/>
              </w:rPr>
            </w:pPr>
            <w:r w:rsidRPr="00E02841">
              <w:rPr>
                <w:rFonts w:ascii="Calibri" w:eastAsia="Calibri" w:hAnsi="Calibri" w:cs="Arial"/>
                <w:b/>
                <w:bCs/>
                <w:color w:val="FFFFFF"/>
                <w:szCs w:val="22"/>
              </w:rPr>
              <w:t>2015</w:t>
            </w:r>
          </w:p>
        </w:tc>
      </w:tr>
      <w:tr w:rsidR="00D86A11" w:rsidRPr="00ED1D85" w:rsidTr="00753E95">
        <w:trPr>
          <w:trHeight w:val="360"/>
        </w:trPr>
        <w:tc>
          <w:tcPr>
            <w:tcW w:w="4428" w:type="dxa"/>
            <w:vMerge/>
            <w:tcBorders>
              <w:top w:val="nil"/>
              <w:bottom w:val="nil"/>
              <w:right w:val="single" w:sz="18" w:space="0" w:color="F6872B"/>
            </w:tcBorders>
            <w:shd w:val="clear" w:color="auto" w:fill="013161"/>
          </w:tcPr>
          <w:p w:rsidR="00D86A11" w:rsidRPr="00721EF1" w:rsidRDefault="00D86A11" w:rsidP="00D86A11">
            <w:pPr>
              <w:rPr>
                <w:rFonts w:ascii="Calibri" w:eastAsia="Calibri" w:hAnsi="Calibri" w:cs="Arial"/>
                <w:b/>
                <w:bCs/>
                <w:color w:val="FFFFFF"/>
              </w:rPr>
            </w:pPr>
          </w:p>
        </w:tc>
        <w:tc>
          <w:tcPr>
            <w:tcW w:w="1080" w:type="dxa"/>
            <w:tcBorders>
              <w:top w:val="nil"/>
              <w:left w:val="single" w:sz="18" w:space="0" w:color="F6872B"/>
              <w:bottom w:val="nil"/>
              <w:right w:val="nil"/>
            </w:tcBorders>
            <w:shd w:val="clear" w:color="auto" w:fill="013161"/>
            <w:vAlign w:val="center"/>
          </w:tcPr>
          <w:p w:rsidR="00D86A11" w:rsidRPr="00E02841" w:rsidRDefault="00D86A11" w:rsidP="00D86A11">
            <w:pPr>
              <w:spacing w:after="0" w:line="240" w:lineRule="auto"/>
              <w:jc w:val="center"/>
              <w:rPr>
                <w:rFonts w:ascii="Calibri" w:eastAsia="Calibri" w:hAnsi="Calibri" w:cs="Arial"/>
                <w:b/>
                <w:bCs/>
                <w:color w:val="FFFFFF"/>
                <w:szCs w:val="22"/>
              </w:rPr>
            </w:pPr>
            <w:r w:rsidRPr="00E02841">
              <w:rPr>
                <w:rFonts w:ascii="Calibri" w:eastAsia="Calibri" w:hAnsi="Calibri" w:cs="Arial"/>
                <w:b/>
                <w:bCs/>
                <w:color w:val="FFFFFF"/>
                <w:szCs w:val="22"/>
              </w:rPr>
              <w:t>Number</w:t>
            </w:r>
          </w:p>
        </w:tc>
        <w:tc>
          <w:tcPr>
            <w:tcW w:w="1080" w:type="dxa"/>
            <w:tcBorders>
              <w:top w:val="nil"/>
              <w:left w:val="nil"/>
              <w:bottom w:val="nil"/>
              <w:right w:val="single" w:sz="18" w:space="0" w:color="F6872B"/>
            </w:tcBorders>
            <w:shd w:val="clear" w:color="auto" w:fill="013161"/>
            <w:vAlign w:val="center"/>
          </w:tcPr>
          <w:p w:rsidR="00D86A11" w:rsidRPr="00E02841" w:rsidRDefault="00D86A11" w:rsidP="00D86A11">
            <w:pPr>
              <w:spacing w:after="0" w:line="240" w:lineRule="auto"/>
              <w:jc w:val="center"/>
              <w:rPr>
                <w:rFonts w:ascii="Calibri" w:eastAsia="Calibri" w:hAnsi="Calibri" w:cs="Arial"/>
                <w:b/>
                <w:bCs/>
                <w:color w:val="FFFFFF"/>
                <w:szCs w:val="22"/>
              </w:rPr>
            </w:pPr>
            <w:r w:rsidRPr="00E02841">
              <w:rPr>
                <w:rFonts w:ascii="Calibri" w:eastAsia="Calibri" w:hAnsi="Calibri" w:cs="Arial"/>
                <w:b/>
                <w:bCs/>
                <w:color w:val="FFFFFF"/>
                <w:szCs w:val="22"/>
              </w:rPr>
              <w:t>Rate per 1,000</w:t>
            </w:r>
          </w:p>
        </w:tc>
        <w:tc>
          <w:tcPr>
            <w:tcW w:w="1080" w:type="dxa"/>
            <w:tcBorders>
              <w:top w:val="nil"/>
              <w:left w:val="single" w:sz="18" w:space="0" w:color="F6872B"/>
              <w:bottom w:val="nil"/>
              <w:right w:val="nil"/>
            </w:tcBorders>
            <w:shd w:val="clear" w:color="auto" w:fill="013161"/>
            <w:vAlign w:val="center"/>
          </w:tcPr>
          <w:p w:rsidR="00D86A11" w:rsidRPr="00E02841" w:rsidRDefault="00D86A11" w:rsidP="00D86A11">
            <w:pPr>
              <w:spacing w:after="0" w:line="240" w:lineRule="auto"/>
              <w:jc w:val="center"/>
              <w:rPr>
                <w:rFonts w:ascii="Calibri" w:eastAsia="Calibri" w:hAnsi="Calibri" w:cs="Arial"/>
                <w:b/>
                <w:bCs/>
                <w:color w:val="FFFFFF"/>
                <w:szCs w:val="22"/>
              </w:rPr>
            </w:pPr>
            <w:r w:rsidRPr="00E02841">
              <w:rPr>
                <w:rFonts w:ascii="Calibri" w:eastAsia="Calibri" w:hAnsi="Calibri" w:cs="Arial"/>
                <w:b/>
                <w:bCs/>
                <w:color w:val="FFFFFF"/>
                <w:szCs w:val="22"/>
              </w:rPr>
              <w:t>Number</w:t>
            </w:r>
          </w:p>
        </w:tc>
        <w:tc>
          <w:tcPr>
            <w:tcW w:w="1080" w:type="dxa"/>
            <w:tcBorders>
              <w:top w:val="nil"/>
              <w:left w:val="nil"/>
              <w:bottom w:val="nil"/>
              <w:right w:val="single" w:sz="18" w:space="0" w:color="F6872B"/>
            </w:tcBorders>
            <w:shd w:val="clear" w:color="auto" w:fill="013161"/>
            <w:vAlign w:val="center"/>
          </w:tcPr>
          <w:p w:rsidR="00D86A11" w:rsidRPr="00E02841" w:rsidRDefault="00D86A11" w:rsidP="00D86A11">
            <w:pPr>
              <w:spacing w:after="0" w:line="240" w:lineRule="auto"/>
              <w:jc w:val="center"/>
              <w:rPr>
                <w:rFonts w:ascii="Calibri" w:eastAsia="Calibri" w:hAnsi="Calibri" w:cs="Arial"/>
                <w:b/>
                <w:bCs/>
                <w:color w:val="FFFFFF"/>
                <w:szCs w:val="22"/>
              </w:rPr>
            </w:pPr>
            <w:r w:rsidRPr="00E02841">
              <w:rPr>
                <w:rFonts w:ascii="Calibri" w:eastAsia="Calibri" w:hAnsi="Calibri" w:cs="Arial"/>
                <w:b/>
                <w:bCs/>
                <w:color w:val="FFFFFF"/>
                <w:szCs w:val="22"/>
              </w:rPr>
              <w:t>Rate per 1,000</w:t>
            </w:r>
          </w:p>
        </w:tc>
        <w:tc>
          <w:tcPr>
            <w:tcW w:w="1170" w:type="dxa"/>
            <w:tcBorders>
              <w:top w:val="nil"/>
              <w:left w:val="single" w:sz="18" w:space="0" w:color="F6872B"/>
              <w:bottom w:val="nil"/>
              <w:right w:val="nil"/>
            </w:tcBorders>
            <w:shd w:val="clear" w:color="auto" w:fill="013161"/>
            <w:vAlign w:val="center"/>
          </w:tcPr>
          <w:p w:rsidR="00D86A11" w:rsidRPr="00E02841" w:rsidRDefault="00D86A11" w:rsidP="00D86A11">
            <w:pPr>
              <w:spacing w:after="0" w:line="240" w:lineRule="auto"/>
              <w:jc w:val="center"/>
              <w:rPr>
                <w:rFonts w:ascii="Calibri" w:eastAsia="Calibri" w:hAnsi="Calibri" w:cs="Arial"/>
                <w:b/>
                <w:bCs/>
                <w:color w:val="FFFFFF"/>
                <w:szCs w:val="22"/>
              </w:rPr>
            </w:pPr>
            <w:r w:rsidRPr="00E02841">
              <w:rPr>
                <w:rFonts w:ascii="Calibri" w:eastAsia="Calibri" w:hAnsi="Calibri" w:cs="Arial"/>
                <w:b/>
                <w:bCs/>
                <w:color w:val="FFFFFF"/>
                <w:szCs w:val="22"/>
              </w:rPr>
              <w:t>Rate per 1,000</w:t>
            </w:r>
          </w:p>
        </w:tc>
      </w:tr>
      <w:tr w:rsidR="00D86A11" w:rsidRPr="00ED1D85" w:rsidTr="00753E95">
        <w:trPr>
          <w:trHeight w:val="316"/>
        </w:trPr>
        <w:tc>
          <w:tcPr>
            <w:tcW w:w="4428" w:type="dxa"/>
            <w:tcBorders>
              <w:top w:val="nil"/>
              <w:bottom w:val="nil"/>
              <w:right w:val="single" w:sz="18" w:space="0" w:color="F6872B"/>
            </w:tcBorders>
            <w:shd w:val="clear" w:color="auto" w:fill="FFFFFF"/>
          </w:tcPr>
          <w:p w:rsidR="00D86A11" w:rsidRPr="00C51502" w:rsidRDefault="00D86A11" w:rsidP="00D86A11">
            <w:pPr>
              <w:spacing w:after="0" w:line="240" w:lineRule="auto"/>
              <w:rPr>
                <w:rFonts w:ascii="Calibri" w:eastAsia="Times New Roman" w:hAnsi="Calibri"/>
                <w:b/>
                <w:color w:val="013161"/>
                <w:sz w:val="20"/>
              </w:rPr>
            </w:pPr>
            <w:r w:rsidRPr="00C51502">
              <w:rPr>
                <w:rFonts w:ascii="Calibri" w:eastAsia="Times New Roman" w:hAnsi="Calibri"/>
                <w:b/>
                <w:color w:val="013161"/>
                <w:sz w:val="20"/>
              </w:rPr>
              <w:t>Child Population (age 0 to 17)</w:t>
            </w:r>
          </w:p>
        </w:tc>
        <w:tc>
          <w:tcPr>
            <w:tcW w:w="1080" w:type="dxa"/>
            <w:tcBorders>
              <w:top w:val="nil"/>
              <w:left w:val="single" w:sz="18" w:space="0" w:color="F6872B"/>
              <w:bottom w:val="nil"/>
              <w:right w:val="nil"/>
            </w:tcBorders>
            <w:shd w:val="clear" w:color="auto" w:fill="FFFFFF"/>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722,647</w:t>
            </w:r>
          </w:p>
        </w:tc>
        <w:tc>
          <w:tcPr>
            <w:tcW w:w="1080" w:type="dxa"/>
            <w:tcBorders>
              <w:top w:val="nil"/>
              <w:left w:val="nil"/>
              <w:bottom w:val="nil"/>
              <w:right w:val="single" w:sz="18" w:space="0" w:color="F6872B"/>
            </w:tcBorders>
            <w:shd w:val="clear" w:color="auto" w:fill="FFFFFF"/>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w:t>
            </w:r>
          </w:p>
        </w:tc>
        <w:tc>
          <w:tcPr>
            <w:tcW w:w="1080" w:type="dxa"/>
            <w:tcBorders>
              <w:top w:val="nil"/>
              <w:left w:val="single" w:sz="18" w:space="0" w:color="F6872B"/>
              <w:bottom w:val="nil"/>
              <w:right w:val="nil"/>
            </w:tcBorders>
            <w:shd w:val="clear" w:color="auto" w:fill="FFFFFF"/>
            <w:noWrap/>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738,367</w:t>
            </w:r>
          </w:p>
        </w:tc>
        <w:tc>
          <w:tcPr>
            <w:tcW w:w="1080" w:type="dxa"/>
            <w:tcBorders>
              <w:top w:val="nil"/>
              <w:left w:val="nil"/>
              <w:bottom w:val="nil"/>
              <w:right w:val="single" w:sz="18" w:space="0" w:color="F6872B"/>
            </w:tcBorders>
            <w:shd w:val="clear" w:color="auto" w:fill="FFFFFF"/>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w:t>
            </w:r>
          </w:p>
        </w:tc>
        <w:tc>
          <w:tcPr>
            <w:tcW w:w="1170" w:type="dxa"/>
            <w:tcBorders>
              <w:top w:val="nil"/>
              <w:left w:val="single" w:sz="18" w:space="0" w:color="F6872B"/>
              <w:bottom w:val="nil"/>
              <w:right w:val="single" w:sz="8" w:space="0" w:color="BFBFBF"/>
            </w:tcBorders>
            <w:shd w:val="clear" w:color="auto" w:fill="FFFFFF"/>
            <w:noWrap/>
          </w:tcPr>
          <w:p w:rsidR="00D86A11" w:rsidRPr="00C51502" w:rsidRDefault="00D86A11" w:rsidP="00D86A11">
            <w:pPr>
              <w:spacing w:after="0" w:line="240" w:lineRule="auto"/>
              <w:jc w:val="center"/>
              <w:rPr>
                <w:rFonts w:ascii="Calibri" w:eastAsia="Times New Roman" w:hAnsi="Calibri"/>
                <w:b/>
                <w:color w:val="009242"/>
                <w:sz w:val="20"/>
              </w:rPr>
            </w:pPr>
            <w:r w:rsidRPr="00C51502">
              <w:rPr>
                <w:rFonts w:ascii="Calibri" w:eastAsia="Times New Roman" w:hAnsi="Calibri"/>
                <w:b/>
                <w:color w:val="009242"/>
                <w:sz w:val="20"/>
              </w:rPr>
              <w:t>-</w:t>
            </w:r>
          </w:p>
        </w:tc>
      </w:tr>
      <w:tr w:rsidR="00D86A11" w:rsidRPr="00ED1D85" w:rsidTr="00753E95">
        <w:trPr>
          <w:trHeight w:val="316"/>
        </w:trPr>
        <w:tc>
          <w:tcPr>
            <w:tcW w:w="4428" w:type="dxa"/>
            <w:tcBorders>
              <w:top w:val="nil"/>
              <w:bottom w:val="nil"/>
              <w:right w:val="single" w:sz="18" w:space="0" w:color="F6872B"/>
            </w:tcBorders>
            <w:shd w:val="clear" w:color="auto" w:fill="DBE5F1"/>
          </w:tcPr>
          <w:p w:rsidR="00D86A11" w:rsidRPr="00C51502" w:rsidRDefault="00D86A11" w:rsidP="00D86A11">
            <w:pPr>
              <w:spacing w:after="0" w:line="240" w:lineRule="auto"/>
              <w:rPr>
                <w:rFonts w:ascii="Calibri" w:eastAsia="Times New Roman" w:hAnsi="Calibri"/>
                <w:b/>
                <w:color w:val="013161"/>
                <w:sz w:val="20"/>
              </w:rPr>
            </w:pPr>
            <w:r w:rsidRPr="00C51502">
              <w:rPr>
                <w:rFonts w:ascii="Calibri" w:eastAsia="Times New Roman" w:hAnsi="Calibri"/>
                <w:b/>
                <w:color w:val="013161"/>
                <w:sz w:val="20"/>
              </w:rPr>
              <w:lastRenderedPageBreak/>
              <w:t>Children Entering Out-of-Home Care for First Time</w:t>
            </w:r>
          </w:p>
        </w:tc>
        <w:tc>
          <w:tcPr>
            <w:tcW w:w="1080" w:type="dxa"/>
            <w:tcBorders>
              <w:top w:val="nil"/>
              <w:left w:val="single" w:sz="18" w:space="0" w:color="F6872B"/>
              <w:bottom w:val="nil"/>
              <w:right w:val="nil"/>
            </w:tcBorders>
            <w:shd w:val="clear" w:color="auto" w:fill="DBE5F1"/>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76</w:t>
            </w:r>
          </w:p>
        </w:tc>
        <w:tc>
          <w:tcPr>
            <w:tcW w:w="1080" w:type="dxa"/>
            <w:tcBorders>
              <w:top w:val="nil"/>
              <w:left w:val="nil"/>
              <w:bottom w:val="nil"/>
              <w:right w:val="single" w:sz="18" w:space="0" w:color="F6872B"/>
            </w:tcBorders>
            <w:shd w:val="clear" w:color="auto" w:fill="DBE5F1"/>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.11</w:t>
            </w:r>
          </w:p>
        </w:tc>
        <w:tc>
          <w:tcPr>
            <w:tcW w:w="1080" w:type="dxa"/>
            <w:tcBorders>
              <w:top w:val="nil"/>
              <w:left w:val="single" w:sz="18" w:space="0" w:color="F6872B"/>
              <w:bottom w:val="nil"/>
              <w:right w:val="nil"/>
            </w:tcBorders>
            <w:shd w:val="clear" w:color="auto" w:fill="DBE5F1"/>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76</w:t>
            </w:r>
          </w:p>
        </w:tc>
        <w:tc>
          <w:tcPr>
            <w:tcW w:w="1080" w:type="dxa"/>
            <w:tcBorders>
              <w:top w:val="nil"/>
              <w:left w:val="nil"/>
              <w:bottom w:val="nil"/>
              <w:right w:val="single" w:sz="18" w:space="0" w:color="F6872B"/>
            </w:tcBorders>
            <w:shd w:val="clear" w:color="auto" w:fill="DBE5F1"/>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.10</w:t>
            </w:r>
          </w:p>
        </w:tc>
        <w:tc>
          <w:tcPr>
            <w:tcW w:w="1170" w:type="dxa"/>
            <w:tcBorders>
              <w:top w:val="nil"/>
              <w:left w:val="single" w:sz="18" w:space="0" w:color="F6872B"/>
              <w:bottom w:val="nil"/>
              <w:right w:val="single" w:sz="8" w:space="0" w:color="BFBFBF"/>
            </w:tcBorders>
            <w:shd w:val="clear" w:color="auto" w:fill="DBE5F1"/>
          </w:tcPr>
          <w:p w:rsidR="00D86A11" w:rsidRPr="00C51502" w:rsidRDefault="00D86A11" w:rsidP="00D86A11">
            <w:pPr>
              <w:spacing w:after="0" w:line="240" w:lineRule="auto"/>
              <w:jc w:val="center"/>
              <w:rPr>
                <w:rFonts w:ascii="Calibri" w:eastAsia="Times New Roman" w:hAnsi="Calibri"/>
                <w:b/>
                <w:color w:val="009242"/>
                <w:sz w:val="20"/>
              </w:rPr>
            </w:pPr>
            <w:r w:rsidRPr="00C51502">
              <w:rPr>
                <w:rFonts w:ascii="Calibri" w:eastAsia="Times New Roman" w:hAnsi="Calibri"/>
                <w:b/>
                <w:color w:val="009242"/>
                <w:sz w:val="20"/>
              </w:rPr>
              <w:t xml:space="preserve">.2 </w:t>
            </w:r>
          </w:p>
        </w:tc>
      </w:tr>
      <w:tr w:rsidR="00D86A11" w:rsidRPr="00721EF1" w:rsidTr="00753E95">
        <w:trPr>
          <w:trHeight w:val="369"/>
        </w:trPr>
        <w:tc>
          <w:tcPr>
            <w:tcW w:w="4428" w:type="dxa"/>
            <w:tcBorders>
              <w:top w:val="nil"/>
              <w:bottom w:val="single" w:sz="18" w:space="0" w:color="F6872B"/>
              <w:right w:val="single" w:sz="18" w:space="0" w:color="F6872B"/>
            </w:tcBorders>
            <w:shd w:val="clear" w:color="auto" w:fill="FFFFFF"/>
          </w:tcPr>
          <w:p w:rsidR="00D86A11" w:rsidRPr="00C51502" w:rsidRDefault="00D86A11" w:rsidP="00D86A11">
            <w:pPr>
              <w:spacing w:after="0" w:line="240" w:lineRule="auto"/>
              <w:rPr>
                <w:rFonts w:ascii="Calibri" w:eastAsia="Times New Roman" w:hAnsi="Calibri"/>
                <w:b/>
                <w:color w:val="013161"/>
                <w:sz w:val="20"/>
              </w:rPr>
            </w:pPr>
            <w:r w:rsidRPr="00C51502">
              <w:rPr>
                <w:rFonts w:ascii="Calibri" w:eastAsia="Times New Roman" w:hAnsi="Calibri"/>
                <w:b/>
                <w:color w:val="013161"/>
                <w:sz w:val="20"/>
              </w:rPr>
              <w:t>Children in Out-of-Home Care (July 1)</w:t>
            </w:r>
          </w:p>
        </w:tc>
        <w:tc>
          <w:tcPr>
            <w:tcW w:w="1080" w:type="dxa"/>
            <w:tcBorders>
              <w:top w:val="nil"/>
              <w:left w:val="single" w:sz="18" w:space="0" w:color="F6872B"/>
              <w:bottom w:val="single" w:sz="18" w:space="0" w:color="F6872B"/>
              <w:right w:val="nil"/>
            </w:tcBorders>
            <w:shd w:val="clear" w:color="auto" w:fill="FFFFFF"/>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237</w:t>
            </w:r>
          </w:p>
        </w:tc>
        <w:tc>
          <w:tcPr>
            <w:tcW w:w="1080" w:type="dxa"/>
            <w:tcBorders>
              <w:top w:val="nil"/>
              <w:left w:val="nil"/>
              <w:bottom w:val="single" w:sz="18" w:space="0" w:color="F6872B"/>
              <w:right w:val="single" w:sz="18" w:space="0" w:color="F6872B"/>
            </w:tcBorders>
            <w:shd w:val="clear" w:color="auto" w:fill="FFFFFF"/>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.3</w:t>
            </w:r>
          </w:p>
        </w:tc>
        <w:tc>
          <w:tcPr>
            <w:tcW w:w="1080" w:type="dxa"/>
            <w:tcBorders>
              <w:top w:val="nil"/>
              <w:left w:val="single" w:sz="18" w:space="0" w:color="F6872B"/>
              <w:bottom w:val="single" w:sz="18" w:space="0" w:color="F6872B"/>
              <w:right w:val="nil"/>
            </w:tcBorders>
            <w:shd w:val="clear" w:color="auto" w:fill="FFFFFF"/>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142</w:t>
            </w:r>
          </w:p>
        </w:tc>
        <w:tc>
          <w:tcPr>
            <w:tcW w:w="1080" w:type="dxa"/>
            <w:tcBorders>
              <w:top w:val="nil"/>
              <w:left w:val="nil"/>
              <w:bottom w:val="single" w:sz="18" w:space="0" w:color="F6872B"/>
              <w:right w:val="single" w:sz="18" w:space="0" w:color="F6872B"/>
            </w:tcBorders>
            <w:shd w:val="clear" w:color="auto" w:fill="FFFFFF"/>
          </w:tcPr>
          <w:p w:rsidR="00D86A11" w:rsidRPr="00C51502" w:rsidRDefault="00D86A11" w:rsidP="00D86A11">
            <w:pPr>
              <w:spacing w:after="0" w:line="240" w:lineRule="auto"/>
              <w:jc w:val="center"/>
              <w:rPr>
                <w:rFonts w:ascii="Calibri" w:eastAsia="Times New Roman" w:hAnsi="Calibri"/>
                <w:b/>
                <w:color w:val="013161"/>
                <w:sz w:val="20"/>
              </w:rPr>
            </w:pPr>
            <w:r w:rsidRPr="00C51502">
              <w:rPr>
                <w:rFonts w:ascii="Calibri" w:eastAsia="Times New Roman" w:hAnsi="Calibri"/>
                <w:b/>
                <w:color w:val="013161"/>
                <w:sz w:val="20"/>
              </w:rPr>
              <w:t>.2</w:t>
            </w:r>
          </w:p>
        </w:tc>
        <w:tc>
          <w:tcPr>
            <w:tcW w:w="1170" w:type="dxa"/>
            <w:tcBorders>
              <w:top w:val="nil"/>
              <w:left w:val="single" w:sz="18" w:space="0" w:color="F6872B"/>
              <w:bottom w:val="single" w:sz="18" w:space="0" w:color="F6872B"/>
              <w:right w:val="single" w:sz="8" w:space="0" w:color="BFBFBF"/>
            </w:tcBorders>
            <w:shd w:val="clear" w:color="auto" w:fill="FFFFFF"/>
          </w:tcPr>
          <w:p w:rsidR="00D86A11" w:rsidRPr="00C51502" w:rsidRDefault="00D86A11" w:rsidP="00D86A11">
            <w:pPr>
              <w:spacing w:after="0" w:line="240" w:lineRule="auto"/>
              <w:jc w:val="center"/>
              <w:rPr>
                <w:rFonts w:ascii="Calibri" w:eastAsia="Times New Roman" w:hAnsi="Calibri"/>
                <w:b/>
                <w:color w:val="009242"/>
                <w:sz w:val="20"/>
              </w:rPr>
            </w:pPr>
            <w:r w:rsidRPr="00C51502">
              <w:rPr>
                <w:rFonts w:ascii="Calibri" w:eastAsia="Times New Roman" w:hAnsi="Calibri"/>
                <w:b/>
                <w:color w:val="009242"/>
                <w:sz w:val="20"/>
              </w:rPr>
              <w:t>.3</w:t>
            </w:r>
          </w:p>
        </w:tc>
      </w:tr>
    </w:tbl>
    <w:p w:rsidR="00D86A11" w:rsidRPr="000E7387" w:rsidRDefault="00D86A11" w:rsidP="00D86A11">
      <w:pPr>
        <w:spacing w:before="120" w:after="0"/>
        <w:ind w:right="130"/>
        <w:rPr>
          <w:rFonts w:ascii="Franklin Gothic Book" w:hAnsi="Franklin Gothic Book"/>
          <w:color w:val="auto"/>
          <w:spacing w:val="20"/>
          <w:szCs w:val="28"/>
        </w:rPr>
      </w:pPr>
      <w:r w:rsidRPr="000E7387">
        <w:rPr>
          <w:rFonts w:ascii="Franklin Gothic Book" w:hAnsi="Franklin Gothic Book"/>
          <w:color w:val="auto"/>
          <w:spacing w:val="20"/>
          <w:szCs w:val="28"/>
        </w:rPr>
        <w:t xml:space="preserve">The rate of children entering out-of-home care for the first time decreased from .11 per 1000 children, in calendar year 2010, to .10 in calendar year 2015, although the number entering during the year remained the same at 76. The rate of children in out-of-home-care, as of July 1 each year, dropped from .3 (237) per 1000 in 2010 to .2 (142) in 2015. </w:t>
      </w:r>
    </w:p>
    <w:p w:rsidR="00D86A11" w:rsidRPr="000E7387" w:rsidRDefault="00D86A11" w:rsidP="00D86A11">
      <w:pPr>
        <w:spacing w:before="120" w:after="0"/>
        <w:ind w:right="130"/>
        <w:rPr>
          <w:rFonts w:ascii="Franklin Gothic Book" w:hAnsi="Franklin Gothic Book"/>
          <w:color w:val="auto"/>
          <w:spacing w:val="20"/>
          <w:szCs w:val="28"/>
        </w:rPr>
      </w:pPr>
      <w:r w:rsidRPr="000E7387">
        <w:rPr>
          <w:rFonts w:ascii="Franklin Gothic Book" w:hAnsi="Franklin Gothic Book"/>
          <w:color w:val="auto"/>
          <w:spacing w:val="20"/>
          <w:szCs w:val="28"/>
        </w:rPr>
        <w:t xml:space="preserve">Because the rates are so small and can vary widely from year to year with even very small changes in numbers, the CDSS/UCB website does not provide incidence rates for age and ethnicity breakdowns. Therefore, a comparison of the 2010 and 2015 numbers is provided below instead. </w:t>
      </w:r>
    </w:p>
    <w:p w:rsidR="00D86A11" w:rsidRDefault="00D86A11" w:rsidP="00D86A11">
      <w:pPr>
        <w:spacing w:before="120" w:after="0"/>
        <w:ind w:right="130"/>
        <w:rPr>
          <w:rFonts w:ascii="Franklin Gothic Book" w:hAnsi="Franklin Gothic Book"/>
          <w:color w:val="auto"/>
          <w:spacing w:val="20"/>
          <w:szCs w:val="28"/>
        </w:rPr>
      </w:pPr>
      <w:r w:rsidRPr="000E7387">
        <w:rPr>
          <w:rFonts w:ascii="Franklin Gothic Book" w:hAnsi="Franklin Gothic Book"/>
          <w:color w:val="auto"/>
          <w:spacing w:val="20"/>
          <w:szCs w:val="28"/>
        </w:rPr>
        <w:t xml:space="preserve">From 2010 to 2015, </w:t>
      </w:r>
      <w:r>
        <w:rPr>
          <w:rFonts w:ascii="Franklin Gothic Book" w:hAnsi="Franklin Gothic Book"/>
          <w:color w:val="auto"/>
          <w:spacing w:val="20"/>
          <w:szCs w:val="28"/>
        </w:rPr>
        <w:t>t</w:t>
      </w:r>
      <w:r w:rsidRPr="00CB1C50">
        <w:rPr>
          <w:rFonts w:ascii="Franklin Gothic Book" w:hAnsi="Franklin Gothic Book"/>
          <w:color w:val="auto"/>
          <w:spacing w:val="20"/>
          <w:szCs w:val="28"/>
        </w:rPr>
        <w:t xml:space="preserve">here was a decrease </w:t>
      </w:r>
      <w:r>
        <w:rPr>
          <w:rFonts w:ascii="Franklin Gothic Book" w:hAnsi="Franklin Gothic Book"/>
          <w:color w:val="auto"/>
          <w:spacing w:val="20"/>
          <w:szCs w:val="28"/>
        </w:rPr>
        <w:t>in the</w:t>
      </w:r>
      <w:r w:rsidR="008C747B">
        <w:rPr>
          <w:rFonts w:ascii="Franklin Gothic Book" w:hAnsi="Franklin Gothic Book"/>
          <w:color w:val="auto"/>
          <w:spacing w:val="20"/>
          <w:szCs w:val="28"/>
        </w:rPr>
        <w:t xml:space="preserve"> number</w:t>
      </w:r>
      <w:r>
        <w:rPr>
          <w:rFonts w:ascii="Franklin Gothic Book" w:hAnsi="Franklin Gothic Book"/>
          <w:color w:val="auto"/>
          <w:spacing w:val="20"/>
          <w:szCs w:val="28"/>
        </w:rPr>
        <w:t xml:space="preserve"> of entr</w:t>
      </w:r>
      <w:r w:rsidR="008C747B">
        <w:rPr>
          <w:rFonts w:ascii="Franklin Gothic Book" w:hAnsi="Franklin Gothic Book"/>
          <w:color w:val="auto"/>
          <w:spacing w:val="20"/>
          <w:szCs w:val="28"/>
        </w:rPr>
        <w:t>ies</w:t>
      </w:r>
      <w:r>
        <w:rPr>
          <w:rFonts w:ascii="Franklin Gothic Book" w:hAnsi="Franklin Gothic Book"/>
          <w:color w:val="auto"/>
          <w:spacing w:val="20"/>
          <w:szCs w:val="28"/>
        </w:rPr>
        <w:t xml:space="preserve"> into foster care </w:t>
      </w:r>
      <w:r w:rsidRPr="00CB1C50">
        <w:rPr>
          <w:rFonts w:ascii="Franklin Gothic Book" w:hAnsi="Franklin Gothic Book"/>
          <w:color w:val="auto"/>
          <w:spacing w:val="20"/>
          <w:szCs w:val="28"/>
        </w:rPr>
        <w:t xml:space="preserve">for the 11-15 age group </w:t>
      </w:r>
      <w:r>
        <w:rPr>
          <w:rFonts w:ascii="Franklin Gothic Book" w:hAnsi="Franklin Gothic Book"/>
          <w:color w:val="auto"/>
          <w:spacing w:val="20"/>
          <w:szCs w:val="28"/>
        </w:rPr>
        <w:t xml:space="preserve">which </w:t>
      </w:r>
      <w:r w:rsidRPr="00CB1C50">
        <w:rPr>
          <w:rFonts w:ascii="Franklin Gothic Book" w:hAnsi="Franklin Gothic Book"/>
          <w:color w:val="auto"/>
          <w:spacing w:val="20"/>
          <w:szCs w:val="28"/>
        </w:rPr>
        <w:t xml:space="preserve">could </w:t>
      </w:r>
      <w:r>
        <w:rPr>
          <w:rFonts w:ascii="Franklin Gothic Book" w:hAnsi="Franklin Gothic Book"/>
          <w:color w:val="auto"/>
          <w:spacing w:val="20"/>
          <w:szCs w:val="28"/>
        </w:rPr>
        <w:t xml:space="preserve">be </w:t>
      </w:r>
      <w:r w:rsidRPr="00CB1C50">
        <w:rPr>
          <w:rFonts w:ascii="Franklin Gothic Book" w:hAnsi="Franklin Gothic Book"/>
          <w:color w:val="auto"/>
          <w:spacing w:val="20"/>
          <w:szCs w:val="28"/>
        </w:rPr>
        <w:t>the result of improved case planning</w:t>
      </w:r>
      <w:r w:rsidR="00F56885">
        <w:rPr>
          <w:rFonts w:ascii="Franklin Gothic Book" w:hAnsi="Franklin Gothic Book"/>
          <w:color w:val="auto"/>
          <w:spacing w:val="20"/>
          <w:szCs w:val="28"/>
        </w:rPr>
        <w:t xml:space="preserve">, </w:t>
      </w:r>
      <w:r>
        <w:rPr>
          <w:rFonts w:ascii="Franklin Gothic Book" w:hAnsi="Franklin Gothic Book"/>
          <w:color w:val="auto"/>
          <w:spacing w:val="20"/>
          <w:szCs w:val="28"/>
        </w:rPr>
        <w:t>case management practices,</w:t>
      </w:r>
      <w:r w:rsidR="00F56885">
        <w:rPr>
          <w:rFonts w:ascii="Franklin Gothic Book" w:hAnsi="Franklin Gothic Book"/>
          <w:color w:val="auto"/>
          <w:spacing w:val="20"/>
          <w:szCs w:val="28"/>
        </w:rPr>
        <w:t xml:space="preserve"> and</w:t>
      </w:r>
      <w:r>
        <w:rPr>
          <w:rFonts w:ascii="Franklin Gothic Book" w:hAnsi="Franklin Gothic Book"/>
          <w:color w:val="auto"/>
          <w:spacing w:val="20"/>
          <w:szCs w:val="28"/>
        </w:rPr>
        <w:t xml:space="preserve"> </w:t>
      </w:r>
      <w:r w:rsidRPr="00CB1C50">
        <w:rPr>
          <w:rFonts w:ascii="Franklin Gothic Book" w:hAnsi="Franklin Gothic Book"/>
          <w:color w:val="auto"/>
          <w:spacing w:val="20"/>
          <w:szCs w:val="28"/>
        </w:rPr>
        <w:t>an improved collaboration with CWS. Youth between the ages of 16 and 17 saw an increase</w:t>
      </w:r>
      <w:r>
        <w:rPr>
          <w:rFonts w:ascii="Franklin Gothic Book" w:hAnsi="Franklin Gothic Book"/>
          <w:color w:val="auto"/>
          <w:spacing w:val="20"/>
          <w:szCs w:val="28"/>
        </w:rPr>
        <w:t xml:space="preserve"> in the</w:t>
      </w:r>
      <w:r w:rsidR="008C747B">
        <w:rPr>
          <w:rFonts w:ascii="Franklin Gothic Book" w:hAnsi="Franklin Gothic Book"/>
          <w:color w:val="auto"/>
          <w:spacing w:val="20"/>
          <w:szCs w:val="28"/>
        </w:rPr>
        <w:t xml:space="preserve"> number</w:t>
      </w:r>
      <w:r>
        <w:rPr>
          <w:rFonts w:ascii="Franklin Gothic Book" w:hAnsi="Franklin Gothic Book"/>
          <w:color w:val="auto"/>
          <w:spacing w:val="20"/>
          <w:szCs w:val="28"/>
        </w:rPr>
        <w:t xml:space="preserve"> of entr</w:t>
      </w:r>
      <w:r w:rsidR="008C747B">
        <w:rPr>
          <w:rFonts w:ascii="Franklin Gothic Book" w:hAnsi="Franklin Gothic Book"/>
          <w:color w:val="auto"/>
          <w:spacing w:val="20"/>
          <w:szCs w:val="28"/>
        </w:rPr>
        <w:t>ies</w:t>
      </w:r>
      <w:r>
        <w:rPr>
          <w:rFonts w:ascii="Franklin Gothic Book" w:hAnsi="Franklin Gothic Book"/>
          <w:color w:val="auto"/>
          <w:spacing w:val="20"/>
          <w:szCs w:val="28"/>
        </w:rPr>
        <w:t xml:space="preserve"> into foster care</w:t>
      </w:r>
      <w:r w:rsidRPr="00CB1C50">
        <w:rPr>
          <w:rFonts w:ascii="Franklin Gothic Book" w:hAnsi="Franklin Gothic Book"/>
          <w:color w:val="auto"/>
          <w:spacing w:val="20"/>
          <w:szCs w:val="28"/>
        </w:rPr>
        <w:t xml:space="preserve"> </w:t>
      </w:r>
      <w:r>
        <w:rPr>
          <w:rFonts w:ascii="Franklin Gothic Book" w:hAnsi="Franklin Gothic Book"/>
          <w:color w:val="auto"/>
          <w:spacing w:val="20"/>
          <w:szCs w:val="28"/>
        </w:rPr>
        <w:t xml:space="preserve">which could </w:t>
      </w:r>
      <w:r w:rsidRPr="00CB1C50">
        <w:rPr>
          <w:rFonts w:ascii="Franklin Gothic Book" w:hAnsi="Franklin Gothic Book"/>
          <w:color w:val="auto"/>
          <w:spacing w:val="20"/>
          <w:szCs w:val="28"/>
        </w:rPr>
        <w:t xml:space="preserve">be attributed to the </w:t>
      </w:r>
      <w:r>
        <w:rPr>
          <w:rFonts w:ascii="Franklin Gothic Book" w:hAnsi="Franklin Gothic Book"/>
          <w:color w:val="auto"/>
          <w:spacing w:val="20"/>
          <w:szCs w:val="28"/>
        </w:rPr>
        <w:t>need</w:t>
      </w:r>
      <w:r w:rsidRPr="00CB1C50">
        <w:rPr>
          <w:rFonts w:ascii="Franklin Gothic Book" w:hAnsi="Franklin Gothic Book"/>
          <w:color w:val="auto"/>
          <w:spacing w:val="20"/>
          <w:szCs w:val="28"/>
        </w:rPr>
        <w:t xml:space="preserve"> for </w:t>
      </w:r>
      <w:r>
        <w:rPr>
          <w:rFonts w:ascii="Franklin Gothic Book" w:hAnsi="Franklin Gothic Book"/>
          <w:color w:val="auto"/>
          <w:spacing w:val="20"/>
          <w:szCs w:val="28"/>
        </w:rPr>
        <w:t xml:space="preserve">a </w:t>
      </w:r>
      <w:r w:rsidRPr="00CB1C50">
        <w:rPr>
          <w:rFonts w:ascii="Franklin Gothic Book" w:hAnsi="Franklin Gothic Book"/>
          <w:color w:val="auto"/>
          <w:spacing w:val="20"/>
          <w:szCs w:val="28"/>
        </w:rPr>
        <w:t>higher level of services for this age group.</w:t>
      </w:r>
    </w:p>
    <w:p w:rsidR="00BC12C6" w:rsidRPr="00BC12C6" w:rsidRDefault="00BC12C6" w:rsidP="00D86A11">
      <w:pPr>
        <w:spacing w:before="120" w:after="0"/>
        <w:ind w:right="130"/>
        <w:rPr>
          <w:rFonts w:ascii="Franklin Gothic Book" w:hAnsi="Franklin Gothic Book"/>
          <w:color w:val="auto"/>
          <w:spacing w:val="20"/>
          <w:sz w:val="2"/>
          <w:szCs w:val="16"/>
        </w:rPr>
      </w:pPr>
    </w:p>
    <w:tbl>
      <w:tblPr>
        <w:tblpPr w:leftFromText="180" w:rightFromText="180" w:vertAnchor="text" w:horzAnchor="margin" w:tblpY="84"/>
        <w:tblW w:w="9558" w:type="dxa"/>
        <w:tblBorders>
          <w:top w:val="single" w:sz="18" w:space="0" w:color="F6872B"/>
          <w:bottom w:val="single" w:sz="18" w:space="0" w:color="F6872B"/>
        </w:tblBorders>
        <w:tblLook w:val="04A0" w:firstRow="1" w:lastRow="0" w:firstColumn="1" w:lastColumn="0" w:noHBand="0" w:noVBand="1"/>
      </w:tblPr>
      <w:tblGrid>
        <w:gridCol w:w="3438"/>
        <w:gridCol w:w="3780"/>
        <w:gridCol w:w="2340"/>
      </w:tblGrid>
      <w:tr w:rsidR="00D86A11" w:rsidRPr="00ED1D85">
        <w:trPr>
          <w:trHeight w:val="702"/>
        </w:trPr>
        <w:tc>
          <w:tcPr>
            <w:tcW w:w="9558" w:type="dxa"/>
            <w:gridSpan w:val="3"/>
            <w:shd w:val="clear" w:color="auto" w:fill="013161"/>
          </w:tcPr>
          <w:p w:rsidR="00D86A11" w:rsidRPr="00C51904" w:rsidRDefault="00D86A11" w:rsidP="00D86A11">
            <w:pPr>
              <w:spacing w:after="0" w:line="240" w:lineRule="auto"/>
              <w:jc w:val="center"/>
              <w:rPr>
                <w:rFonts w:ascii="Calibri" w:hAnsi="Calibri"/>
                <w:b/>
                <w:color w:val="FFFFFF"/>
                <w:sz w:val="24"/>
              </w:rPr>
            </w:pPr>
            <w:r>
              <w:rPr>
                <w:rFonts w:ascii="Calibri" w:hAnsi="Calibri"/>
                <w:b/>
                <w:color w:val="FFFFFF"/>
                <w:sz w:val="24"/>
              </w:rPr>
              <w:t xml:space="preserve">Exhibit 34. County of San Diego </w:t>
            </w:r>
            <w:r w:rsidRPr="00C51904">
              <w:rPr>
                <w:rFonts w:ascii="Calibri" w:hAnsi="Calibri"/>
                <w:b/>
                <w:color w:val="FFFFFF"/>
                <w:sz w:val="24"/>
              </w:rPr>
              <w:t>Probation</w:t>
            </w:r>
          </w:p>
          <w:p w:rsidR="00D86A11" w:rsidRPr="000055D1" w:rsidRDefault="00D86A11" w:rsidP="00D86A11">
            <w:pPr>
              <w:spacing w:after="0" w:line="240" w:lineRule="auto"/>
              <w:jc w:val="center"/>
              <w:rPr>
                <w:rFonts w:ascii="Calibri" w:hAnsi="Calibri"/>
                <w:b/>
                <w:color w:val="FFFFFF"/>
              </w:rPr>
            </w:pPr>
            <w:r w:rsidRPr="00C51904">
              <w:rPr>
                <w:rFonts w:ascii="Calibri" w:hAnsi="Calibri"/>
                <w:b/>
                <w:color w:val="FFFFFF"/>
                <w:sz w:val="24"/>
              </w:rPr>
              <w:t xml:space="preserve">Number of First Entries into Care by Age, CY 2010 </w:t>
            </w:r>
            <w:r>
              <w:rPr>
                <w:rFonts w:ascii="Calibri" w:hAnsi="Calibri"/>
                <w:b/>
                <w:color w:val="FFFFFF"/>
                <w:sz w:val="24"/>
              </w:rPr>
              <w:t>and</w:t>
            </w:r>
            <w:r w:rsidRPr="00C51904">
              <w:rPr>
                <w:rFonts w:ascii="Calibri" w:hAnsi="Calibri"/>
                <w:b/>
                <w:color w:val="FFFFFF"/>
                <w:sz w:val="24"/>
              </w:rPr>
              <w:t xml:space="preserve"> 2015</w:t>
            </w:r>
          </w:p>
        </w:tc>
      </w:tr>
      <w:tr w:rsidR="00D86A11" w:rsidRPr="00ED1D85">
        <w:trPr>
          <w:trHeight w:val="257"/>
        </w:trPr>
        <w:tc>
          <w:tcPr>
            <w:tcW w:w="3438" w:type="dxa"/>
            <w:shd w:val="clear" w:color="auto" w:fill="013161"/>
          </w:tcPr>
          <w:p w:rsidR="00D86A11" w:rsidRPr="00721EF1" w:rsidRDefault="00D86A11" w:rsidP="00D86A11">
            <w:pPr>
              <w:spacing w:after="0" w:line="240" w:lineRule="auto"/>
              <w:rPr>
                <w:rFonts w:ascii="Calibri" w:eastAsia="Times New Roman" w:hAnsi="Calibri" w:cs="Arial"/>
                <w:b/>
                <w:bCs/>
                <w:color w:val="FFFFFF"/>
              </w:rPr>
            </w:pPr>
            <w:r w:rsidRPr="00721EF1">
              <w:rPr>
                <w:rFonts w:ascii="Calibri" w:eastAsia="Times New Roman" w:hAnsi="Calibri" w:cs="Arial"/>
                <w:b/>
                <w:bCs/>
                <w:color w:val="FFFFFF"/>
              </w:rPr>
              <w:t>Age Group</w:t>
            </w:r>
          </w:p>
        </w:tc>
        <w:tc>
          <w:tcPr>
            <w:tcW w:w="3780"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2010</w:t>
            </w:r>
          </w:p>
        </w:tc>
        <w:tc>
          <w:tcPr>
            <w:tcW w:w="2340"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2015</w:t>
            </w:r>
          </w:p>
        </w:tc>
      </w:tr>
      <w:tr w:rsidR="00D86A11" w:rsidRPr="00ED1D85">
        <w:trPr>
          <w:trHeight w:val="257"/>
        </w:trPr>
        <w:tc>
          <w:tcPr>
            <w:tcW w:w="3438" w:type="dxa"/>
            <w:shd w:val="clear" w:color="auto" w:fill="auto"/>
          </w:tcPr>
          <w:p w:rsidR="00D86A11" w:rsidRPr="009D5EF2" w:rsidRDefault="00D86A11" w:rsidP="00D86A11">
            <w:pPr>
              <w:spacing w:after="0" w:line="240" w:lineRule="auto"/>
              <w:rPr>
                <w:rFonts w:ascii="Calibri" w:eastAsia="Times New Roman" w:hAnsi="Calibri" w:cs="Arial"/>
                <w:b/>
                <w:color w:val="013161"/>
                <w:sz w:val="20"/>
              </w:rPr>
            </w:pPr>
            <w:r w:rsidRPr="009D5EF2">
              <w:rPr>
                <w:rFonts w:ascii="Calibri" w:eastAsia="Times New Roman" w:hAnsi="Calibri" w:cs="Arial"/>
                <w:b/>
                <w:color w:val="013161"/>
                <w:sz w:val="20"/>
              </w:rPr>
              <w:t>11-15</w:t>
            </w:r>
          </w:p>
        </w:tc>
        <w:tc>
          <w:tcPr>
            <w:tcW w:w="3780" w:type="dxa"/>
            <w:shd w:val="clear" w:color="auto" w:fill="auto"/>
          </w:tcPr>
          <w:p w:rsidR="00D86A11" w:rsidRPr="009D5EF2" w:rsidRDefault="00D86A11" w:rsidP="00D86A11">
            <w:pPr>
              <w:spacing w:after="0" w:line="240" w:lineRule="auto"/>
              <w:jc w:val="center"/>
              <w:rPr>
                <w:rFonts w:ascii="Calibri" w:eastAsia="Times New Roman" w:hAnsi="Calibri" w:cs="Arial"/>
                <w:b/>
                <w:color w:val="013161"/>
                <w:sz w:val="20"/>
              </w:rPr>
            </w:pPr>
            <w:r w:rsidRPr="009D5EF2">
              <w:rPr>
                <w:rFonts w:ascii="Calibri" w:eastAsia="Times New Roman" w:hAnsi="Calibri" w:cs="Arial"/>
                <w:b/>
                <w:color w:val="013161"/>
                <w:sz w:val="20"/>
              </w:rPr>
              <w:t>43</w:t>
            </w:r>
          </w:p>
        </w:tc>
        <w:tc>
          <w:tcPr>
            <w:tcW w:w="2340" w:type="dxa"/>
            <w:shd w:val="clear" w:color="auto" w:fill="auto"/>
          </w:tcPr>
          <w:p w:rsidR="00D86A11" w:rsidRPr="009D5EF2" w:rsidRDefault="00D86A11" w:rsidP="00D86A11">
            <w:pPr>
              <w:spacing w:after="0" w:line="240" w:lineRule="auto"/>
              <w:jc w:val="center"/>
              <w:rPr>
                <w:rFonts w:ascii="Calibri" w:eastAsia="Times New Roman" w:hAnsi="Calibri" w:cs="Arial"/>
                <w:b/>
                <w:color w:val="013161"/>
                <w:sz w:val="20"/>
              </w:rPr>
            </w:pPr>
            <w:r w:rsidRPr="009D5EF2">
              <w:rPr>
                <w:rFonts w:ascii="Calibri" w:eastAsia="Times New Roman" w:hAnsi="Calibri" w:cs="Arial"/>
                <w:b/>
                <w:color w:val="013161"/>
                <w:sz w:val="20"/>
              </w:rPr>
              <w:t>26</w:t>
            </w:r>
          </w:p>
        </w:tc>
      </w:tr>
      <w:tr w:rsidR="00D86A11" w:rsidRPr="00ED1D85">
        <w:trPr>
          <w:trHeight w:val="257"/>
        </w:trPr>
        <w:tc>
          <w:tcPr>
            <w:tcW w:w="3438" w:type="dxa"/>
            <w:shd w:val="clear" w:color="auto" w:fill="DBE5F1"/>
          </w:tcPr>
          <w:p w:rsidR="00D86A11" w:rsidRPr="009D5EF2" w:rsidRDefault="00D86A11" w:rsidP="00D86A11">
            <w:pPr>
              <w:spacing w:after="0" w:line="240" w:lineRule="auto"/>
              <w:rPr>
                <w:rFonts w:ascii="Calibri" w:eastAsia="Times New Roman" w:hAnsi="Calibri" w:cs="Arial"/>
                <w:b/>
                <w:color w:val="013161"/>
                <w:sz w:val="20"/>
              </w:rPr>
            </w:pPr>
            <w:r w:rsidRPr="009D5EF2">
              <w:rPr>
                <w:rFonts w:ascii="Calibri" w:eastAsia="Times New Roman" w:hAnsi="Calibri" w:cs="Arial"/>
                <w:b/>
                <w:color w:val="013161"/>
                <w:sz w:val="20"/>
              </w:rPr>
              <w:t>16-17</w:t>
            </w:r>
          </w:p>
        </w:tc>
        <w:tc>
          <w:tcPr>
            <w:tcW w:w="3780" w:type="dxa"/>
            <w:shd w:val="clear" w:color="auto" w:fill="DBE5F1"/>
          </w:tcPr>
          <w:p w:rsidR="00D86A11" w:rsidRPr="009D5EF2" w:rsidRDefault="00D86A11" w:rsidP="00D86A11">
            <w:pPr>
              <w:spacing w:after="0" w:line="240" w:lineRule="auto"/>
              <w:jc w:val="center"/>
              <w:rPr>
                <w:rFonts w:ascii="Calibri" w:eastAsia="Times New Roman" w:hAnsi="Calibri" w:cs="Arial"/>
                <w:b/>
                <w:color w:val="013161"/>
                <w:sz w:val="20"/>
              </w:rPr>
            </w:pPr>
            <w:r w:rsidRPr="009D5EF2">
              <w:rPr>
                <w:rFonts w:ascii="Calibri" w:eastAsia="Times New Roman" w:hAnsi="Calibri" w:cs="Arial"/>
                <w:b/>
                <w:color w:val="013161"/>
                <w:sz w:val="20"/>
              </w:rPr>
              <w:t>33</w:t>
            </w:r>
          </w:p>
        </w:tc>
        <w:tc>
          <w:tcPr>
            <w:tcW w:w="2340" w:type="dxa"/>
            <w:shd w:val="clear" w:color="auto" w:fill="DBE5F1"/>
          </w:tcPr>
          <w:p w:rsidR="00D86A11" w:rsidRPr="009D5EF2" w:rsidRDefault="00D86A11" w:rsidP="00D86A11">
            <w:pPr>
              <w:spacing w:after="0" w:line="240" w:lineRule="auto"/>
              <w:jc w:val="center"/>
              <w:rPr>
                <w:rFonts w:ascii="Calibri" w:eastAsia="Times New Roman" w:hAnsi="Calibri" w:cs="Arial"/>
                <w:b/>
                <w:color w:val="013161"/>
                <w:sz w:val="20"/>
              </w:rPr>
            </w:pPr>
            <w:r w:rsidRPr="009D5EF2">
              <w:rPr>
                <w:rFonts w:ascii="Calibri" w:eastAsia="Times New Roman" w:hAnsi="Calibri" w:cs="Arial"/>
                <w:b/>
                <w:color w:val="013161"/>
                <w:sz w:val="20"/>
              </w:rPr>
              <w:t>50</w:t>
            </w:r>
          </w:p>
        </w:tc>
      </w:tr>
      <w:tr w:rsidR="00D86A11" w:rsidRPr="00ED1D85">
        <w:trPr>
          <w:trHeight w:val="257"/>
        </w:trPr>
        <w:tc>
          <w:tcPr>
            <w:tcW w:w="3438" w:type="dxa"/>
            <w:shd w:val="clear" w:color="auto" w:fill="auto"/>
          </w:tcPr>
          <w:p w:rsidR="00D86A11" w:rsidRPr="009D5EF2" w:rsidRDefault="00D86A11" w:rsidP="00D86A11">
            <w:pPr>
              <w:spacing w:after="0" w:line="240" w:lineRule="auto"/>
              <w:rPr>
                <w:rFonts w:ascii="Calibri" w:eastAsia="Times New Roman" w:hAnsi="Calibri" w:cs="Arial"/>
                <w:b/>
                <w:color w:val="013161"/>
                <w:sz w:val="20"/>
              </w:rPr>
            </w:pPr>
            <w:r w:rsidRPr="009D5EF2">
              <w:rPr>
                <w:rFonts w:ascii="Calibri" w:eastAsia="Times New Roman" w:hAnsi="Calibri" w:cs="Arial"/>
                <w:b/>
                <w:color w:val="013161"/>
                <w:sz w:val="20"/>
              </w:rPr>
              <w:t>Total</w:t>
            </w:r>
          </w:p>
        </w:tc>
        <w:tc>
          <w:tcPr>
            <w:tcW w:w="3780" w:type="dxa"/>
            <w:shd w:val="clear" w:color="auto" w:fill="auto"/>
          </w:tcPr>
          <w:p w:rsidR="00D86A11" w:rsidRPr="009D5EF2" w:rsidRDefault="00D86A11" w:rsidP="00D86A11">
            <w:pPr>
              <w:spacing w:after="0" w:line="240" w:lineRule="auto"/>
              <w:jc w:val="center"/>
              <w:rPr>
                <w:rFonts w:ascii="Calibri" w:eastAsia="Times New Roman" w:hAnsi="Calibri" w:cs="Arial"/>
                <w:b/>
                <w:color w:val="013161"/>
                <w:sz w:val="20"/>
              </w:rPr>
            </w:pPr>
            <w:r w:rsidRPr="009D5EF2">
              <w:rPr>
                <w:rFonts w:ascii="Calibri" w:eastAsia="Times New Roman" w:hAnsi="Calibri" w:cs="Arial"/>
                <w:b/>
                <w:color w:val="013161"/>
                <w:sz w:val="20"/>
              </w:rPr>
              <w:t>76</w:t>
            </w:r>
          </w:p>
        </w:tc>
        <w:tc>
          <w:tcPr>
            <w:tcW w:w="2340" w:type="dxa"/>
            <w:shd w:val="clear" w:color="auto" w:fill="auto"/>
          </w:tcPr>
          <w:p w:rsidR="00D86A11" w:rsidRPr="009D5EF2" w:rsidRDefault="00D86A11" w:rsidP="00D86A11">
            <w:pPr>
              <w:spacing w:after="0" w:line="240" w:lineRule="auto"/>
              <w:jc w:val="center"/>
              <w:rPr>
                <w:rFonts w:ascii="Calibri" w:eastAsia="Times New Roman" w:hAnsi="Calibri" w:cs="Arial"/>
                <w:b/>
                <w:color w:val="013161"/>
                <w:sz w:val="20"/>
              </w:rPr>
            </w:pPr>
            <w:r w:rsidRPr="009D5EF2">
              <w:rPr>
                <w:rFonts w:ascii="Calibri" w:eastAsia="Times New Roman" w:hAnsi="Calibri" w:cs="Arial"/>
                <w:b/>
                <w:color w:val="013161"/>
                <w:sz w:val="20"/>
              </w:rPr>
              <w:t>76</w:t>
            </w:r>
          </w:p>
        </w:tc>
      </w:tr>
    </w:tbl>
    <w:p w:rsidR="00D86A11" w:rsidRPr="00E071BE" w:rsidRDefault="00D86A11" w:rsidP="00D86A11">
      <w:pPr>
        <w:spacing w:before="120" w:after="0"/>
        <w:ind w:right="130"/>
        <w:rPr>
          <w:rFonts w:ascii="Franklin Gothic Book" w:hAnsi="Franklin Gothic Book"/>
          <w:color w:val="auto"/>
          <w:spacing w:val="20"/>
          <w:sz w:val="10"/>
          <w:szCs w:val="28"/>
        </w:rPr>
      </w:pPr>
    </w:p>
    <w:p w:rsidR="00D86A11" w:rsidRDefault="00D86A11" w:rsidP="00D86A11">
      <w:p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As Exhibit 35 shows, t</w:t>
      </w:r>
      <w:r w:rsidRPr="000E7387">
        <w:rPr>
          <w:rFonts w:ascii="Franklin Gothic Book" w:hAnsi="Franklin Gothic Book"/>
          <w:color w:val="auto"/>
          <w:spacing w:val="20"/>
          <w:szCs w:val="28"/>
        </w:rPr>
        <w:t xml:space="preserve">here was very little variation in the race/ethnicities of the youth entering the system between 2010 and 2015. </w:t>
      </w:r>
      <w:r>
        <w:rPr>
          <w:rFonts w:ascii="Franklin Gothic Book" w:hAnsi="Franklin Gothic Book"/>
          <w:color w:val="auto"/>
          <w:spacing w:val="20"/>
          <w:szCs w:val="28"/>
        </w:rPr>
        <w:t>The</w:t>
      </w:r>
      <w:r w:rsidRPr="00EF094D">
        <w:rPr>
          <w:rFonts w:ascii="Franklin Gothic Book" w:hAnsi="Franklin Gothic Book"/>
          <w:color w:val="auto"/>
          <w:spacing w:val="20"/>
          <w:szCs w:val="28"/>
        </w:rPr>
        <w:t xml:space="preserve"> trend has remained consistent over the years, with very little fluctuation.</w:t>
      </w:r>
    </w:p>
    <w:p w:rsidR="00BC12C6" w:rsidRPr="00BC12C6" w:rsidRDefault="00BC12C6" w:rsidP="00D86A11">
      <w:pPr>
        <w:spacing w:before="120" w:after="0"/>
        <w:ind w:right="130"/>
        <w:rPr>
          <w:rFonts w:ascii="Franklin Gothic Book" w:hAnsi="Franklin Gothic Book"/>
          <w:color w:val="auto"/>
          <w:spacing w:val="20"/>
          <w:sz w:val="2"/>
          <w:szCs w:val="16"/>
        </w:rPr>
      </w:pPr>
    </w:p>
    <w:tbl>
      <w:tblPr>
        <w:tblpPr w:leftFromText="180" w:rightFromText="180" w:vertAnchor="text" w:horzAnchor="margin" w:tblpY="109"/>
        <w:tblW w:w="9558" w:type="dxa"/>
        <w:tblBorders>
          <w:top w:val="single" w:sz="18" w:space="0" w:color="F6872B"/>
          <w:bottom w:val="single" w:sz="18" w:space="0" w:color="F6872B"/>
        </w:tblBorders>
        <w:tblLook w:val="04A0" w:firstRow="1" w:lastRow="0" w:firstColumn="1" w:lastColumn="0" w:noHBand="0" w:noVBand="1"/>
      </w:tblPr>
      <w:tblGrid>
        <w:gridCol w:w="3618"/>
        <w:gridCol w:w="3600"/>
        <w:gridCol w:w="2340"/>
      </w:tblGrid>
      <w:tr w:rsidR="00D86A11" w:rsidRPr="00ED1D85">
        <w:trPr>
          <w:trHeight w:val="693"/>
        </w:trPr>
        <w:tc>
          <w:tcPr>
            <w:tcW w:w="9558" w:type="dxa"/>
            <w:gridSpan w:val="3"/>
            <w:shd w:val="clear" w:color="auto" w:fill="013161"/>
          </w:tcPr>
          <w:p w:rsidR="00D86A11" w:rsidRPr="000055D1" w:rsidRDefault="00D86A11" w:rsidP="00D86A11">
            <w:pPr>
              <w:spacing w:after="0" w:line="240" w:lineRule="auto"/>
              <w:jc w:val="center"/>
              <w:rPr>
                <w:rFonts w:ascii="Calibri" w:eastAsia="Times New Roman" w:hAnsi="Calibri" w:cs="Arial"/>
                <w:b/>
                <w:bCs/>
              </w:rPr>
            </w:pPr>
            <w:r>
              <w:rPr>
                <w:rFonts w:ascii="Calibri" w:hAnsi="Calibri"/>
                <w:b/>
                <w:color w:val="FFFFFF"/>
                <w:sz w:val="24"/>
              </w:rPr>
              <w:t xml:space="preserve">Exhibit 35. County of San Diego </w:t>
            </w:r>
            <w:r w:rsidRPr="00C51904">
              <w:rPr>
                <w:rFonts w:ascii="Calibri" w:hAnsi="Calibri"/>
                <w:b/>
                <w:color w:val="FFFFFF"/>
                <w:sz w:val="24"/>
              </w:rPr>
              <w:t>Probation, Number of First Entries into</w:t>
            </w:r>
            <w:r>
              <w:rPr>
                <w:rFonts w:ascii="Calibri" w:hAnsi="Calibri"/>
                <w:b/>
                <w:color w:val="FFFFFF"/>
                <w:sz w:val="24"/>
              </w:rPr>
              <w:t xml:space="preserve"> Care by Ethnic Group, CY 2010 and</w:t>
            </w:r>
            <w:r w:rsidRPr="00C51904">
              <w:rPr>
                <w:rFonts w:ascii="Calibri" w:hAnsi="Calibri"/>
                <w:b/>
                <w:color w:val="FFFFFF"/>
                <w:sz w:val="24"/>
              </w:rPr>
              <w:t xml:space="preserve"> 2015</w:t>
            </w:r>
          </w:p>
        </w:tc>
      </w:tr>
      <w:tr w:rsidR="00D86A11" w:rsidRPr="00ED1D85">
        <w:trPr>
          <w:trHeight w:val="266"/>
        </w:trPr>
        <w:tc>
          <w:tcPr>
            <w:tcW w:w="3618"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Ethnic Group</w:t>
            </w:r>
          </w:p>
        </w:tc>
        <w:tc>
          <w:tcPr>
            <w:tcW w:w="3600"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2010</w:t>
            </w:r>
          </w:p>
        </w:tc>
        <w:tc>
          <w:tcPr>
            <w:tcW w:w="2340"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2015</w:t>
            </w:r>
          </w:p>
        </w:tc>
      </w:tr>
      <w:tr w:rsidR="00D86A11" w:rsidRPr="00ED1D85">
        <w:trPr>
          <w:trHeight w:val="266"/>
        </w:trPr>
        <w:tc>
          <w:tcPr>
            <w:tcW w:w="3618" w:type="dxa"/>
            <w:shd w:val="clear" w:color="auto" w:fill="auto"/>
          </w:tcPr>
          <w:p w:rsidR="00D86A11" w:rsidRPr="00A428E8" w:rsidRDefault="00D86A11" w:rsidP="00D86A11">
            <w:pPr>
              <w:spacing w:after="0" w:line="240" w:lineRule="auto"/>
              <w:rPr>
                <w:rFonts w:ascii="Calibri" w:eastAsia="Times New Roman" w:hAnsi="Calibri" w:cs="Arial"/>
                <w:b/>
                <w:color w:val="013161"/>
                <w:sz w:val="20"/>
              </w:rPr>
            </w:pPr>
            <w:r w:rsidRPr="00A428E8">
              <w:rPr>
                <w:rFonts w:ascii="Calibri" w:eastAsia="Times New Roman" w:hAnsi="Calibri" w:cs="Arial"/>
                <w:b/>
                <w:color w:val="013161"/>
                <w:sz w:val="20"/>
              </w:rPr>
              <w:t>Black</w:t>
            </w:r>
          </w:p>
        </w:tc>
        <w:tc>
          <w:tcPr>
            <w:tcW w:w="3600" w:type="dxa"/>
            <w:shd w:val="clear" w:color="auto" w:fill="auto"/>
          </w:tcPr>
          <w:p w:rsidR="00D86A11" w:rsidRPr="00A428E8" w:rsidRDefault="00D86A11" w:rsidP="00D86A11">
            <w:pPr>
              <w:spacing w:after="0" w:line="240" w:lineRule="auto"/>
              <w:jc w:val="center"/>
              <w:rPr>
                <w:rFonts w:ascii="Calibri" w:eastAsia="Times New Roman" w:hAnsi="Calibri" w:cs="Arial"/>
                <w:b/>
                <w:color w:val="013161"/>
                <w:sz w:val="20"/>
              </w:rPr>
            </w:pPr>
            <w:r w:rsidRPr="00A428E8">
              <w:rPr>
                <w:rFonts w:ascii="Calibri" w:eastAsia="Times New Roman" w:hAnsi="Calibri" w:cs="Arial"/>
                <w:b/>
                <w:color w:val="013161"/>
                <w:sz w:val="20"/>
              </w:rPr>
              <w:t>17</w:t>
            </w:r>
          </w:p>
        </w:tc>
        <w:tc>
          <w:tcPr>
            <w:tcW w:w="2340" w:type="dxa"/>
            <w:shd w:val="clear" w:color="auto" w:fill="auto"/>
          </w:tcPr>
          <w:p w:rsidR="00D86A11" w:rsidRPr="00A428E8" w:rsidRDefault="00D86A11" w:rsidP="00D86A11">
            <w:pPr>
              <w:spacing w:after="0" w:line="240" w:lineRule="auto"/>
              <w:jc w:val="center"/>
              <w:rPr>
                <w:rFonts w:ascii="Calibri" w:eastAsia="Times New Roman" w:hAnsi="Calibri" w:cs="Arial"/>
                <w:b/>
                <w:color w:val="013161"/>
                <w:sz w:val="20"/>
              </w:rPr>
            </w:pPr>
            <w:r w:rsidRPr="00A428E8">
              <w:rPr>
                <w:rFonts w:ascii="Calibri" w:eastAsia="Times New Roman" w:hAnsi="Calibri" w:cs="Arial"/>
                <w:b/>
                <w:color w:val="013161"/>
                <w:sz w:val="20"/>
              </w:rPr>
              <w:t>16</w:t>
            </w:r>
          </w:p>
        </w:tc>
      </w:tr>
      <w:tr w:rsidR="00D86A11" w:rsidRPr="00ED1D85">
        <w:trPr>
          <w:trHeight w:val="266"/>
        </w:trPr>
        <w:tc>
          <w:tcPr>
            <w:tcW w:w="3618" w:type="dxa"/>
            <w:shd w:val="clear" w:color="auto" w:fill="DBE5F1"/>
          </w:tcPr>
          <w:p w:rsidR="00D86A11" w:rsidRPr="00A428E8" w:rsidRDefault="00D86A11" w:rsidP="00D86A11">
            <w:pPr>
              <w:spacing w:after="0" w:line="240" w:lineRule="auto"/>
              <w:rPr>
                <w:rFonts w:ascii="Calibri" w:eastAsia="Times New Roman" w:hAnsi="Calibri" w:cs="Arial"/>
                <w:b/>
                <w:color w:val="013161"/>
                <w:sz w:val="20"/>
              </w:rPr>
            </w:pPr>
            <w:r w:rsidRPr="00A428E8">
              <w:rPr>
                <w:rFonts w:ascii="Calibri" w:eastAsia="Times New Roman" w:hAnsi="Calibri" w:cs="Arial"/>
                <w:b/>
                <w:color w:val="013161"/>
                <w:sz w:val="20"/>
              </w:rPr>
              <w:t>White</w:t>
            </w:r>
          </w:p>
        </w:tc>
        <w:tc>
          <w:tcPr>
            <w:tcW w:w="3600" w:type="dxa"/>
            <w:shd w:val="clear" w:color="auto" w:fill="DBE5F1"/>
          </w:tcPr>
          <w:p w:rsidR="00D86A11" w:rsidRPr="00A428E8" w:rsidRDefault="00D86A11" w:rsidP="00D86A11">
            <w:pPr>
              <w:spacing w:after="0" w:line="240" w:lineRule="auto"/>
              <w:jc w:val="center"/>
              <w:rPr>
                <w:rFonts w:ascii="Calibri" w:eastAsia="Times New Roman" w:hAnsi="Calibri" w:cs="Arial"/>
                <w:b/>
                <w:color w:val="013161"/>
                <w:sz w:val="20"/>
              </w:rPr>
            </w:pPr>
            <w:r w:rsidRPr="00A428E8">
              <w:rPr>
                <w:rFonts w:ascii="Calibri" w:eastAsia="Times New Roman" w:hAnsi="Calibri" w:cs="Arial"/>
                <w:b/>
                <w:color w:val="013161"/>
                <w:sz w:val="20"/>
              </w:rPr>
              <w:t>21</w:t>
            </w:r>
          </w:p>
        </w:tc>
        <w:tc>
          <w:tcPr>
            <w:tcW w:w="2340" w:type="dxa"/>
            <w:shd w:val="clear" w:color="auto" w:fill="DBE5F1"/>
          </w:tcPr>
          <w:p w:rsidR="00D86A11" w:rsidRPr="00A428E8" w:rsidRDefault="00D86A11" w:rsidP="00D86A11">
            <w:pPr>
              <w:spacing w:after="0" w:line="240" w:lineRule="auto"/>
              <w:jc w:val="center"/>
              <w:rPr>
                <w:rFonts w:ascii="Calibri" w:eastAsia="Times New Roman" w:hAnsi="Calibri" w:cs="Arial"/>
                <w:b/>
                <w:color w:val="013161"/>
                <w:sz w:val="20"/>
              </w:rPr>
            </w:pPr>
            <w:r w:rsidRPr="00A428E8">
              <w:rPr>
                <w:rFonts w:ascii="Calibri" w:eastAsia="Times New Roman" w:hAnsi="Calibri" w:cs="Arial"/>
                <w:b/>
                <w:color w:val="013161"/>
                <w:sz w:val="20"/>
              </w:rPr>
              <w:t>22</w:t>
            </w:r>
          </w:p>
        </w:tc>
      </w:tr>
      <w:tr w:rsidR="00D86A11" w:rsidRPr="00ED1D85">
        <w:trPr>
          <w:trHeight w:val="266"/>
        </w:trPr>
        <w:tc>
          <w:tcPr>
            <w:tcW w:w="3618" w:type="dxa"/>
            <w:shd w:val="clear" w:color="auto" w:fill="auto"/>
          </w:tcPr>
          <w:p w:rsidR="00D86A11" w:rsidRPr="00A428E8" w:rsidRDefault="00D86A11" w:rsidP="00D86A11">
            <w:pPr>
              <w:spacing w:after="0" w:line="240" w:lineRule="auto"/>
              <w:rPr>
                <w:rFonts w:ascii="Calibri" w:eastAsia="Times New Roman" w:hAnsi="Calibri" w:cs="Arial"/>
                <w:b/>
                <w:color w:val="013161"/>
                <w:sz w:val="20"/>
              </w:rPr>
            </w:pPr>
            <w:r w:rsidRPr="00A428E8">
              <w:rPr>
                <w:rFonts w:ascii="Calibri" w:eastAsia="Times New Roman" w:hAnsi="Calibri" w:cs="Arial"/>
                <w:b/>
                <w:color w:val="013161"/>
                <w:sz w:val="20"/>
              </w:rPr>
              <w:t>Latino</w:t>
            </w:r>
          </w:p>
        </w:tc>
        <w:tc>
          <w:tcPr>
            <w:tcW w:w="3600" w:type="dxa"/>
            <w:shd w:val="clear" w:color="auto" w:fill="auto"/>
          </w:tcPr>
          <w:p w:rsidR="00D86A11" w:rsidRPr="00A428E8" w:rsidRDefault="00D86A11" w:rsidP="00D86A11">
            <w:pPr>
              <w:spacing w:after="0" w:line="240" w:lineRule="auto"/>
              <w:jc w:val="center"/>
              <w:rPr>
                <w:rFonts w:ascii="Calibri" w:eastAsia="Times New Roman" w:hAnsi="Calibri" w:cs="Arial"/>
                <w:b/>
                <w:color w:val="013161"/>
                <w:sz w:val="20"/>
              </w:rPr>
            </w:pPr>
            <w:r w:rsidRPr="00A428E8">
              <w:rPr>
                <w:rFonts w:ascii="Calibri" w:eastAsia="Times New Roman" w:hAnsi="Calibri" w:cs="Arial"/>
                <w:b/>
                <w:color w:val="013161"/>
                <w:sz w:val="20"/>
              </w:rPr>
              <w:t>34</w:t>
            </w:r>
          </w:p>
        </w:tc>
        <w:tc>
          <w:tcPr>
            <w:tcW w:w="2340" w:type="dxa"/>
            <w:shd w:val="clear" w:color="auto" w:fill="auto"/>
          </w:tcPr>
          <w:p w:rsidR="00D86A11" w:rsidRPr="00A428E8" w:rsidRDefault="00D86A11" w:rsidP="00D86A11">
            <w:pPr>
              <w:spacing w:after="0" w:line="240" w:lineRule="auto"/>
              <w:jc w:val="center"/>
              <w:rPr>
                <w:rFonts w:ascii="Calibri" w:eastAsia="Times New Roman" w:hAnsi="Calibri" w:cs="Arial"/>
                <w:b/>
                <w:color w:val="013161"/>
                <w:sz w:val="20"/>
              </w:rPr>
            </w:pPr>
            <w:r w:rsidRPr="00A428E8">
              <w:rPr>
                <w:rFonts w:ascii="Calibri" w:eastAsia="Times New Roman" w:hAnsi="Calibri" w:cs="Arial"/>
                <w:b/>
                <w:color w:val="013161"/>
                <w:sz w:val="20"/>
              </w:rPr>
              <w:t>33</w:t>
            </w:r>
          </w:p>
        </w:tc>
      </w:tr>
      <w:tr w:rsidR="00D86A11" w:rsidRPr="00ED1D85">
        <w:trPr>
          <w:trHeight w:val="266"/>
        </w:trPr>
        <w:tc>
          <w:tcPr>
            <w:tcW w:w="3618" w:type="dxa"/>
            <w:shd w:val="clear" w:color="auto" w:fill="DBE5F1"/>
          </w:tcPr>
          <w:p w:rsidR="00D86A11" w:rsidRPr="00A428E8" w:rsidRDefault="00D86A11" w:rsidP="00D86A11">
            <w:pPr>
              <w:spacing w:after="0" w:line="240" w:lineRule="auto"/>
              <w:rPr>
                <w:rFonts w:ascii="Calibri" w:eastAsia="Times New Roman" w:hAnsi="Calibri" w:cs="Arial"/>
                <w:b/>
                <w:color w:val="013161"/>
                <w:sz w:val="20"/>
              </w:rPr>
            </w:pPr>
            <w:r w:rsidRPr="00A428E8">
              <w:rPr>
                <w:rFonts w:ascii="Calibri" w:eastAsia="Times New Roman" w:hAnsi="Calibri" w:cs="Arial"/>
                <w:b/>
                <w:color w:val="013161"/>
                <w:sz w:val="20"/>
              </w:rPr>
              <w:t>Asian/P.I.</w:t>
            </w:r>
          </w:p>
        </w:tc>
        <w:tc>
          <w:tcPr>
            <w:tcW w:w="3600" w:type="dxa"/>
            <w:shd w:val="clear" w:color="auto" w:fill="DBE5F1"/>
          </w:tcPr>
          <w:p w:rsidR="00D86A11" w:rsidRPr="00A428E8" w:rsidRDefault="00D86A11" w:rsidP="00D86A11">
            <w:pPr>
              <w:spacing w:after="0" w:line="240" w:lineRule="auto"/>
              <w:jc w:val="center"/>
              <w:rPr>
                <w:rFonts w:ascii="Calibri" w:eastAsia="Times New Roman" w:hAnsi="Calibri" w:cs="Arial"/>
                <w:b/>
                <w:color w:val="013161"/>
                <w:sz w:val="20"/>
              </w:rPr>
            </w:pPr>
            <w:r w:rsidRPr="00A428E8">
              <w:rPr>
                <w:rFonts w:ascii="Calibri" w:eastAsia="Times New Roman" w:hAnsi="Calibri" w:cs="Arial"/>
                <w:b/>
                <w:color w:val="013161"/>
                <w:sz w:val="20"/>
              </w:rPr>
              <w:t>2</w:t>
            </w:r>
          </w:p>
        </w:tc>
        <w:tc>
          <w:tcPr>
            <w:tcW w:w="2340" w:type="dxa"/>
            <w:shd w:val="clear" w:color="auto" w:fill="DBE5F1"/>
          </w:tcPr>
          <w:p w:rsidR="00D86A11" w:rsidRPr="00A428E8" w:rsidRDefault="00D86A11" w:rsidP="00D86A11">
            <w:pPr>
              <w:spacing w:after="0" w:line="240" w:lineRule="auto"/>
              <w:jc w:val="center"/>
              <w:rPr>
                <w:rFonts w:ascii="Calibri" w:eastAsia="Times New Roman" w:hAnsi="Calibri" w:cs="Arial"/>
                <w:b/>
                <w:color w:val="013161"/>
                <w:sz w:val="20"/>
              </w:rPr>
            </w:pPr>
            <w:r w:rsidRPr="00A428E8">
              <w:rPr>
                <w:rFonts w:ascii="Calibri" w:eastAsia="Times New Roman" w:hAnsi="Calibri" w:cs="Arial"/>
                <w:b/>
                <w:color w:val="013161"/>
                <w:sz w:val="20"/>
              </w:rPr>
              <w:t>1</w:t>
            </w:r>
          </w:p>
        </w:tc>
      </w:tr>
      <w:tr w:rsidR="00D86A11" w:rsidRPr="00ED1D85">
        <w:trPr>
          <w:trHeight w:val="266"/>
        </w:trPr>
        <w:tc>
          <w:tcPr>
            <w:tcW w:w="3618" w:type="dxa"/>
            <w:shd w:val="clear" w:color="auto" w:fill="auto"/>
          </w:tcPr>
          <w:p w:rsidR="00D86A11" w:rsidRPr="00A428E8" w:rsidRDefault="00D86A11" w:rsidP="00D86A11">
            <w:pPr>
              <w:spacing w:after="0" w:line="240" w:lineRule="auto"/>
              <w:rPr>
                <w:rFonts w:ascii="Calibri" w:eastAsia="Times New Roman" w:hAnsi="Calibri" w:cs="Arial"/>
                <w:b/>
                <w:color w:val="013161"/>
                <w:sz w:val="20"/>
              </w:rPr>
            </w:pPr>
            <w:r w:rsidRPr="00A428E8">
              <w:rPr>
                <w:rFonts w:ascii="Calibri" w:eastAsia="Times New Roman" w:hAnsi="Calibri" w:cs="Arial"/>
                <w:b/>
                <w:color w:val="013161"/>
                <w:sz w:val="20"/>
              </w:rPr>
              <w:t>Native American</w:t>
            </w:r>
          </w:p>
        </w:tc>
        <w:tc>
          <w:tcPr>
            <w:tcW w:w="3600" w:type="dxa"/>
            <w:shd w:val="clear" w:color="auto" w:fill="auto"/>
          </w:tcPr>
          <w:p w:rsidR="00D86A11" w:rsidRPr="00A428E8" w:rsidRDefault="00D86A11" w:rsidP="00D86A11">
            <w:pPr>
              <w:spacing w:after="0" w:line="240" w:lineRule="auto"/>
              <w:jc w:val="center"/>
              <w:rPr>
                <w:rFonts w:ascii="Calibri" w:eastAsia="Times New Roman" w:hAnsi="Calibri" w:cs="Arial"/>
                <w:b/>
                <w:color w:val="013161"/>
                <w:sz w:val="20"/>
              </w:rPr>
            </w:pPr>
            <w:r w:rsidRPr="00A428E8">
              <w:rPr>
                <w:rFonts w:ascii="Calibri" w:eastAsia="Times New Roman" w:hAnsi="Calibri" w:cs="Arial"/>
                <w:b/>
                <w:color w:val="013161"/>
                <w:sz w:val="20"/>
              </w:rPr>
              <w:t>1</w:t>
            </w:r>
          </w:p>
        </w:tc>
        <w:tc>
          <w:tcPr>
            <w:tcW w:w="2340" w:type="dxa"/>
            <w:shd w:val="clear" w:color="auto" w:fill="auto"/>
          </w:tcPr>
          <w:p w:rsidR="00D86A11" w:rsidRPr="00A428E8" w:rsidRDefault="00D86A11" w:rsidP="00D86A11">
            <w:pPr>
              <w:spacing w:after="0" w:line="240" w:lineRule="auto"/>
              <w:jc w:val="center"/>
              <w:rPr>
                <w:rFonts w:ascii="Calibri" w:eastAsia="Times New Roman" w:hAnsi="Calibri" w:cs="Arial"/>
                <w:b/>
                <w:color w:val="013161"/>
                <w:sz w:val="20"/>
              </w:rPr>
            </w:pPr>
            <w:r w:rsidRPr="00A428E8">
              <w:rPr>
                <w:rFonts w:ascii="Calibri" w:eastAsia="Times New Roman" w:hAnsi="Calibri" w:cs="Arial"/>
                <w:b/>
                <w:color w:val="013161"/>
                <w:sz w:val="20"/>
              </w:rPr>
              <w:t>0</w:t>
            </w:r>
          </w:p>
        </w:tc>
      </w:tr>
      <w:tr w:rsidR="00D86A11" w:rsidRPr="00ED1D85">
        <w:trPr>
          <w:trHeight w:val="266"/>
        </w:trPr>
        <w:tc>
          <w:tcPr>
            <w:tcW w:w="3618" w:type="dxa"/>
            <w:shd w:val="clear" w:color="auto" w:fill="DBE5F1"/>
          </w:tcPr>
          <w:p w:rsidR="00D86A11" w:rsidRPr="00A428E8" w:rsidRDefault="00D86A11" w:rsidP="00D86A11">
            <w:pPr>
              <w:spacing w:after="0" w:line="240" w:lineRule="auto"/>
              <w:rPr>
                <w:rFonts w:ascii="Calibri" w:eastAsia="Times New Roman" w:hAnsi="Calibri" w:cs="Arial"/>
                <w:b/>
                <w:color w:val="013161"/>
                <w:sz w:val="20"/>
              </w:rPr>
            </w:pPr>
            <w:r w:rsidRPr="00A428E8">
              <w:rPr>
                <w:rFonts w:ascii="Calibri" w:eastAsia="Times New Roman" w:hAnsi="Calibri" w:cs="Arial"/>
                <w:b/>
                <w:color w:val="013161"/>
                <w:sz w:val="20"/>
              </w:rPr>
              <w:t>Missing</w:t>
            </w:r>
          </w:p>
        </w:tc>
        <w:tc>
          <w:tcPr>
            <w:tcW w:w="3600" w:type="dxa"/>
            <w:shd w:val="clear" w:color="auto" w:fill="DBE5F1"/>
          </w:tcPr>
          <w:p w:rsidR="00D86A11" w:rsidRPr="00A428E8" w:rsidRDefault="00D86A11" w:rsidP="00D86A11">
            <w:pPr>
              <w:spacing w:after="0" w:line="240" w:lineRule="auto"/>
              <w:jc w:val="center"/>
              <w:rPr>
                <w:rFonts w:ascii="Calibri" w:eastAsia="Times New Roman" w:hAnsi="Calibri" w:cs="Arial"/>
                <w:b/>
                <w:color w:val="013161"/>
                <w:sz w:val="20"/>
              </w:rPr>
            </w:pPr>
            <w:r w:rsidRPr="00A428E8">
              <w:rPr>
                <w:rFonts w:ascii="Calibri" w:eastAsia="Times New Roman" w:hAnsi="Calibri" w:cs="Arial"/>
                <w:b/>
                <w:color w:val="013161"/>
                <w:sz w:val="20"/>
              </w:rPr>
              <w:t>1</w:t>
            </w:r>
          </w:p>
        </w:tc>
        <w:tc>
          <w:tcPr>
            <w:tcW w:w="2340" w:type="dxa"/>
            <w:shd w:val="clear" w:color="auto" w:fill="DBE5F1"/>
          </w:tcPr>
          <w:p w:rsidR="00D86A11" w:rsidRPr="00A428E8" w:rsidRDefault="00D86A11" w:rsidP="00D86A11">
            <w:pPr>
              <w:spacing w:after="0" w:line="240" w:lineRule="auto"/>
              <w:jc w:val="center"/>
              <w:rPr>
                <w:rFonts w:ascii="Calibri" w:eastAsia="Times New Roman" w:hAnsi="Calibri" w:cs="Arial"/>
                <w:b/>
                <w:color w:val="013161"/>
                <w:sz w:val="20"/>
              </w:rPr>
            </w:pPr>
            <w:r w:rsidRPr="00A428E8">
              <w:rPr>
                <w:rFonts w:ascii="Calibri" w:eastAsia="Times New Roman" w:hAnsi="Calibri" w:cs="Arial"/>
                <w:b/>
                <w:color w:val="013161"/>
                <w:sz w:val="20"/>
              </w:rPr>
              <w:t>4</w:t>
            </w:r>
          </w:p>
        </w:tc>
      </w:tr>
      <w:tr w:rsidR="00D86A11" w:rsidRPr="00ED1D85">
        <w:trPr>
          <w:trHeight w:val="266"/>
        </w:trPr>
        <w:tc>
          <w:tcPr>
            <w:tcW w:w="3618" w:type="dxa"/>
            <w:shd w:val="clear" w:color="auto" w:fill="auto"/>
          </w:tcPr>
          <w:p w:rsidR="00D86A11" w:rsidRPr="00A428E8" w:rsidRDefault="00D86A11" w:rsidP="00D86A11">
            <w:pPr>
              <w:spacing w:after="0" w:line="240" w:lineRule="auto"/>
              <w:rPr>
                <w:rFonts w:ascii="Calibri" w:eastAsia="Times New Roman" w:hAnsi="Calibri" w:cs="Arial"/>
                <w:b/>
                <w:color w:val="013161"/>
                <w:sz w:val="20"/>
              </w:rPr>
            </w:pPr>
            <w:r w:rsidRPr="00A428E8">
              <w:rPr>
                <w:rFonts w:ascii="Calibri" w:eastAsia="Times New Roman" w:hAnsi="Calibri" w:cs="Arial"/>
                <w:b/>
                <w:color w:val="013161"/>
                <w:sz w:val="20"/>
              </w:rPr>
              <w:t>Total</w:t>
            </w:r>
          </w:p>
        </w:tc>
        <w:tc>
          <w:tcPr>
            <w:tcW w:w="3600" w:type="dxa"/>
            <w:shd w:val="clear" w:color="auto" w:fill="auto"/>
          </w:tcPr>
          <w:p w:rsidR="00D86A11" w:rsidRPr="00A428E8" w:rsidRDefault="00D86A11" w:rsidP="00D86A11">
            <w:pPr>
              <w:spacing w:after="0" w:line="240" w:lineRule="auto"/>
              <w:jc w:val="center"/>
              <w:rPr>
                <w:rFonts w:ascii="Calibri" w:eastAsia="Times New Roman" w:hAnsi="Calibri" w:cs="Arial"/>
                <w:b/>
                <w:color w:val="013161"/>
                <w:sz w:val="20"/>
              </w:rPr>
            </w:pPr>
            <w:r w:rsidRPr="00A428E8">
              <w:rPr>
                <w:rFonts w:ascii="Calibri" w:eastAsia="Times New Roman" w:hAnsi="Calibri" w:cs="Arial"/>
                <w:b/>
                <w:color w:val="013161"/>
                <w:sz w:val="20"/>
              </w:rPr>
              <w:t>76</w:t>
            </w:r>
          </w:p>
        </w:tc>
        <w:tc>
          <w:tcPr>
            <w:tcW w:w="2340" w:type="dxa"/>
            <w:shd w:val="clear" w:color="auto" w:fill="auto"/>
          </w:tcPr>
          <w:p w:rsidR="00D86A11" w:rsidRPr="00A428E8" w:rsidRDefault="00D86A11" w:rsidP="00D86A11">
            <w:pPr>
              <w:spacing w:after="0" w:line="240" w:lineRule="auto"/>
              <w:jc w:val="center"/>
              <w:rPr>
                <w:rFonts w:ascii="Calibri" w:eastAsia="Times New Roman" w:hAnsi="Calibri" w:cs="Arial"/>
                <w:b/>
                <w:color w:val="013161"/>
                <w:sz w:val="20"/>
              </w:rPr>
            </w:pPr>
            <w:r w:rsidRPr="00A428E8">
              <w:rPr>
                <w:rFonts w:ascii="Calibri" w:eastAsia="Times New Roman" w:hAnsi="Calibri" w:cs="Arial"/>
                <w:b/>
                <w:color w:val="013161"/>
                <w:sz w:val="20"/>
              </w:rPr>
              <w:t>76</w:t>
            </w:r>
          </w:p>
        </w:tc>
      </w:tr>
    </w:tbl>
    <w:p w:rsidR="00D86A11" w:rsidRPr="00AC4998" w:rsidRDefault="00D86A11" w:rsidP="00D86A11">
      <w:pPr>
        <w:spacing w:before="120" w:after="0"/>
        <w:ind w:right="130"/>
        <w:rPr>
          <w:rFonts w:ascii="Franklin Gothic Book" w:hAnsi="Franklin Gothic Book"/>
          <w:color w:val="auto"/>
          <w:spacing w:val="20"/>
          <w:sz w:val="12"/>
          <w:szCs w:val="28"/>
        </w:rPr>
      </w:pPr>
    </w:p>
    <w:p w:rsidR="00D86A11" w:rsidRPr="007A69D3" w:rsidRDefault="00D86A11" w:rsidP="00D86A11">
      <w:pPr>
        <w:spacing w:before="120" w:after="0"/>
        <w:ind w:right="130"/>
        <w:rPr>
          <w:rFonts w:ascii="Franklin Gothic Book" w:hAnsi="Franklin Gothic Book"/>
          <w:color w:val="auto"/>
          <w:spacing w:val="20"/>
          <w:szCs w:val="28"/>
        </w:rPr>
      </w:pPr>
      <w:r w:rsidRPr="007A69D3">
        <w:rPr>
          <w:rFonts w:ascii="Franklin Gothic Book" w:hAnsi="Franklin Gothic Book"/>
          <w:color w:val="auto"/>
          <w:spacing w:val="20"/>
          <w:szCs w:val="28"/>
        </w:rPr>
        <w:t>There was a large decrease, from 21 to 6, in the number of youth, ages 11-15, entering the system for a subsequent time, from 2010 to 2015</w:t>
      </w:r>
      <w:r w:rsidR="00BC12C6">
        <w:rPr>
          <w:rFonts w:ascii="Franklin Gothic Book" w:hAnsi="Franklin Gothic Book"/>
          <w:color w:val="auto"/>
          <w:spacing w:val="20"/>
          <w:szCs w:val="28"/>
        </w:rPr>
        <w:t xml:space="preserve"> Exhibit 36, next page)</w:t>
      </w:r>
      <w:r w:rsidRPr="007A69D3">
        <w:rPr>
          <w:rFonts w:ascii="Franklin Gothic Book" w:hAnsi="Franklin Gothic Book"/>
          <w:color w:val="auto"/>
          <w:spacing w:val="20"/>
          <w:szCs w:val="28"/>
        </w:rPr>
        <w:t xml:space="preserve">. There was also a smaller decrease for 16-17 year olds. This trend could be </w:t>
      </w:r>
      <w:r w:rsidRPr="007A69D3">
        <w:rPr>
          <w:rFonts w:ascii="Franklin Gothic Book" w:hAnsi="Franklin Gothic Book"/>
          <w:color w:val="auto"/>
          <w:spacing w:val="20"/>
          <w:szCs w:val="28"/>
        </w:rPr>
        <w:lastRenderedPageBreak/>
        <w:t>the result of improved case planning, increased participation in Multidisciplinary Team Meetings (MDT’s) and improved placement matching.</w:t>
      </w:r>
    </w:p>
    <w:p w:rsidR="00D86A11" w:rsidRPr="00544BDD" w:rsidRDefault="00D86A11" w:rsidP="00D86A11">
      <w:pPr>
        <w:rPr>
          <w:sz w:val="4"/>
        </w:rPr>
      </w:pPr>
    </w:p>
    <w:tbl>
      <w:tblPr>
        <w:tblW w:w="9378" w:type="dxa"/>
        <w:tblBorders>
          <w:top w:val="single" w:sz="18" w:space="0" w:color="F6872B"/>
          <w:bottom w:val="single" w:sz="18" w:space="0" w:color="F6872B"/>
        </w:tblBorders>
        <w:tblLook w:val="04A0" w:firstRow="1" w:lastRow="0" w:firstColumn="1" w:lastColumn="0" w:noHBand="0" w:noVBand="1"/>
      </w:tblPr>
      <w:tblGrid>
        <w:gridCol w:w="2370"/>
        <w:gridCol w:w="2906"/>
        <w:gridCol w:w="4102"/>
      </w:tblGrid>
      <w:tr w:rsidR="00D86A11" w:rsidRPr="00ED1D85" w:rsidTr="00F56885">
        <w:trPr>
          <w:trHeight w:val="621"/>
        </w:trPr>
        <w:tc>
          <w:tcPr>
            <w:tcW w:w="9378" w:type="dxa"/>
            <w:gridSpan w:val="3"/>
            <w:shd w:val="clear" w:color="auto" w:fill="013161"/>
          </w:tcPr>
          <w:p w:rsidR="00D86A11" w:rsidRPr="00C51904" w:rsidRDefault="00D86A11" w:rsidP="00D86A11">
            <w:pPr>
              <w:spacing w:after="0" w:line="240" w:lineRule="auto"/>
              <w:jc w:val="center"/>
              <w:rPr>
                <w:rFonts w:ascii="Calibri" w:hAnsi="Calibri"/>
                <w:b/>
                <w:color w:val="FFFFFF"/>
                <w:sz w:val="24"/>
              </w:rPr>
            </w:pPr>
            <w:r>
              <w:rPr>
                <w:rFonts w:ascii="Calibri" w:hAnsi="Calibri"/>
                <w:b/>
                <w:color w:val="FFFFFF"/>
                <w:sz w:val="24"/>
              </w:rPr>
              <w:t xml:space="preserve">Exhibit 36. County of San Diego </w:t>
            </w:r>
            <w:r w:rsidRPr="00C51904">
              <w:rPr>
                <w:rFonts w:ascii="Calibri" w:hAnsi="Calibri"/>
                <w:b/>
                <w:color w:val="FFFFFF"/>
                <w:sz w:val="24"/>
              </w:rPr>
              <w:t xml:space="preserve">Probation, Number of Subsequent Entries </w:t>
            </w:r>
          </w:p>
          <w:p w:rsidR="00D86A11" w:rsidRPr="000055D1" w:rsidRDefault="00D86A11" w:rsidP="00D86A11">
            <w:pPr>
              <w:spacing w:after="0" w:line="240" w:lineRule="auto"/>
              <w:jc w:val="center"/>
              <w:rPr>
                <w:rFonts w:ascii="Calibri" w:eastAsia="Times New Roman" w:hAnsi="Calibri" w:cs="Arial"/>
                <w:b/>
                <w:bCs/>
              </w:rPr>
            </w:pPr>
            <w:r>
              <w:rPr>
                <w:rFonts w:ascii="Calibri" w:hAnsi="Calibri"/>
                <w:b/>
                <w:color w:val="FFFFFF"/>
                <w:sz w:val="24"/>
              </w:rPr>
              <w:t>into Care by Age, CY 2010 and</w:t>
            </w:r>
            <w:r w:rsidRPr="00C51904">
              <w:rPr>
                <w:rFonts w:ascii="Calibri" w:hAnsi="Calibri"/>
                <w:b/>
                <w:color w:val="FFFFFF"/>
                <w:sz w:val="24"/>
              </w:rPr>
              <w:t xml:space="preserve"> 2015</w:t>
            </w:r>
          </w:p>
        </w:tc>
      </w:tr>
      <w:tr w:rsidR="00D86A11" w:rsidRPr="00ED1D85" w:rsidTr="00F56885">
        <w:trPr>
          <w:trHeight w:val="325"/>
        </w:trPr>
        <w:tc>
          <w:tcPr>
            <w:tcW w:w="2370"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Age Group</w:t>
            </w:r>
          </w:p>
        </w:tc>
        <w:tc>
          <w:tcPr>
            <w:tcW w:w="2906"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2010</w:t>
            </w:r>
          </w:p>
        </w:tc>
        <w:tc>
          <w:tcPr>
            <w:tcW w:w="4102"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2015</w:t>
            </w:r>
          </w:p>
        </w:tc>
      </w:tr>
      <w:tr w:rsidR="00D86A11" w:rsidRPr="00ED1D85" w:rsidTr="00F56885">
        <w:trPr>
          <w:trHeight w:val="325"/>
        </w:trPr>
        <w:tc>
          <w:tcPr>
            <w:tcW w:w="2370" w:type="dxa"/>
            <w:shd w:val="clear" w:color="auto" w:fill="auto"/>
          </w:tcPr>
          <w:p w:rsidR="00D86A11" w:rsidRPr="00E35192" w:rsidRDefault="00D86A11" w:rsidP="00D86A11">
            <w:pPr>
              <w:spacing w:after="0" w:line="240" w:lineRule="auto"/>
              <w:rPr>
                <w:rFonts w:ascii="Calibri" w:eastAsia="Times New Roman" w:hAnsi="Calibri" w:cs="Arial"/>
                <w:b/>
                <w:color w:val="013161"/>
                <w:sz w:val="20"/>
              </w:rPr>
            </w:pPr>
            <w:r w:rsidRPr="00E35192">
              <w:rPr>
                <w:rFonts w:ascii="Calibri" w:eastAsia="Times New Roman" w:hAnsi="Calibri" w:cs="Arial"/>
                <w:b/>
                <w:color w:val="013161"/>
                <w:sz w:val="20"/>
              </w:rPr>
              <w:t>11-15</w:t>
            </w:r>
          </w:p>
        </w:tc>
        <w:tc>
          <w:tcPr>
            <w:tcW w:w="2906" w:type="dxa"/>
            <w:shd w:val="clear" w:color="auto" w:fill="auto"/>
          </w:tcPr>
          <w:p w:rsidR="00D86A11" w:rsidRPr="00E35192" w:rsidRDefault="00D86A11" w:rsidP="00D86A11">
            <w:pPr>
              <w:spacing w:after="0" w:line="240" w:lineRule="auto"/>
              <w:jc w:val="center"/>
              <w:rPr>
                <w:rFonts w:ascii="Calibri" w:eastAsia="Times New Roman" w:hAnsi="Calibri" w:cs="Arial"/>
                <w:b/>
                <w:color w:val="013161"/>
                <w:sz w:val="20"/>
              </w:rPr>
            </w:pPr>
            <w:r w:rsidRPr="00E35192">
              <w:rPr>
                <w:rFonts w:ascii="Calibri" w:eastAsia="Times New Roman" w:hAnsi="Calibri" w:cs="Arial"/>
                <w:b/>
                <w:color w:val="013161"/>
                <w:sz w:val="20"/>
              </w:rPr>
              <w:t>21</w:t>
            </w:r>
          </w:p>
        </w:tc>
        <w:tc>
          <w:tcPr>
            <w:tcW w:w="4102" w:type="dxa"/>
            <w:shd w:val="clear" w:color="auto" w:fill="auto"/>
          </w:tcPr>
          <w:p w:rsidR="00D86A11" w:rsidRPr="00E35192" w:rsidRDefault="00D86A11" w:rsidP="00D86A11">
            <w:pPr>
              <w:spacing w:after="0" w:line="240" w:lineRule="auto"/>
              <w:jc w:val="center"/>
              <w:rPr>
                <w:rFonts w:ascii="Calibri" w:eastAsia="Times New Roman" w:hAnsi="Calibri" w:cs="Arial"/>
                <w:b/>
                <w:color w:val="013161"/>
                <w:sz w:val="20"/>
              </w:rPr>
            </w:pPr>
            <w:r w:rsidRPr="00E35192">
              <w:rPr>
                <w:rFonts w:ascii="Calibri" w:eastAsia="Times New Roman" w:hAnsi="Calibri" w:cs="Arial"/>
                <w:b/>
                <w:color w:val="013161"/>
                <w:sz w:val="20"/>
              </w:rPr>
              <w:t>6</w:t>
            </w:r>
          </w:p>
        </w:tc>
      </w:tr>
      <w:tr w:rsidR="00D86A11" w:rsidRPr="00ED1D85" w:rsidTr="00F56885">
        <w:trPr>
          <w:trHeight w:val="325"/>
        </w:trPr>
        <w:tc>
          <w:tcPr>
            <w:tcW w:w="2370" w:type="dxa"/>
            <w:shd w:val="clear" w:color="auto" w:fill="DBE5F1"/>
          </w:tcPr>
          <w:p w:rsidR="00D86A11" w:rsidRPr="00E35192" w:rsidRDefault="00D86A11" w:rsidP="00D86A11">
            <w:pPr>
              <w:spacing w:after="0" w:line="240" w:lineRule="auto"/>
              <w:rPr>
                <w:rFonts w:ascii="Calibri" w:eastAsia="Times New Roman" w:hAnsi="Calibri" w:cs="Arial"/>
                <w:b/>
                <w:color w:val="013161"/>
                <w:sz w:val="20"/>
              </w:rPr>
            </w:pPr>
            <w:r w:rsidRPr="00E35192">
              <w:rPr>
                <w:rFonts w:ascii="Calibri" w:eastAsia="Times New Roman" w:hAnsi="Calibri" w:cs="Arial"/>
                <w:b/>
                <w:color w:val="013161"/>
                <w:sz w:val="20"/>
              </w:rPr>
              <w:t>16-17</w:t>
            </w:r>
          </w:p>
        </w:tc>
        <w:tc>
          <w:tcPr>
            <w:tcW w:w="2906" w:type="dxa"/>
            <w:shd w:val="clear" w:color="auto" w:fill="DBE5F1"/>
          </w:tcPr>
          <w:p w:rsidR="00D86A11" w:rsidRPr="00E35192" w:rsidRDefault="00D86A11" w:rsidP="00D86A11">
            <w:pPr>
              <w:spacing w:after="0" w:line="240" w:lineRule="auto"/>
              <w:jc w:val="center"/>
              <w:rPr>
                <w:rFonts w:ascii="Calibri" w:eastAsia="Times New Roman" w:hAnsi="Calibri" w:cs="Arial"/>
                <w:b/>
                <w:color w:val="013161"/>
                <w:sz w:val="20"/>
              </w:rPr>
            </w:pPr>
            <w:r w:rsidRPr="00E35192">
              <w:rPr>
                <w:rFonts w:ascii="Calibri" w:eastAsia="Times New Roman" w:hAnsi="Calibri" w:cs="Arial"/>
                <w:b/>
                <w:color w:val="013161"/>
                <w:sz w:val="20"/>
              </w:rPr>
              <w:t>28</w:t>
            </w:r>
          </w:p>
        </w:tc>
        <w:tc>
          <w:tcPr>
            <w:tcW w:w="4102" w:type="dxa"/>
            <w:shd w:val="clear" w:color="auto" w:fill="DBE5F1"/>
          </w:tcPr>
          <w:p w:rsidR="00D86A11" w:rsidRPr="00E35192" w:rsidRDefault="00D86A11" w:rsidP="00D86A11">
            <w:pPr>
              <w:spacing w:after="0" w:line="240" w:lineRule="auto"/>
              <w:jc w:val="center"/>
              <w:rPr>
                <w:rFonts w:ascii="Calibri" w:eastAsia="Times New Roman" w:hAnsi="Calibri" w:cs="Arial"/>
                <w:b/>
                <w:color w:val="013161"/>
                <w:sz w:val="20"/>
              </w:rPr>
            </w:pPr>
            <w:r w:rsidRPr="00E35192">
              <w:rPr>
                <w:rFonts w:ascii="Calibri" w:eastAsia="Times New Roman" w:hAnsi="Calibri" w:cs="Arial"/>
                <w:b/>
                <w:color w:val="013161"/>
                <w:sz w:val="20"/>
              </w:rPr>
              <w:t>22</w:t>
            </w:r>
          </w:p>
        </w:tc>
      </w:tr>
      <w:tr w:rsidR="00D86A11" w:rsidRPr="00ED1D85" w:rsidTr="00F56885">
        <w:trPr>
          <w:trHeight w:val="325"/>
        </w:trPr>
        <w:tc>
          <w:tcPr>
            <w:tcW w:w="2370" w:type="dxa"/>
            <w:shd w:val="clear" w:color="auto" w:fill="auto"/>
          </w:tcPr>
          <w:p w:rsidR="00D86A11" w:rsidRPr="00E35192" w:rsidRDefault="00D86A11" w:rsidP="00D86A11">
            <w:pPr>
              <w:spacing w:after="0" w:line="240" w:lineRule="auto"/>
              <w:rPr>
                <w:rFonts w:ascii="Calibri" w:eastAsia="Times New Roman" w:hAnsi="Calibri" w:cs="Arial"/>
                <w:b/>
                <w:color w:val="013161"/>
                <w:sz w:val="20"/>
              </w:rPr>
            </w:pPr>
            <w:r w:rsidRPr="00E35192">
              <w:rPr>
                <w:rFonts w:ascii="Calibri" w:eastAsia="Times New Roman" w:hAnsi="Calibri" w:cs="Arial"/>
                <w:b/>
                <w:color w:val="013161"/>
                <w:sz w:val="20"/>
              </w:rPr>
              <w:t>Total</w:t>
            </w:r>
          </w:p>
        </w:tc>
        <w:tc>
          <w:tcPr>
            <w:tcW w:w="2906" w:type="dxa"/>
            <w:shd w:val="clear" w:color="auto" w:fill="auto"/>
          </w:tcPr>
          <w:p w:rsidR="00D86A11" w:rsidRPr="00E35192" w:rsidRDefault="00D86A11" w:rsidP="00D86A11">
            <w:pPr>
              <w:spacing w:after="0" w:line="240" w:lineRule="auto"/>
              <w:jc w:val="center"/>
              <w:rPr>
                <w:rFonts w:ascii="Calibri" w:eastAsia="Times New Roman" w:hAnsi="Calibri" w:cs="Arial"/>
                <w:b/>
                <w:color w:val="013161"/>
                <w:sz w:val="20"/>
              </w:rPr>
            </w:pPr>
            <w:r w:rsidRPr="00E35192">
              <w:rPr>
                <w:rFonts w:ascii="Calibri" w:eastAsia="Times New Roman" w:hAnsi="Calibri" w:cs="Arial"/>
                <w:b/>
                <w:color w:val="013161"/>
                <w:sz w:val="20"/>
              </w:rPr>
              <w:t>49</w:t>
            </w:r>
          </w:p>
        </w:tc>
        <w:tc>
          <w:tcPr>
            <w:tcW w:w="4102" w:type="dxa"/>
            <w:shd w:val="clear" w:color="auto" w:fill="auto"/>
          </w:tcPr>
          <w:p w:rsidR="00D86A11" w:rsidRPr="00E35192" w:rsidRDefault="00D86A11" w:rsidP="00D86A11">
            <w:pPr>
              <w:spacing w:after="0" w:line="240" w:lineRule="auto"/>
              <w:jc w:val="center"/>
              <w:rPr>
                <w:rFonts w:ascii="Calibri" w:eastAsia="Times New Roman" w:hAnsi="Calibri" w:cs="Arial"/>
                <w:b/>
                <w:color w:val="013161"/>
                <w:sz w:val="20"/>
              </w:rPr>
            </w:pPr>
            <w:r w:rsidRPr="00E35192">
              <w:rPr>
                <w:rFonts w:ascii="Calibri" w:eastAsia="Times New Roman" w:hAnsi="Calibri" w:cs="Arial"/>
                <w:b/>
                <w:color w:val="013161"/>
                <w:sz w:val="20"/>
              </w:rPr>
              <w:t>28</w:t>
            </w:r>
          </w:p>
        </w:tc>
      </w:tr>
    </w:tbl>
    <w:p w:rsidR="00D86A11" w:rsidRPr="00F56885" w:rsidRDefault="00D86A11" w:rsidP="00D86A11">
      <w:pPr>
        <w:spacing w:before="120" w:after="0"/>
        <w:ind w:right="130"/>
        <w:rPr>
          <w:rFonts w:ascii="Franklin Gothic Book" w:hAnsi="Franklin Gothic Book"/>
          <w:color w:val="auto"/>
          <w:spacing w:val="20"/>
          <w:sz w:val="4"/>
          <w:szCs w:val="4"/>
        </w:rPr>
      </w:pPr>
    </w:p>
    <w:p w:rsidR="00D86A11" w:rsidRPr="000E7387" w:rsidRDefault="00D86A11" w:rsidP="00D86A11">
      <w:pPr>
        <w:spacing w:before="120" w:after="0"/>
        <w:ind w:right="130"/>
        <w:rPr>
          <w:rFonts w:ascii="Franklin Gothic Book" w:hAnsi="Franklin Gothic Book"/>
          <w:color w:val="auto"/>
          <w:spacing w:val="20"/>
          <w:szCs w:val="28"/>
        </w:rPr>
      </w:pPr>
      <w:r w:rsidRPr="000E7387">
        <w:rPr>
          <w:rFonts w:ascii="Franklin Gothic Book" w:hAnsi="Franklin Gothic Book"/>
          <w:color w:val="auto"/>
          <w:spacing w:val="20"/>
          <w:szCs w:val="28"/>
        </w:rPr>
        <w:t>Between 2010 and 2015, the number of youth with subsequent entries dropped by 50% for Black youth. The numbers for youth of other race</w:t>
      </w:r>
      <w:r>
        <w:rPr>
          <w:rFonts w:ascii="Franklin Gothic Book" w:hAnsi="Franklin Gothic Book"/>
          <w:color w:val="auto"/>
          <w:spacing w:val="20"/>
          <w:szCs w:val="28"/>
        </w:rPr>
        <w:t>s</w:t>
      </w:r>
      <w:r w:rsidRPr="000E7387">
        <w:rPr>
          <w:rFonts w:ascii="Franklin Gothic Book" w:hAnsi="Franklin Gothic Book"/>
          <w:color w:val="auto"/>
          <w:spacing w:val="20"/>
          <w:szCs w:val="28"/>
        </w:rPr>
        <w:t xml:space="preserve">/ethnicities remained similar across the years. </w:t>
      </w:r>
      <w:r w:rsidRPr="00004D6B">
        <w:rPr>
          <w:rFonts w:ascii="Franklin Gothic Book" w:hAnsi="Franklin Gothic Book"/>
          <w:color w:val="auto"/>
          <w:spacing w:val="20"/>
          <w:szCs w:val="28"/>
        </w:rPr>
        <w:t>There has</w:t>
      </w:r>
      <w:r>
        <w:rPr>
          <w:rFonts w:ascii="Franklin Gothic Book" w:hAnsi="Franklin Gothic Book"/>
          <w:color w:val="auto"/>
          <w:spacing w:val="20"/>
          <w:szCs w:val="28"/>
        </w:rPr>
        <w:t xml:space="preserve"> </w:t>
      </w:r>
      <w:r w:rsidRPr="00004D6B">
        <w:rPr>
          <w:rFonts w:ascii="Franklin Gothic Book" w:hAnsi="Franklin Gothic Book"/>
          <w:color w:val="auto"/>
          <w:spacing w:val="20"/>
          <w:szCs w:val="28"/>
        </w:rPr>
        <w:t>n</w:t>
      </w:r>
      <w:r>
        <w:rPr>
          <w:rFonts w:ascii="Franklin Gothic Book" w:hAnsi="Franklin Gothic Book"/>
          <w:color w:val="auto"/>
          <w:spacing w:val="20"/>
          <w:szCs w:val="28"/>
        </w:rPr>
        <w:t>o</w:t>
      </w:r>
      <w:r w:rsidRPr="00004D6B">
        <w:rPr>
          <w:rFonts w:ascii="Franklin Gothic Book" w:hAnsi="Franklin Gothic Book"/>
          <w:color w:val="auto"/>
          <w:spacing w:val="20"/>
          <w:szCs w:val="28"/>
        </w:rPr>
        <w:t>t been enough of a fluctuation to identify any trends.</w:t>
      </w:r>
    </w:p>
    <w:p w:rsidR="00D86A11" w:rsidRPr="000869D8" w:rsidRDefault="00D86A11" w:rsidP="000869D8">
      <w:pPr>
        <w:spacing w:before="120" w:after="0"/>
        <w:ind w:right="130"/>
        <w:rPr>
          <w:rFonts w:ascii="Franklin Gothic Book" w:hAnsi="Franklin Gothic Book"/>
          <w:color w:val="auto"/>
          <w:spacing w:val="20"/>
          <w:sz w:val="4"/>
          <w:szCs w:val="4"/>
        </w:rPr>
      </w:pPr>
    </w:p>
    <w:tbl>
      <w:tblPr>
        <w:tblW w:w="9307" w:type="dxa"/>
        <w:tblBorders>
          <w:top w:val="single" w:sz="18" w:space="0" w:color="F6872B"/>
          <w:bottom w:val="single" w:sz="18" w:space="0" w:color="F6872B"/>
        </w:tblBorders>
        <w:tblLook w:val="04A0" w:firstRow="1" w:lastRow="0" w:firstColumn="1" w:lastColumn="0" w:noHBand="0" w:noVBand="1"/>
      </w:tblPr>
      <w:tblGrid>
        <w:gridCol w:w="2369"/>
        <w:gridCol w:w="3319"/>
        <w:gridCol w:w="3619"/>
      </w:tblGrid>
      <w:tr w:rsidR="00D86A11" w:rsidRPr="00ED1D85">
        <w:trPr>
          <w:trHeight w:val="666"/>
        </w:trPr>
        <w:tc>
          <w:tcPr>
            <w:tcW w:w="9307" w:type="dxa"/>
            <w:gridSpan w:val="3"/>
            <w:shd w:val="clear" w:color="auto" w:fill="013161"/>
          </w:tcPr>
          <w:p w:rsidR="00D86A11" w:rsidRPr="00C51904" w:rsidRDefault="00D86A11" w:rsidP="00D86A11">
            <w:pPr>
              <w:spacing w:after="0" w:line="240" w:lineRule="auto"/>
              <w:jc w:val="center"/>
              <w:rPr>
                <w:rFonts w:ascii="Calibri" w:hAnsi="Calibri"/>
                <w:b/>
                <w:color w:val="FFFFFF"/>
                <w:sz w:val="24"/>
              </w:rPr>
            </w:pPr>
            <w:r>
              <w:rPr>
                <w:rFonts w:ascii="Calibri" w:hAnsi="Calibri"/>
                <w:b/>
                <w:color w:val="FFFFFF"/>
                <w:sz w:val="24"/>
              </w:rPr>
              <w:t xml:space="preserve">Exhibit 37. County of San Diego </w:t>
            </w:r>
            <w:r w:rsidRPr="00C51904">
              <w:rPr>
                <w:rFonts w:ascii="Calibri" w:hAnsi="Calibri"/>
                <w:b/>
                <w:color w:val="FFFFFF"/>
                <w:sz w:val="24"/>
              </w:rPr>
              <w:t xml:space="preserve">Probation, Number of Subsequent Entries </w:t>
            </w:r>
          </w:p>
          <w:p w:rsidR="00D86A11" w:rsidRPr="000055D1" w:rsidRDefault="00D86A11" w:rsidP="00D86A11">
            <w:pPr>
              <w:spacing w:after="0" w:line="240" w:lineRule="auto"/>
              <w:jc w:val="center"/>
              <w:rPr>
                <w:rFonts w:ascii="Calibri" w:eastAsia="Times New Roman" w:hAnsi="Calibri" w:cs="Arial"/>
                <w:b/>
                <w:bCs/>
              </w:rPr>
            </w:pPr>
            <w:r w:rsidRPr="00C51904">
              <w:rPr>
                <w:rFonts w:ascii="Calibri" w:hAnsi="Calibri"/>
                <w:b/>
                <w:color w:val="FFFFFF"/>
                <w:sz w:val="24"/>
              </w:rPr>
              <w:t>into</w:t>
            </w:r>
            <w:r>
              <w:rPr>
                <w:rFonts w:ascii="Calibri" w:hAnsi="Calibri"/>
                <w:b/>
                <w:color w:val="FFFFFF"/>
                <w:sz w:val="24"/>
              </w:rPr>
              <w:t xml:space="preserve"> Care by Ethnic Group, CY 2010 and</w:t>
            </w:r>
            <w:r w:rsidRPr="00C51904">
              <w:rPr>
                <w:rFonts w:ascii="Calibri" w:hAnsi="Calibri"/>
                <w:b/>
                <w:color w:val="FFFFFF"/>
                <w:sz w:val="24"/>
              </w:rPr>
              <w:t xml:space="preserve"> 2015</w:t>
            </w:r>
          </w:p>
        </w:tc>
      </w:tr>
      <w:tr w:rsidR="00D86A11" w:rsidRPr="00ED1D85">
        <w:trPr>
          <w:trHeight w:val="304"/>
        </w:trPr>
        <w:tc>
          <w:tcPr>
            <w:tcW w:w="2369"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Ethnic Group</w:t>
            </w:r>
          </w:p>
        </w:tc>
        <w:tc>
          <w:tcPr>
            <w:tcW w:w="3319"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2010</w:t>
            </w:r>
          </w:p>
        </w:tc>
        <w:tc>
          <w:tcPr>
            <w:tcW w:w="3619"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2015</w:t>
            </w:r>
          </w:p>
        </w:tc>
      </w:tr>
      <w:tr w:rsidR="00D86A11" w:rsidRPr="00ED1D85">
        <w:trPr>
          <w:trHeight w:val="304"/>
        </w:trPr>
        <w:tc>
          <w:tcPr>
            <w:tcW w:w="2369" w:type="dxa"/>
            <w:shd w:val="clear" w:color="auto" w:fill="auto"/>
          </w:tcPr>
          <w:p w:rsidR="00D86A11" w:rsidRPr="00DF7471" w:rsidRDefault="00D86A11" w:rsidP="00D86A11">
            <w:pPr>
              <w:spacing w:after="0" w:line="240" w:lineRule="auto"/>
              <w:rPr>
                <w:rFonts w:ascii="Calibri" w:eastAsia="Times New Roman" w:hAnsi="Calibri" w:cs="Arial"/>
                <w:b/>
                <w:color w:val="013161"/>
                <w:sz w:val="20"/>
              </w:rPr>
            </w:pPr>
            <w:r w:rsidRPr="00DF7471">
              <w:rPr>
                <w:rFonts w:ascii="Calibri" w:eastAsia="Times New Roman" w:hAnsi="Calibri" w:cs="Arial"/>
                <w:b/>
                <w:color w:val="013161"/>
                <w:sz w:val="20"/>
              </w:rPr>
              <w:t>Black</w:t>
            </w:r>
          </w:p>
        </w:tc>
        <w:tc>
          <w:tcPr>
            <w:tcW w:w="3319" w:type="dxa"/>
            <w:shd w:val="clear" w:color="auto" w:fill="auto"/>
          </w:tcPr>
          <w:p w:rsidR="00D86A11" w:rsidRPr="00DF7471" w:rsidRDefault="00D86A11" w:rsidP="00D86A11">
            <w:pPr>
              <w:spacing w:after="0" w:line="240" w:lineRule="auto"/>
              <w:jc w:val="center"/>
              <w:rPr>
                <w:rFonts w:ascii="Calibri" w:eastAsia="Times New Roman" w:hAnsi="Calibri" w:cs="Arial"/>
                <w:b/>
                <w:color w:val="013161"/>
                <w:sz w:val="20"/>
              </w:rPr>
            </w:pPr>
            <w:r w:rsidRPr="00DF7471">
              <w:rPr>
                <w:rFonts w:ascii="Calibri" w:eastAsia="Times New Roman" w:hAnsi="Calibri" w:cs="Arial"/>
                <w:b/>
                <w:color w:val="013161"/>
                <w:sz w:val="20"/>
              </w:rPr>
              <w:t>10</w:t>
            </w:r>
          </w:p>
        </w:tc>
        <w:tc>
          <w:tcPr>
            <w:tcW w:w="3619" w:type="dxa"/>
            <w:shd w:val="clear" w:color="auto" w:fill="auto"/>
          </w:tcPr>
          <w:p w:rsidR="00D86A11" w:rsidRPr="00DF7471" w:rsidRDefault="00D86A11" w:rsidP="00D86A11">
            <w:pPr>
              <w:spacing w:after="0" w:line="240" w:lineRule="auto"/>
              <w:jc w:val="center"/>
              <w:rPr>
                <w:rFonts w:ascii="Calibri" w:eastAsia="Times New Roman" w:hAnsi="Calibri" w:cs="Arial"/>
                <w:b/>
                <w:color w:val="013161"/>
                <w:sz w:val="20"/>
              </w:rPr>
            </w:pPr>
            <w:r w:rsidRPr="00DF7471">
              <w:rPr>
                <w:rFonts w:ascii="Calibri" w:eastAsia="Times New Roman" w:hAnsi="Calibri" w:cs="Arial"/>
                <w:b/>
                <w:color w:val="013161"/>
                <w:sz w:val="20"/>
              </w:rPr>
              <w:t>5</w:t>
            </w:r>
          </w:p>
        </w:tc>
      </w:tr>
      <w:tr w:rsidR="00D86A11" w:rsidRPr="00ED1D85">
        <w:trPr>
          <w:trHeight w:val="304"/>
        </w:trPr>
        <w:tc>
          <w:tcPr>
            <w:tcW w:w="2369" w:type="dxa"/>
            <w:shd w:val="clear" w:color="auto" w:fill="DBE5F1"/>
          </w:tcPr>
          <w:p w:rsidR="00D86A11" w:rsidRPr="00DF7471" w:rsidRDefault="00D86A11" w:rsidP="00D86A11">
            <w:pPr>
              <w:spacing w:after="0" w:line="240" w:lineRule="auto"/>
              <w:rPr>
                <w:rFonts w:ascii="Calibri" w:eastAsia="Times New Roman" w:hAnsi="Calibri" w:cs="Arial"/>
                <w:b/>
                <w:color w:val="013161"/>
                <w:sz w:val="20"/>
              </w:rPr>
            </w:pPr>
            <w:r w:rsidRPr="00DF7471">
              <w:rPr>
                <w:rFonts w:ascii="Calibri" w:eastAsia="Times New Roman" w:hAnsi="Calibri" w:cs="Arial"/>
                <w:b/>
                <w:color w:val="013161"/>
                <w:sz w:val="20"/>
              </w:rPr>
              <w:t>White</w:t>
            </w:r>
          </w:p>
        </w:tc>
        <w:tc>
          <w:tcPr>
            <w:tcW w:w="3319" w:type="dxa"/>
            <w:shd w:val="clear" w:color="auto" w:fill="DBE5F1"/>
          </w:tcPr>
          <w:p w:rsidR="00D86A11" w:rsidRPr="00DF7471" w:rsidRDefault="00D86A11" w:rsidP="00D86A11">
            <w:pPr>
              <w:spacing w:after="0" w:line="240" w:lineRule="auto"/>
              <w:jc w:val="center"/>
              <w:rPr>
                <w:rFonts w:ascii="Calibri" w:eastAsia="Times New Roman" w:hAnsi="Calibri" w:cs="Arial"/>
                <w:b/>
                <w:color w:val="013161"/>
                <w:sz w:val="20"/>
              </w:rPr>
            </w:pPr>
            <w:r w:rsidRPr="00DF7471">
              <w:rPr>
                <w:rFonts w:ascii="Calibri" w:eastAsia="Times New Roman" w:hAnsi="Calibri" w:cs="Arial"/>
                <w:b/>
                <w:color w:val="013161"/>
                <w:sz w:val="20"/>
              </w:rPr>
              <w:t>9</w:t>
            </w:r>
          </w:p>
        </w:tc>
        <w:tc>
          <w:tcPr>
            <w:tcW w:w="3619" w:type="dxa"/>
            <w:shd w:val="clear" w:color="auto" w:fill="DBE5F1"/>
          </w:tcPr>
          <w:p w:rsidR="00D86A11" w:rsidRPr="00DF7471" w:rsidRDefault="00D86A11" w:rsidP="00D86A11">
            <w:pPr>
              <w:spacing w:after="0" w:line="240" w:lineRule="auto"/>
              <w:jc w:val="center"/>
              <w:rPr>
                <w:rFonts w:ascii="Calibri" w:eastAsia="Times New Roman" w:hAnsi="Calibri" w:cs="Arial"/>
                <w:b/>
                <w:color w:val="013161"/>
                <w:sz w:val="20"/>
              </w:rPr>
            </w:pPr>
            <w:r w:rsidRPr="00DF7471">
              <w:rPr>
                <w:rFonts w:ascii="Calibri" w:eastAsia="Times New Roman" w:hAnsi="Calibri" w:cs="Arial"/>
                <w:b/>
                <w:color w:val="013161"/>
                <w:sz w:val="20"/>
              </w:rPr>
              <w:t>8</w:t>
            </w:r>
          </w:p>
        </w:tc>
      </w:tr>
      <w:tr w:rsidR="00D86A11" w:rsidRPr="00ED1D85">
        <w:trPr>
          <w:trHeight w:val="304"/>
        </w:trPr>
        <w:tc>
          <w:tcPr>
            <w:tcW w:w="2369" w:type="dxa"/>
            <w:shd w:val="clear" w:color="auto" w:fill="auto"/>
          </w:tcPr>
          <w:p w:rsidR="00D86A11" w:rsidRPr="00DF7471" w:rsidRDefault="00D86A11" w:rsidP="00D86A11">
            <w:pPr>
              <w:spacing w:after="0" w:line="240" w:lineRule="auto"/>
              <w:rPr>
                <w:rFonts w:ascii="Calibri" w:eastAsia="Times New Roman" w:hAnsi="Calibri" w:cs="Arial"/>
                <w:b/>
                <w:color w:val="013161"/>
                <w:sz w:val="20"/>
              </w:rPr>
            </w:pPr>
            <w:r w:rsidRPr="00DF7471">
              <w:rPr>
                <w:rFonts w:ascii="Calibri" w:eastAsia="Times New Roman" w:hAnsi="Calibri" w:cs="Arial"/>
                <w:b/>
                <w:color w:val="013161"/>
                <w:sz w:val="20"/>
              </w:rPr>
              <w:t>Latino</w:t>
            </w:r>
          </w:p>
        </w:tc>
        <w:tc>
          <w:tcPr>
            <w:tcW w:w="3319" w:type="dxa"/>
            <w:shd w:val="clear" w:color="auto" w:fill="auto"/>
          </w:tcPr>
          <w:p w:rsidR="00D86A11" w:rsidRPr="00DF7471" w:rsidRDefault="00D86A11" w:rsidP="00D86A11">
            <w:pPr>
              <w:spacing w:after="0" w:line="240" w:lineRule="auto"/>
              <w:jc w:val="center"/>
              <w:rPr>
                <w:rFonts w:ascii="Calibri" w:eastAsia="Times New Roman" w:hAnsi="Calibri" w:cs="Arial"/>
                <w:b/>
                <w:color w:val="013161"/>
                <w:sz w:val="20"/>
              </w:rPr>
            </w:pPr>
            <w:r w:rsidRPr="00DF7471">
              <w:rPr>
                <w:rFonts w:ascii="Calibri" w:eastAsia="Times New Roman" w:hAnsi="Calibri" w:cs="Arial"/>
                <w:b/>
                <w:color w:val="013161"/>
                <w:sz w:val="20"/>
              </w:rPr>
              <w:t>13</w:t>
            </w:r>
          </w:p>
        </w:tc>
        <w:tc>
          <w:tcPr>
            <w:tcW w:w="3619" w:type="dxa"/>
            <w:shd w:val="clear" w:color="auto" w:fill="auto"/>
          </w:tcPr>
          <w:p w:rsidR="00D86A11" w:rsidRPr="00DF7471" w:rsidRDefault="00D86A11" w:rsidP="00D86A11">
            <w:pPr>
              <w:spacing w:after="0" w:line="240" w:lineRule="auto"/>
              <w:jc w:val="center"/>
              <w:rPr>
                <w:rFonts w:ascii="Calibri" w:eastAsia="Times New Roman" w:hAnsi="Calibri" w:cs="Arial"/>
                <w:b/>
                <w:color w:val="013161"/>
                <w:sz w:val="20"/>
              </w:rPr>
            </w:pPr>
            <w:r w:rsidRPr="00DF7471">
              <w:rPr>
                <w:rFonts w:ascii="Calibri" w:eastAsia="Times New Roman" w:hAnsi="Calibri" w:cs="Arial"/>
                <w:b/>
                <w:color w:val="013161"/>
                <w:sz w:val="20"/>
              </w:rPr>
              <w:t>15</w:t>
            </w:r>
          </w:p>
        </w:tc>
      </w:tr>
      <w:tr w:rsidR="00D86A11" w:rsidRPr="00ED1D85">
        <w:trPr>
          <w:trHeight w:val="304"/>
        </w:trPr>
        <w:tc>
          <w:tcPr>
            <w:tcW w:w="2369" w:type="dxa"/>
            <w:shd w:val="clear" w:color="auto" w:fill="DBE5F1"/>
          </w:tcPr>
          <w:p w:rsidR="00D86A11" w:rsidRPr="00DF7471" w:rsidRDefault="00D86A11" w:rsidP="00D86A11">
            <w:pPr>
              <w:spacing w:after="0" w:line="240" w:lineRule="auto"/>
              <w:rPr>
                <w:rFonts w:ascii="Calibri" w:eastAsia="Times New Roman" w:hAnsi="Calibri" w:cs="Arial"/>
                <w:b/>
                <w:color w:val="013161"/>
                <w:sz w:val="20"/>
              </w:rPr>
            </w:pPr>
            <w:r w:rsidRPr="00DF7471">
              <w:rPr>
                <w:rFonts w:ascii="Calibri" w:eastAsia="Times New Roman" w:hAnsi="Calibri" w:cs="Arial"/>
                <w:b/>
                <w:color w:val="013161"/>
                <w:sz w:val="20"/>
              </w:rPr>
              <w:t>Asian/P.I.</w:t>
            </w:r>
          </w:p>
        </w:tc>
        <w:tc>
          <w:tcPr>
            <w:tcW w:w="3319" w:type="dxa"/>
            <w:shd w:val="clear" w:color="auto" w:fill="DBE5F1"/>
          </w:tcPr>
          <w:p w:rsidR="00D86A11" w:rsidRPr="00DF7471" w:rsidRDefault="00D86A11" w:rsidP="00D86A11">
            <w:pPr>
              <w:spacing w:after="0" w:line="240" w:lineRule="auto"/>
              <w:jc w:val="center"/>
              <w:rPr>
                <w:rFonts w:ascii="Calibri" w:eastAsia="Times New Roman" w:hAnsi="Calibri" w:cs="Arial"/>
                <w:b/>
                <w:color w:val="013161"/>
                <w:sz w:val="20"/>
              </w:rPr>
            </w:pPr>
            <w:r w:rsidRPr="00DF7471">
              <w:rPr>
                <w:rFonts w:ascii="Calibri" w:eastAsia="Times New Roman" w:hAnsi="Calibri" w:cs="Arial"/>
                <w:b/>
                <w:color w:val="013161"/>
                <w:sz w:val="20"/>
              </w:rPr>
              <w:t>0</w:t>
            </w:r>
          </w:p>
        </w:tc>
        <w:tc>
          <w:tcPr>
            <w:tcW w:w="3619" w:type="dxa"/>
            <w:shd w:val="clear" w:color="auto" w:fill="DBE5F1"/>
          </w:tcPr>
          <w:p w:rsidR="00D86A11" w:rsidRPr="00DF7471" w:rsidRDefault="00D86A11" w:rsidP="00D86A11">
            <w:pPr>
              <w:spacing w:after="0" w:line="240" w:lineRule="auto"/>
              <w:jc w:val="center"/>
              <w:rPr>
                <w:rFonts w:ascii="Calibri" w:eastAsia="Times New Roman" w:hAnsi="Calibri" w:cs="Arial"/>
                <w:b/>
                <w:color w:val="013161"/>
                <w:sz w:val="20"/>
              </w:rPr>
            </w:pPr>
            <w:r w:rsidRPr="00DF7471">
              <w:rPr>
                <w:rFonts w:ascii="Calibri" w:eastAsia="Times New Roman" w:hAnsi="Calibri" w:cs="Arial"/>
                <w:b/>
                <w:color w:val="013161"/>
                <w:sz w:val="20"/>
              </w:rPr>
              <w:t>0</w:t>
            </w:r>
          </w:p>
        </w:tc>
      </w:tr>
      <w:tr w:rsidR="00D86A11" w:rsidRPr="00ED1D85">
        <w:trPr>
          <w:trHeight w:val="304"/>
        </w:trPr>
        <w:tc>
          <w:tcPr>
            <w:tcW w:w="2369" w:type="dxa"/>
            <w:shd w:val="clear" w:color="auto" w:fill="auto"/>
          </w:tcPr>
          <w:p w:rsidR="00D86A11" w:rsidRPr="00DF7471" w:rsidRDefault="00D86A11" w:rsidP="00D86A11">
            <w:pPr>
              <w:spacing w:after="0" w:line="240" w:lineRule="auto"/>
              <w:rPr>
                <w:rFonts w:ascii="Calibri" w:eastAsia="Times New Roman" w:hAnsi="Calibri" w:cs="Arial"/>
                <w:b/>
                <w:color w:val="013161"/>
                <w:sz w:val="20"/>
              </w:rPr>
            </w:pPr>
            <w:r w:rsidRPr="00DF7471">
              <w:rPr>
                <w:rFonts w:ascii="Calibri" w:eastAsia="Times New Roman" w:hAnsi="Calibri" w:cs="Arial"/>
                <w:b/>
                <w:color w:val="013161"/>
                <w:sz w:val="20"/>
              </w:rPr>
              <w:t>Native American</w:t>
            </w:r>
          </w:p>
        </w:tc>
        <w:tc>
          <w:tcPr>
            <w:tcW w:w="3319" w:type="dxa"/>
            <w:shd w:val="clear" w:color="auto" w:fill="auto"/>
          </w:tcPr>
          <w:p w:rsidR="00D86A11" w:rsidRPr="00DF7471" w:rsidRDefault="00D86A11" w:rsidP="00D86A11">
            <w:pPr>
              <w:spacing w:after="0" w:line="240" w:lineRule="auto"/>
              <w:jc w:val="center"/>
              <w:rPr>
                <w:rFonts w:ascii="Calibri" w:eastAsia="Times New Roman" w:hAnsi="Calibri" w:cs="Arial"/>
                <w:b/>
                <w:color w:val="013161"/>
                <w:sz w:val="20"/>
              </w:rPr>
            </w:pPr>
            <w:r w:rsidRPr="00DF7471">
              <w:rPr>
                <w:rFonts w:ascii="Calibri" w:eastAsia="Times New Roman" w:hAnsi="Calibri" w:cs="Arial"/>
                <w:b/>
                <w:color w:val="013161"/>
                <w:sz w:val="20"/>
              </w:rPr>
              <w:t>1</w:t>
            </w:r>
          </w:p>
        </w:tc>
        <w:tc>
          <w:tcPr>
            <w:tcW w:w="3619" w:type="dxa"/>
            <w:shd w:val="clear" w:color="auto" w:fill="auto"/>
          </w:tcPr>
          <w:p w:rsidR="00D86A11" w:rsidRPr="00DF7471" w:rsidRDefault="00D86A11" w:rsidP="00D86A11">
            <w:pPr>
              <w:spacing w:after="0" w:line="240" w:lineRule="auto"/>
              <w:jc w:val="center"/>
              <w:rPr>
                <w:rFonts w:ascii="Calibri" w:eastAsia="Times New Roman" w:hAnsi="Calibri" w:cs="Arial"/>
                <w:b/>
                <w:color w:val="013161"/>
                <w:sz w:val="20"/>
              </w:rPr>
            </w:pPr>
            <w:r w:rsidRPr="00DF7471">
              <w:rPr>
                <w:rFonts w:ascii="Calibri" w:eastAsia="Times New Roman" w:hAnsi="Calibri" w:cs="Arial"/>
                <w:b/>
                <w:color w:val="013161"/>
                <w:sz w:val="20"/>
              </w:rPr>
              <w:t>0</w:t>
            </w:r>
          </w:p>
        </w:tc>
      </w:tr>
      <w:tr w:rsidR="00D86A11" w:rsidRPr="00ED1D85">
        <w:trPr>
          <w:trHeight w:val="304"/>
        </w:trPr>
        <w:tc>
          <w:tcPr>
            <w:tcW w:w="2369" w:type="dxa"/>
            <w:shd w:val="clear" w:color="auto" w:fill="DBE5F1"/>
          </w:tcPr>
          <w:p w:rsidR="00D86A11" w:rsidRPr="00DF7471" w:rsidRDefault="00D86A11" w:rsidP="00D86A11">
            <w:pPr>
              <w:spacing w:after="0" w:line="240" w:lineRule="auto"/>
              <w:rPr>
                <w:rFonts w:ascii="Calibri" w:eastAsia="Times New Roman" w:hAnsi="Calibri" w:cs="Arial"/>
                <w:b/>
                <w:color w:val="013161"/>
                <w:sz w:val="20"/>
              </w:rPr>
            </w:pPr>
            <w:r w:rsidRPr="00DF7471">
              <w:rPr>
                <w:rFonts w:ascii="Calibri" w:eastAsia="Times New Roman" w:hAnsi="Calibri" w:cs="Arial"/>
                <w:b/>
                <w:color w:val="013161"/>
                <w:sz w:val="20"/>
              </w:rPr>
              <w:t>Total</w:t>
            </w:r>
          </w:p>
        </w:tc>
        <w:tc>
          <w:tcPr>
            <w:tcW w:w="3319" w:type="dxa"/>
            <w:shd w:val="clear" w:color="auto" w:fill="DBE5F1"/>
          </w:tcPr>
          <w:p w:rsidR="00D86A11" w:rsidRPr="00DF7471" w:rsidRDefault="00D86A11" w:rsidP="00D86A11">
            <w:pPr>
              <w:spacing w:after="0" w:line="240" w:lineRule="auto"/>
              <w:jc w:val="center"/>
              <w:rPr>
                <w:rFonts w:ascii="Calibri" w:eastAsia="Times New Roman" w:hAnsi="Calibri" w:cs="Arial"/>
                <w:b/>
                <w:color w:val="013161"/>
                <w:sz w:val="20"/>
              </w:rPr>
            </w:pPr>
            <w:r w:rsidRPr="00DF7471">
              <w:rPr>
                <w:rFonts w:ascii="Calibri" w:eastAsia="Times New Roman" w:hAnsi="Calibri" w:cs="Arial"/>
                <w:b/>
                <w:color w:val="013161"/>
                <w:sz w:val="20"/>
              </w:rPr>
              <w:t>33</w:t>
            </w:r>
          </w:p>
        </w:tc>
        <w:tc>
          <w:tcPr>
            <w:tcW w:w="3619" w:type="dxa"/>
            <w:shd w:val="clear" w:color="auto" w:fill="DBE5F1"/>
          </w:tcPr>
          <w:p w:rsidR="00D86A11" w:rsidRPr="00DF7471" w:rsidRDefault="00D86A11" w:rsidP="00D86A11">
            <w:pPr>
              <w:spacing w:after="0" w:line="240" w:lineRule="auto"/>
              <w:jc w:val="center"/>
              <w:rPr>
                <w:rFonts w:ascii="Calibri" w:eastAsia="Times New Roman" w:hAnsi="Calibri" w:cs="Arial"/>
                <w:b/>
                <w:color w:val="013161"/>
                <w:sz w:val="20"/>
              </w:rPr>
            </w:pPr>
            <w:r w:rsidRPr="00DF7471">
              <w:rPr>
                <w:rFonts w:ascii="Calibri" w:eastAsia="Times New Roman" w:hAnsi="Calibri" w:cs="Arial"/>
                <w:b/>
                <w:color w:val="013161"/>
                <w:sz w:val="20"/>
              </w:rPr>
              <w:t>28</w:t>
            </w:r>
          </w:p>
        </w:tc>
      </w:tr>
    </w:tbl>
    <w:p w:rsidR="00D86A11" w:rsidRPr="00F56885" w:rsidRDefault="00D86A11" w:rsidP="00D86A11">
      <w:pPr>
        <w:spacing w:before="120" w:after="0"/>
        <w:ind w:right="130"/>
        <w:rPr>
          <w:rFonts w:ascii="Franklin Gothic Book" w:hAnsi="Franklin Gothic Book"/>
          <w:color w:val="auto"/>
          <w:spacing w:val="20"/>
          <w:sz w:val="4"/>
          <w:szCs w:val="4"/>
        </w:rPr>
      </w:pPr>
    </w:p>
    <w:p w:rsidR="00D86A11" w:rsidRPr="000E7387" w:rsidRDefault="00D86A11" w:rsidP="00D86A11">
      <w:pPr>
        <w:spacing w:before="120" w:after="0"/>
        <w:ind w:right="130"/>
        <w:rPr>
          <w:rFonts w:ascii="Franklin Gothic Book" w:hAnsi="Franklin Gothic Book"/>
          <w:color w:val="auto"/>
          <w:spacing w:val="20"/>
          <w:szCs w:val="28"/>
        </w:rPr>
      </w:pPr>
      <w:r w:rsidRPr="009D6ACB">
        <w:rPr>
          <w:rFonts w:ascii="Franklin Gothic Book" w:hAnsi="Franklin Gothic Book"/>
          <w:color w:val="auto"/>
          <w:spacing w:val="20"/>
          <w:szCs w:val="28"/>
        </w:rPr>
        <w:t xml:space="preserve">The number of </w:t>
      </w:r>
      <w:r>
        <w:rPr>
          <w:rFonts w:ascii="Franklin Gothic Book" w:hAnsi="Franklin Gothic Book"/>
          <w:color w:val="auto"/>
          <w:spacing w:val="20"/>
          <w:szCs w:val="28"/>
        </w:rPr>
        <w:t>P</w:t>
      </w:r>
      <w:r w:rsidRPr="009D6ACB">
        <w:rPr>
          <w:rFonts w:ascii="Franklin Gothic Book" w:hAnsi="Franklin Gothic Book"/>
          <w:color w:val="auto"/>
          <w:spacing w:val="20"/>
          <w:szCs w:val="28"/>
        </w:rPr>
        <w:t xml:space="preserve">robation referrals has steadily decreased over the years, </w:t>
      </w:r>
      <w:r>
        <w:rPr>
          <w:rFonts w:ascii="Franklin Gothic Book" w:hAnsi="Franklin Gothic Book"/>
          <w:color w:val="auto"/>
          <w:spacing w:val="20"/>
          <w:szCs w:val="28"/>
        </w:rPr>
        <w:t xml:space="preserve">in correlation with </w:t>
      </w:r>
      <w:r w:rsidRPr="009D6ACB">
        <w:rPr>
          <w:rFonts w:ascii="Franklin Gothic Book" w:hAnsi="Franklin Gothic Book"/>
          <w:color w:val="auto"/>
          <w:spacing w:val="20"/>
          <w:szCs w:val="28"/>
        </w:rPr>
        <w:t xml:space="preserve">an overall decrease of entries into foster care. The increase </w:t>
      </w:r>
      <w:r>
        <w:rPr>
          <w:rFonts w:ascii="Franklin Gothic Book" w:hAnsi="Franklin Gothic Book"/>
          <w:color w:val="auto"/>
          <w:spacing w:val="20"/>
          <w:szCs w:val="28"/>
        </w:rPr>
        <w:t>of entries into foster care</w:t>
      </w:r>
      <w:r w:rsidRPr="009D6ACB">
        <w:rPr>
          <w:rFonts w:ascii="Franklin Gothic Book" w:hAnsi="Franklin Gothic Book"/>
          <w:color w:val="auto"/>
          <w:spacing w:val="20"/>
          <w:szCs w:val="28"/>
        </w:rPr>
        <w:t xml:space="preserve"> for youth between the ages of 18-21 has increased as a result of the implementation of Extended Foster Care.</w:t>
      </w:r>
    </w:p>
    <w:p w:rsidR="00D86A11" w:rsidRPr="00E02FE4" w:rsidRDefault="00D86A11" w:rsidP="00D86A11">
      <w:pPr>
        <w:spacing w:after="0"/>
        <w:rPr>
          <w:rFonts w:ascii="Calibri" w:hAnsi="Calibri"/>
          <w:color w:val="FF0000"/>
          <w:sz w:val="20"/>
          <w:szCs w:val="24"/>
        </w:rPr>
      </w:pPr>
    </w:p>
    <w:tbl>
      <w:tblPr>
        <w:tblW w:w="9288" w:type="dxa"/>
        <w:tblBorders>
          <w:top w:val="single" w:sz="18" w:space="0" w:color="F6872B"/>
          <w:bottom w:val="single" w:sz="18" w:space="0" w:color="F6872B"/>
        </w:tblBorders>
        <w:tblLook w:val="04A0" w:firstRow="1" w:lastRow="0" w:firstColumn="1" w:lastColumn="0" w:noHBand="0" w:noVBand="1"/>
      </w:tblPr>
      <w:tblGrid>
        <w:gridCol w:w="2358"/>
        <w:gridCol w:w="3244"/>
        <w:gridCol w:w="3686"/>
      </w:tblGrid>
      <w:tr w:rsidR="00D86A11" w:rsidRPr="00C724EC" w:rsidTr="0004419F">
        <w:trPr>
          <w:trHeight w:val="693"/>
        </w:trPr>
        <w:tc>
          <w:tcPr>
            <w:tcW w:w="9288" w:type="dxa"/>
            <w:gridSpan w:val="3"/>
            <w:shd w:val="clear" w:color="auto" w:fill="013161"/>
          </w:tcPr>
          <w:p w:rsidR="00D86A11" w:rsidRPr="000055D1" w:rsidRDefault="00D86A11" w:rsidP="00D86A11">
            <w:pPr>
              <w:spacing w:after="0" w:line="240" w:lineRule="auto"/>
              <w:jc w:val="center"/>
              <w:rPr>
                <w:rFonts w:ascii="Calibri" w:eastAsia="Times New Roman" w:hAnsi="Calibri" w:cs="Arial"/>
                <w:b/>
                <w:bCs/>
                <w:color w:val="FFFFFF"/>
              </w:rPr>
            </w:pPr>
            <w:r>
              <w:rPr>
                <w:rFonts w:ascii="Calibri" w:hAnsi="Calibri"/>
                <w:b/>
                <w:color w:val="FFFFFF"/>
                <w:sz w:val="24"/>
              </w:rPr>
              <w:t xml:space="preserve">Exhibit 38. County of San Diego </w:t>
            </w:r>
            <w:r w:rsidRPr="00C51904">
              <w:rPr>
                <w:rFonts w:ascii="Calibri" w:hAnsi="Calibri"/>
                <w:b/>
                <w:color w:val="FFFFFF"/>
                <w:sz w:val="24"/>
              </w:rPr>
              <w:t>Probation, Number of Children in</w:t>
            </w:r>
            <w:r>
              <w:rPr>
                <w:rFonts w:ascii="Calibri" w:hAnsi="Calibri"/>
                <w:b/>
                <w:color w:val="FFFFFF"/>
                <w:sz w:val="24"/>
              </w:rPr>
              <w:t xml:space="preserve"> Out-of-Home Care by Age, 2010 and</w:t>
            </w:r>
            <w:r w:rsidRPr="00C51904">
              <w:rPr>
                <w:rFonts w:ascii="Calibri" w:hAnsi="Calibri"/>
                <w:b/>
                <w:color w:val="FFFFFF"/>
                <w:sz w:val="24"/>
              </w:rPr>
              <w:t xml:space="preserve"> 2015</w:t>
            </w:r>
          </w:p>
        </w:tc>
      </w:tr>
      <w:tr w:rsidR="00D86A11" w:rsidRPr="00C724EC" w:rsidTr="0004419F">
        <w:trPr>
          <w:trHeight w:val="307"/>
        </w:trPr>
        <w:tc>
          <w:tcPr>
            <w:tcW w:w="2358"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Age Group</w:t>
            </w:r>
          </w:p>
        </w:tc>
        <w:tc>
          <w:tcPr>
            <w:tcW w:w="3244"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July 1, 2010</w:t>
            </w:r>
          </w:p>
        </w:tc>
        <w:tc>
          <w:tcPr>
            <w:tcW w:w="3686"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July 1, 2015</w:t>
            </w:r>
          </w:p>
        </w:tc>
      </w:tr>
      <w:tr w:rsidR="00D86A11" w:rsidRPr="00C724EC" w:rsidTr="0004419F">
        <w:trPr>
          <w:trHeight w:val="307"/>
        </w:trPr>
        <w:tc>
          <w:tcPr>
            <w:tcW w:w="2358" w:type="dxa"/>
            <w:shd w:val="clear" w:color="auto" w:fill="auto"/>
          </w:tcPr>
          <w:p w:rsidR="00D86A11" w:rsidRPr="00423245" w:rsidRDefault="00D86A11" w:rsidP="00D86A11">
            <w:pPr>
              <w:spacing w:after="0" w:line="240" w:lineRule="auto"/>
              <w:rPr>
                <w:rFonts w:ascii="Calibri" w:eastAsia="Times New Roman" w:hAnsi="Calibri" w:cs="Arial"/>
                <w:b/>
                <w:color w:val="013161"/>
                <w:sz w:val="20"/>
              </w:rPr>
            </w:pPr>
            <w:r w:rsidRPr="00423245">
              <w:rPr>
                <w:rFonts w:ascii="Calibri" w:eastAsia="Times New Roman" w:hAnsi="Calibri" w:cs="Arial"/>
                <w:b/>
                <w:color w:val="013161"/>
                <w:sz w:val="20"/>
              </w:rPr>
              <w:t>11-15</w:t>
            </w:r>
          </w:p>
        </w:tc>
        <w:tc>
          <w:tcPr>
            <w:tcW w:w="3244" w:type="dxa"/>
            <w:shd w:val="clear" w:color="auto" w:fill="auto"/>
          </w:tcPr>
          <w:p w:rsidR="00D86A11" w:rsidRPr="00423245" w:rsidRDefault="00D86A11" w:rsidP="00D86A11">
            <w:pPr>
              <w:spacing w:after="0" w:line="240" w:lineRule="auto"/>
              <w:jc w:val="center"/>
              <w:rPr>
                <w:rFonts w:ascii="Calibri" w:eastAsia="Times New Roman" w:hAnsi="Calibri" w:cs="Arial"/>
                <w:b/>
                <w:color w:val="013161"/>
                <w:sz w:val="20"/>
              </w:rPr>
            </w:pPr>
            <w:r w:rsidRPr="00423245">
              <w:rPr>
                <w:rFonts w:ascii="Calibri" w:eastAsia="Times New Roman" w:hAnsi="Calibri" w:cs="Arial"/>
                <w:b/>
                <w:color w:val="013161"/>
                <w:sz w:val="20"/>
              </w:rPr>
              <w:t>62</w:t>
            </w:r>
          </w:p>
        </w:tc>
        <w:tc>
          <w:tcPr>
            <w:tcW w:w="3686" w:type="dxa"/>
            <w:shd w:val="clear" w:color="auto" w:fill="auto"/>
          </w:tcPr>
          <w:p w:rsidR="00D86A11" w:rsidRPr="00423245" w:rsidRDefault="00D86A11" w:rsidP="00D86A11">
            <w:pPr>
              <w:spacing w:after="0" w:line="240" w:lineRule="auto"/>
              <w:jc w:val="center"/>
              <w:rPr>
                <w:rFonts w:ascii="Calibri" w:eastAsia="Times New Roman" w:hAnsi="Calibri" w:cs="Arial"/>
                <w:b/>
                <w:color w:val="013161"/>
                <w:sz w:val="20"/>
              </w:rPr>
            </w:pPr>
            <w:r w:rsidRPr="00423245">
              <w:rPr>
                <w:rFonts w:ascii="Calibri" w:eastAsia="Times New Roman" w:hAnsi="Calibri" w:cs="Arial"/>
                <w:b/>
                <w:color w:val="013161"/>
                <w:sz w:val="20"/>
              </w:rPr>
              <w:t>33</w:t>
            </w:r>
          </w:p>
        </w:tc>
      </w:tr>
      <w:tr w:rsidR="00D86A11" w:rsidRPr="00C724EC" w:rsidTr="0004419F">
        <w:trPr>
          <w:trHeight w:val="307"/>
        </w:trPr>
        <w:tc>
          <w:tcPr>
            <w:tcW w:w="2358" w:type="dxa"/>
            <w:shd w:val="clear" w:color="auto" w:fill="DBE5F1"/>
          </w:tcPr>
          <w:p w:rsidR="00D86A11" w:rsidRPr="00423245" w:rsidRDefault="00D86A11" w:rsidP="00D86A11">
            <w:pPr>
              <w:spacing w:after="0" w:line="240" w:lineRule="auto"/>
              <w:rPr>
                <w:rFonts w:ascii="Calibri" w:eastAsia="Times New Roman" w:hAnsi="Calibri" w:cs="Arial"/>
                <w:b/>
                <w:color w:val="013161"/>
                <w:sz w:val="20"/>
              </w:rPr>
            </w:pPr>
            <w:r w:rsidRPr="00423245">
              <w:rPr>
                <w:rFonts w:ascii="Calibri" w:eastAsia="Times New Roman" w:hAnsi="Calibri" w:cs="Arial"/>
                <w:b/>
                <w:color w:val="013161"/>
                <w:sz w:val="20"/>
              </w:rPr>
              <w:t>16-17</w:t>
            </w:r>
          </w:p>
        </w:tc>
        <w:tc>
          <w:tcPr>
            <w:tcW w:w="3244" w:type="dxa"/>
            <w:shd w:val="clear" w:color="auto" w:fill="DBE5F1"/>
          </w:tcPr>
          <w:p w:rsidR="00D86A11" w:rsidRPr="00423245" w:rsidRDefault="00D86A11" w:rsidP="00D86A11">
            <w:pPr>
              <w:spacing w:after="0" w:line="240" w:lineRule="auto"/>
              <w:jc w:val="center"/>
              <w:rPr>
                <w:rFonts w:ascii="Calibri" w:eastAsia="Times New Roman" w:hAnsi="Calibri" w:cs="Arial"/>
                <w:b/>
                <w:color w:val="013161"/>
                <w:sz w:val="20"/>
              </w:rPr>
            </w:pPr>
            <w:r w:rsidRPr="00423245">
              <w:rPr>
                <w:rFonts w:ascii="Calibri" w:eastAsia="Times New Roman" w:hAnsi="Calibri" w:cs="Arial"/>
                <w:b/>
                <w:color w:val="013161"/>
                <w:sz w:val="20"/>
              </w:rPr>
              <w:t>175</w:t>
            </w:r>
          </w:p>
        </w:tc>
        <w:tc>
          <w:tcPr>
            <w:tcW w:w="3686" w:type="dxa"/>
            <w:shd w:val="clear" w:color="auto" w:fill="DBE5F1"/>
          </w:tcPr>
          <w:p w:rsidR="00D86A11" w:rsidRPr="00423245" w:rsidRDefault="00D86A11" w:rsidP="00D86A11">
            <w:pPr>
              <w:spacing w:after="0" w:line="240" w:lineRule="auto"/>
              <w:jc w:val="center"/>
              <w:rPr>
                <w:rFonts w:ascii="Calibri" w:eastAsia="Times New Roman" w:hAnsi="Calibri" w:cs="Arial"/>
                <w:b/>
                <w:color w:val="013161"/>
                <w:sz w:val="20"/>
              </w:rPr>
            </w:pPr>
            <w:r w:rsidRPr="00423245">
              <w:rPr>
                <w:rFonts w:ascii="Calibri" w:eastAsia="Times New Roman" w:hAnsi="Calibri" w:cs="Arial"/>
                <w:b/>
                <w:color w:val="013161"/>
                <w:sz w:val="20"/>
              </w:rPr>
              <w:t>110</w:t>
            </w:r>
          </w:p>
        </w:tc>
      </w:tr>
      <w:tr w:rsidR="00D86A11" w:rsidRPr="00C724EC" w:rsidTr="0004419F">
        <w:trPr>
          <w:trHeight w:val="307"/>
        </w:trPr>
        <w:tc>
          <w:tcPr>
            <w:tcW w:w="2358" w:type="dxa"/>
            <w:shd w:val="clear" w:color="auto" w:fill="auto"/>
          </w:tcPr>
          <w:p w:rsidR="00D86A11" w:rsidRPr="00423245" w:rsidRDefault="00D86A11" w:rsidP="00D86A11">
            <w:pPr>
              <w:spacing w:after="0" w:line="240" w:lineRule="auto"/>
              <w:rPr>
                <w:rFonts w:ascii="Calibri" w:eastAsia="Times New Roman" w:hAnsi="Calibri" w:cs="Arial"/>
                <w:b/>
                <w:color w:val="013161"/>
                <w:sz w:val="20"/>
              </w:rPr>
            </w:pPr>
            <w:r w:rsidRPr="00423245">
              <w:rPr>
                <w:rFonts w:ascii="Calibri" w:eastAsia="Times New Roman" w:hAnsi="Calibri" w:cs="Arial"/>
                <w:b/>
                <w:color w:val="013161"/>
                <w:sz w:val="20"/>
              </w:rPr>
              <w:t>18-21</w:t>
            </w:r>
          </w:p>
        </w:tc>
        <w:tc>
          <w:tcPr>
            <w:tcW w:w="3244" w:type="dxa"/>
            <w:shd w:val="clear" w:color="auto" w:fill="auto"/>
          </w:tcPr>
          <w:p w:rsidR="00D86A11" w:rsidRPr="00423245" w:rsidRDefault="00D86A11" w:rsidP="00D86A11">
            <w:pPr>
              <w:spacing w:after="0" w:line="240" w:lineRule="auto"/>
              <w:jc w:val="center"/>
              <w:rPr>
                <w:rFonts w:ascii="Calibri" w:eastAsia="Times New Roman" w:hAnsi="Calibri" w:cs="Arial"/>
                <w:b/>
                <w:color w:val="013161"/>
                <w:sz w:val="20"/>
              </w:rPr>
            </w:pPr>
            <w:r w:rsidRPr="00423245">
              <w:rPr>
                <w:rFonts w:ascii="Calibri" w:eastAsia="Times New Roman" w:hAnsi="Calibri" w:cs="Arial"/>
                <w:b/>
                <w:color w:val="013161"/>
                <w:sz w:val="20"/>
              </w:rPr>
              <w:t>11</w:t>
            </w:r>
          </w:p>
        </w:tc>
        <w:tc>
          <w:tcPr>
            <w:tcW w:w="3686" w:type="dxa"/>
            <w:shd w:val="clear" w:color="auto" w:fill="auto"/>
          </w:tcPr>
          <w:p w:rsidR="00D86A11" w:rsidRPr="00423245" w:rsidRDefault="00D86A11" w:rsidP="00D86A11">
            <w:pPr>
              <w:spacing w:after="0" w:line="240" w:lineRule="auto"/>
              <w:jc w:val="center"/>
              <w:rPr>
                <w:rFonts w:ascii="Calibri" w:eastAsia="Times New Roman" w:hAnsi="Calibri" w:cs="Arial"/>
                <w:b/>
                <w:color w:val="013161"/>
                <w:sz w:val="20"/>
              </w:rPr>
            </w:pPr>
            <w:r w:rsidRPr="00423245">
              <w:rPr>
                <w:rFonts w:ascii="Calibri" w:eastAsia="Times New Roman" w:hAnsi="Calibri" w:cs="Arial"/>
                <w:b/>
                <w:color w:val="013161"/>
                <w:sz w:val="20"/>
              </w:rPr>
              <w:t>81</w:t>
            </w:r>
          </w:p>
        </w:tc>
      </w:tr>
      <w:tr w:rsidR="00D86A11" w:rsidRPr="00C724EC" w:rsidTr="0004419F">
        <w:trPr>
          <w:trHeight w:val="307"/>
        </w:trPr>
        <w:tc>
          <w:tcPr>
            <w:tcW w:w="2358" w:type="dxa"/>
            <w:shd w:val="clear" w:color="auto" w:fill="DBE5F1"/>
          </w:tcPr>
          <w:p w:rsidR="00D86A11" w:rsidRPr="00423245" w:rsidRDefault="00D86A11" w:rsidP="00D86A11">
            <w:pPr>
              <w:spacing w:after="0" w:line="240" w:lineRule="auto"/>
              <w:rPr>
                <w:rFonts w:ascii="Calibri" w:eastAsia="Times New Roman" w:hAnsi="Calibri" w:cs="Arial"/>
                <w:b/>
                <w:color w:val="013161"/>
                <w:sz w:val="20"/>
              </w:rPr>
            </w:pPr>
            <w:r w:rsidRPr="00423245">
              <w:rPr>
                <w:rFonts w:ascii="Calibri" w:eastAsia="Times New Roman" w:hAnsi="Calibri" w:cs="Arial"/>
                <w:b/>
                <w:color w:val="013161"/>
                <w:sz w:val="20"/>
              </w:rPr>
              <w:t>Total</w:t>
            </w:r>
          </w:p>
        </w:tc>
        <w:tc>
          <w:tcPr>
            <w:tcW w:w="3244" w:type="dxa"/>
            <w:shd w:val="clear" w:color="auto" w:fill="DBE5F1"/>
          </w:tcPr>
          <w:p w:rsidR="00D86A11" w:rsidRPr="00423245" w:rsidRDefault="00D86A11" w:rsidP="00D86A11">
            <w:pPr>
              <w:spacing w:after="0" w:line="240" w:lineRule="auto"/>
              <w:jc w:val="center"/>
              <w:rPr>
                <w:rFonts w:ascii="Calibri" w:eastAsia="Times New Roman" w:hAnsi="Calibri" w:cs="Arial"/>
                <w:b/>
                <w:color w:val="013161"/>
                <w:sz w:val="20"/>
              </w:rPr>
            </w:pPr>
            <w:r w:rsidRPr="00423245">
              <w:rPr>
                <w:rFonts w:ascii="Calibri" w:eastAsia="Times New Roman" w:hAnsi="Calibri" w:cs="Arial"/>
                <w:b/>
                <w:color w:val="013161"/>
                <w:sz w:val="20"/>
              </w:rPr>
              <w:t>248</w:t>
            </w:r>
          </w:p>
        </w:tc>
        <w:tc>
          <w:tcPr>
            <w:tcW w:w="3686" w:type="dxa"/>
            <w:shd w:val="clear" w:color="auto" w:fill="DBE5F1"/>
          </w:tcPr>
          <w:p w:rsidR="00D86A11" w:rsidRPr="00423245" w:rsidRDefault="00D86A11" w:rsidP="00D86A11">
            <w:pPr>
              <w:spacing w:after="0" w:line="240" w:lineRule="auto"/>
              <w:jc w:val="center"/>
              <w:rPr>
                <w:rFonts w:ascii="Calibri" w:eastAsia="Times New Roman" w:hAnsi="Calibri" w:cs="Arial"/>
                <w:b/>
                <w:color w:val="013161"/>
                <w:sz w:val="20"/>
              </w:rPr>
            </w:pPr>
            <w:r w:rsidRPr="00423245">
              <w:rPr>
                <w:rFonts w:ascii="Calibri" w:eastAsia="Times New Roman" w:hAnsi="Calibri" w:cs="Arial"/>
                <w:b/>
                <w:color w:val="013161"/>
                <w:sz w:val="20"/>
              </w:rPr>
              <w:t>224</w:t>
            </w:r>
          </w:p>
        </w:tc>
      </w:tr>
    </w:tbl>
    <w:p w:rsidR="00D86A11" w:rsidRPr="00F56885" w:rsidRDefault="00D86A11" w:rsidP="00F56885">
      <w:pPr>
        <w:spacing w:before="120" w:after="0"/>
        <w:ind w:right="130"/>
        <w:rPr>
          <w:rFonts w:ascii="Franklin Gothic Book" w:hAnsi="Franklin Gothic Book"/>
          <w:color w:val="auto"/>
          <w:spacing w:val="20"/>
          <w:sz w:val="4"/>
          <w:szCs w:val="4"/>
        </w:rPr>
      </w:pPr>
    </w:p>
    <w:p w:rsidR="00D86A11" w:rsidRDefault="00D86A11" w:rsidP="00D86A11">
      <w:pPr>
        <w:spacing w:before="120" w:after="0"/>
        <w:ind w:right="130"/>
        <w:rPr>
          <w:rFonts w:ascii="Franklin Gothic Book" w:hAnsi="Franklin Gothic Book"/>
          <w:color w:val="auto"/>
          <w:spacing w:val="20"/>
          <w:szCs w:val="28"/>
        </w:rPr>
      </w:pPr>
      <w:r w:rsidRPr="000E7387">
        <w:rPr>
          <w:rFonts w:ascii="Franklin Gothic Book" w:hAnsi="Franklin Gothic Book"/>
          <w:color w:val="auto"/>
          <w:spacing w:val="20"/>
          <w:szCs w:val="28"/>
        </w:rPr>
        <w:t>There were decreases in the number of youth in out-of-home care for all race</w:t>
      </w:r>
      <w:r>
        <w:rPr>
          <w:rFonts w:ascii="Franklin Gothic Book" w:hAnsi="Franklin Gothic Book"/>
          <w:color w:val="auto"/>
          <w:spacing w:val="20"/>
          <w:szCs w:val="28"/>
        </w:rPr>
        <w:t>s</w:t>
      </w:r>
      <w:r w:rsidRPr="000E7387">
        <w:rPr>
          <w:rFonts w:ascii="Franklin Gothic Book" w:hAnsi="Franklin Gothic Book"/>
          <w:color w:val="auto"/>
          <w:spacing w:val="20"/>
          <w:szCs w:val="28"/>
        </w:rPr>
        <w:t>/ethnicities, except Native American youth</w:t>
      </w:r>
      <w:r w:rsidR="00524638">
        <w:rPr>
          <w:rFonts w:ascii="Franklin Gothic Book" w:hAnsi="Franklin Gothic Book"/>
          <w:color w:val="auto"/>
          <w:spacing w:val="20"/>
          <w:szCs w:val="28"/>
        </w:rPr>
        <w:t xml:space="preserve"> (Exhibit 39, next page)</w:t>
      </w:r>
      <w:r w:rsidRPr="000E7387">
        <w:rPr>
          <w:rFonts w:ascii="Franklin Gothic Book" w:hAnsi="Franklin Gothic Book"/>
          <w:color w:val="auto"/>
          <w:spacing w:val="20"/>
          <w:szCs w:val="28"/>
        </w:rPr>
        <w:t xml:space="preserve">. The largest decrease was among White youth. </w:t>
      </w:r>
      <w:r w:rsidRPr="00006288">
        <w:rPr>
          <w:rFonts w:ascii="Franklin Gothic Book" w:hAnsi="Franklin Gothic Book"/>
          <w:color w:val="auto"/>
          <w:spacing w:val="20"/>
          <w:szCs w:val="28"/>
        </w:rPr>
        <w:t>There has not been enough of a fluctuation to identify any trends.</w:t>
      </w:r>
    </w:p>
    <w:p w:rsidR="00524638" w:rsidRPr="000E7387" w:rsidRDefault="00524638" w:rsidP="00D86A11">
      <w:pPr>
        <w:spacing w:before="120" w:after="0"/>
        <w:ind w:right="130"/>
        <w:rPr>
          <w:rFonts w:ascii="Franklin Gothic Book" w:hAnsi="Franklin Gothic Book"/>
          <w:color w:val="auto"/>
          <w:spacing w:val="20"/>
          <w:szCs w:val="28"/>
        </w:rPr>
      </w:pPr>
    </w:p>
    <w:p w:rsidR="00D86A11" w:rsidRDefault="00D86A11" w:rsidP="00D86A11">
      <w:pPr>
        <w:spacing w:after="0"/>
        <w:rPr>
          <w:rFonts w:ascii="Calibri" w:hAnsi="Calibri"/>
          <w:color w:val="FF0000"/>
          <w:sz w:val="24"/>
          <w:szCs w:val="24"/>
        </w:rPr>
      </w:pPr>
    </w:p>
    <w:tbl>
      <w:tblPr>
        <w:tblW w:w="8928" w:type="dxa"/>
        <w:tblBorders>
          <w:top w:val="single" w:sz="18" w:space="0" w:color="F6872B"/>
          <w:bottom w:val="single" w:sz="18" w:space="0" w:color="F6872B"/>
        </w:tblBorders>
        <w:tblLook w:val="04A0" w:firstRow="1" w:lastRow="0" w:firstColumn="1" w:lastColumn="0" w:noHBand="0" w:noVBand="1"/>
      </w:tblPr>
      <w:tblGrid>
        <w:gridCol w:w="3175"/>
        <w:gridCol w:w="2570"/>
        <w:gridCol w:w="3183"/>
      </w:tblGrid>
      <w:tr w:rsidR="00D86A11" w:rsidRPr="00C724EC">
        <w:trPr>
          <w:trHeight w:val="711"/>
        </w:trPr>
        <w:tc>
          <w:tcPr>
            <w:tcW w:w="8928" w:type="dxa"/>
            <w:gridSpan w:val="3"/>
            <w:shd w:val="clear" w:color="auto" w:fill="013161"/>
          </w:tcPr>
          <w:p w:rsidR="00D86A11" w:rsidRPr="00C51904" w:rsidRDefault="00D86A11" w:rsidP="00D86A11">
            <w:pPr>
              <w:spacing w:after="0" w:line="240" w:lineRule="auto"/>
              <w:jc w:val="center"/>
              <w:rPr>
                <w:rFonts w:ascii="Calibri" w:hAnsi="Calibri"/>
                <w:b/>
                <w:color w:val="FFFFFF"/>
                <w:sz w:val="24"/>
              </w:rPr>
            </w:pPr>
            <w:r>
              <w:rPr>
                <w:rFonts w:ascii="Calibri" w:hAnsi="Calibri"/>
                <w:b/>
                <w:color w:val="FFFFFF"/>
                <w:sz w:val="24"/>
              </w:rPr>
              <w:t xml:space="preserve">Exhibit 39. County of San Diego </w:t>
            </w:r>
            <w:r w:rsidRPr="00C51904">
              <w:rPr>
                <w:rFonts w:ascii="Calibri" w:hAnsi="Calibri"/>
                <w:b/>
                <w:color w:val="FFFFFF"/>
                <w:sz w:val="24"/>
              </w:rPr>
              <w:t xml:space="preserve">Probation, Number of Children </w:t>
            </w:r>
          </w:p>
          <w:p w:rsidR="00D86A11" w:rsidRPr="000055D1" w:rsidRDefault="00D86A11" w:rsidP="00D86A11">
            <w:pPr>
              <w:spacing w:after="0" w:line="240" w:lineRule="auto"/>
              <w:jc w:val="center"/>
              <w:rPr>
                <w:rFonts w:ascii="Calibri" w:eastAsia="Times New Roman" w:hAnsi="Calibri" w:cs="Arial"/>
                <w:b/>
                <w:bCs/>
              </w:rPr>
            </w:pPr>
            <w:r w:rsidRPr="00C51904">
              <w:rPr>
                <w:rFonts w:ascii="Calibri" w:hAnsi="Calibri"/>
                <w:b/>
                <w:color w:val="FFFFFF"/>
                <w:sz w:val="24"/>
              </w:rPr>
              <w:t>in Out-of-H</w:t>
            </w:r>
            <w:r>
              <w:rPr>
                <w:rFonts w:ascii="Calibri" w:hAnsi="Calibri"/>
                <w:b/>
                <w:color w:val="FFFFFF"/>
                <w:sz w:val="24"/>
              </w:rPr>
              <w:t>ome Care by Ethnic Group, 2010 and</w:t>
            </w:r>
            <w:r w:rsidRPr="00C51904">
              <w:rPr>
                <w:rFonts w:ascii="Calibri" w:hAnsi="Calibri"/>
                <w:b/>
                <w:color w:val="FFFFFF"/>
                <w:sz w:val="24"/>
              </w:rPr>
              <w:t xml:space="preserve"> 2015</w:t>
            </w:r>
          </w:p>
        </w:tc>
      </w:tr>
      <w:tr w:rsidR="00D86A11" w:rsidRPr="00C724EC">
        <w:trPr>
          <w:trHeight w:val="293"/>
        </w:trPr>
        <w:tc>
          <w:tcPr>
            <w:tcW w:w="3175"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Ethnic Group</w:t>
            </w:r>
          </w:p>
        </w:tc>
        <w:tc>
          <w:tcPr>
            <w:tcW w:w="2570"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July 1, 2010</w:t>
            </w:r>
          </w:p>
        </w:tc>
        <w:tc>
          <w:tcPr>
            <w:tcW w:w="3183"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July 1, 2015</w:t>
            </w:r>
          </w:p>
        </w:tc>
      </w:tr>
      <w:tr w:rsidR="00D86A11" w:rsidRPr="00C724EC">
        <w:trPr>
          <w:trHeight w:val="293"/>
        </w:trPr>
        <w:tc>
          <w:tcPr>
            <w:tcW w:w="3175" w:type="dxa"/>
            <w:shd w:val="clear" w:color="auto" w:fill="auto"/>
          </w:tcPr>
          <w:p w:rsidR="00D86A11" w:rsidRPr="004760E1" w:rsidRDefault="00D86A11" w:rsidP="00D86A11">
            <w:pPr>
              <w:spacing w:after="0" w:line="240" w:lineRule="auto"/>
              <w:rPr>
                <w:rFonts w:ascii="Calibri" w:eastAsia="Times New Roman" w:hAnsi="Calibri" w:cs="Arial"/>
                <w:b/>
                <w:color w:val="013161"/>
                <w:sz w:val="20"/>
              </w:rPr>
            </w:pPr>
            <w:r w:rsidRPr="004760E1">
              <w:rPr>
                <w:rFonts w:ascii="Calibri" w:eastAsia="Times New Roman" w:hAnsi="Calibri" w:cs="Arial"/>
                <w:b/>
                <w:color w:val="013161"/>
                <w:sz w:val="20"/>
              </w:rPr>
              <w:t>Black</w:t>
            </w:r>
          </w:p>
        </w:tc>
        <w:tc>
          <w:tcPr>
            <w:tcW w:w="2570" w:type="dxa"/>
            <w:shd w:val="clear" w:color="auto" w:fill="auto"/>
          </w:tcPr>
          <w:p w:rsidR="00D86A11" w:rsidRPr="004760E1" w:rsidRDefault="00D86A11" w:rsidP="00D86A11">
            <w:pPr>
              <w:spacing w:after="0" w:line="240" w:lineRule="auto"/>
              <w:jc w:val="center"/>
              <w:rPr>
                <w:rFonts w:ascii="Calibri" w:eastAsia="Times New Roman" w:hAnsi="Calibri" w:cs="Arial"/>
                <w:b/>
                <w:color w:val="013161"/>
                <w:sz w:val="20"/>
              </w:rPr>
            </w:pPr>
            <w:r w:rsidRPr="004760E1">
              <w:rPr>
                <w:rFonts w:ascii="Calibri" w:eastAsia="Times New Roman" w:hAnsi="Calibri" w:cs="Arial"/>
                <w:b/>
                <w:color w:val="013161"/>
                <w:sz w:val="20"/>
              </w:rPr>
              <w:t>66</w:t>
            </w:r>
          </w:p>
        </w:tc>
        <w:tc>
          <w:tcPr>
            <w:tcW w:w="3183" w:type="dxa"/>
            <w:shd w:val="clear" w:color="auto" w:fill="auto"/>
          </w:tcPr>
          <w:p w:rsidR="00D86A11" w:rsidRPr="004760E1" w:rsidRDefault="00D86A11" w:rsidP="00D86A11">
            <w:pPr>
              <w:spacing w:after="0" w:line="240" w:lineRule="auto"/>
              <w:jc w:val="center"/>
              <w:rPr>
                <w:rFonts w:ascii="Calibri" w:eastAsia="Times New Roman" w:hAnsi="Calibri" w:cs="Arial"/>
                <w:b/>
                <w:color w:val="013161"/>
                <w:sz w:val="20"/>
              </w:rPr>
            </w:pPr>
            <w:r w:rsidRPr="004760E1">
              <w:rPr>
                <w:rFonts w:ascii="Calibri" w:eastAsia="Times New Roman" w:hAnsi="Calibri" w:cs="Arial"/>
                <w:b/>
                <w:color w:val="013161"/>
                <w:sz w:val="20"/>
              </w:rPr>
              <w:t>60</w:t>
            </w:r>
          </w:p>
        </w:tc>
      </w:tr>
      <w:tr w:rsidR="00D86A11" w:rsidRPr="00C724EC">
        <w:trPr>
          <w:trHeight w:val="293"/>
        </w:trPr>
        <w:tc>
          <w:tcPr>
            <w:tcW w:w="3175" w:type="dxa"/>
            <w:shd w:val="clear" w:color="auto" w:fill="DBE5F1"/>
          </w:tcPr>
          <w:p w:rsidR="00D86A11" w:rsidRPr="004760E1" w:rsidRDefault="00D86A11" w:rsidP="00D86A11">
            <w:pPr>
              <w:spacing w:after="0" w:line="240" w:lineRule="auto"/>
              <w:rPr>
                <w:rFonts w:ascii="Calibri" w:eastAsia="Times New Roman" w:hAnsi="Calibri" w:cs="Arial"/>
                <w:b/>
                <w:color w:val="013161"/>
                <w:sz w:val="20"/>
              </w:rPr>
            </w:pPr>
            <w:r w:rsidRPr="004760E1">
              <w:rPr>
                <w:rFonts w:ascii="Calibri" w:eastAsia="Times New Roman" w:hAnsi="Calibri" w:cs="Arial"/>
                <w:b/>
                <w:color w:val="013161"/>
                <w:sz w:val="20"/>
              </w:rPr>
              <w:t>White</w:t>
            </w:r>
          </w:p>
        </w:tc>
        <w:tc>
          <w:tcPr>
            <w:tcW w:w="2570" w:type="dxa"/>
            <w:shd w:val="clear" w:color="auto" w:fill="DBE5F1"/>
          </w:tcPr>
          <w:p w:rsidR="00D86A11" w:rsidRPr="004760E1" w:rsidRDefault="00D86A11" w:rsidP="00D86A11">
            <w:pPr>
              <w:spacing w:after="0" w:line="240" w:lineRule="auto"/>
              <w:jc w:val="center"/>
              <w:rPr>
                <w:rFonts w:ascii="Calibri" w:eastAsia="Times New Roman" w:hAnsi="Calibri" w:cs="Arial"/>
                <w:b/>
                <w:color w:val="013161"/>
                <w:sz w:val="20"/>
              </w:rPr>
            </w:pPr>
            <w:r w:rsidRPr="004760E1">
              <w:rPr>
                <w:rFonts w:ascii="Calibri" w:eastAsia="Times New Roman" w:hAnsi="Calibri" w:cs="Arial"/>
                <w:b/>
                <w:color w:val="013161"/>
                <w:sz w:val="20"/>
              </w:rPr>
              <w:t>60</w:t>
            </w:r>
          </w:p>
        </w:tc>
        <w:tc>
          <w:tcPr>
            <w:tcW w:w="3183" w:type="dxa"/>
            <w:shd w:val="clear" w:color="auto" w:fill="DBE5F1"/>
          </w:tcPr>
          <w:p w:rsidR="00D86A11" w:rsidRPr="004760E1" w:rsidRDefault="00D86A11" w:rsidP="00D86A11">
            <w:pPr>
              <w:spacing w:after="0" w:line="240" w:lineRule="auto"/>
              <w:jc w:val="center"/>
              <w:rPr>
                <w:rFonts w:ascii="Calibri" w:eastAsia="Times New Roman" w:hAnsi="Calibri" w:cs="Arial"/>
                <w:b/>
                <w:color w:val="013161"/>
                <w:sz w:val="20"/>
              </w:rPr>
            </w:pPr>
            <w:r w:rsidRPr="004760E1">
              <w:rPr>
                <w:rFonts w:ascii="Calibri" w:eastAsia="Times New Roman" w:hAnsi="Calibri" w:cs="Arial"/>
                <w:b/>
                <w:color w:val="013161"/>
                <w:sz w:val="20"/>
              </w:rPr>
              <w:t>46</w:t>
            </w:r>
          </w:p>
        </w:tc>
      </w:tr>
      <w:tr w:rsidR="00D86A11" w:rsidRPr="00C724EC">
        <w:trPr>
          <w:trHeight w:val="293"/>
        </w:trPr>
        <w:tc>
          <w:tcPr>
            <w:tcW w:w="3175" w:type="dxa"/>
            <w:shd w:val="clear" w:color="auto" w:fill="auto"/>
          </w:tcPr>
          <w:p w:rsidR="00D86A11" w:rsidRPr="004760E1" w:rsidRDefault="00D86A11" w:rsidP="00D86A11">
            <w:pPr>
              <w:spacing w:after="0" w:line="240" w:lineRule="auto"/>
              <w:rPr>
                <w:rFonts w:ascii="Calibri" w:eastAsia="Times New Roman" w:hAnsi="Calibri" w:cs="Arial"/>
                <w:b/>
                <w:color w:val="013161"/>
                <w:sz w:val="20"/>
              </w:rPr>
            </w:pPr>
            <w:r w:rsidRPr="004760E1">
              <w:rPr>
                <w:rFonts w:ascii="Calibri" w:eastAsia="Times New Roman" w:hAnsi="Calibri" w:cs="Arial"/>
                <w:b/>
                <w:color w:val="013161"/>
                <w:sz w:val="20"/>
              </w:rPr>
              <w:t>Latino</w:t>
            </w:r>
          </w:p>
        </w:tc>
        <w:tc>
          <w:tcPr>
            <w:tcW w:w="2570" w:type="dxa"/>
            <w:shd w:val="clear" w:color="auto" w:fill="auto"/>
          </w:tcPr>
          <w:p w:rsidR="00D86A11" w:rsidRPr="004760E1" w:rsidRDefault="00D86A11" w:rsidP="00D86A11">
            <w:pPr>
              <w:spacing w:after="0" w:line="240" w:lineRule="auto"/>
              <w:jc w:val="center"/>
              <w:rPr>
                <w:rFonts w:ascii="Calibri" w:eastAsia="Times New Roman" w:hAnsi="Calibri" w:cs="Arial"/>
                <w:b/>
                <w:color w:val="013161"/>
                <w:sz w:val="20"/>
              </w:rPr>
            </w:pPr>
            <w:r w:rsidRPr="004760E1">
              <w:rPr>
                <w:rFonts w:ascii="Calibri" w:eastAsia="Times New Roman" w:hAnsi="Calibri" w:cs="Arial"/>
                <w:b/>
                <w:color w:val="013161"/>
                <w:sz w:val="20"/>
              </w:rPr>
              <w:t>115</w:t>
            </w:r>
          </w:p>
        </w:tc>
        <w:tc>
          <w:tcPr>
            <w:tcW w:w="3183" w:type="dxa"/>
            <w:shd w:val="clear" w:color="auto" w:fill="auto"/>
          </w:tcPr>
          <w:p w:rsidR="00D86A11" w:rsidRPr="004760E1" w:rsidRDefault="00D86A11" w:rsidP="00D86A11">
            <w:pPr>
              <w:spacing w:after="0" w:line="240" w:lineRule="auto"/>
              <w:jc w:val="center"/>
              <w:rPr>
                <w:rFonts w:ascii="Calibri" w:eastAsia="Times New Roman" w:hAnsi="Calibri" w:cs="Arial"/>
                <w:b/>
                <w:color w:val="013161"/>
                <w:sz w:val="20"/>
              </w:rPr>
            </w:pPr>
            <w:r w:rsidRPr="004760E1">
              <w:rPr>
                <w:rFonts w:ascii="Calibri" w:eastAsia="Times New Roman" w:hAnsi="Calibri" w:cs="Arial"/>
                <w:b/>
                <w:color w:val="013161"/>
                <w:sz w:val="20"/>
              </w:rPr>
              <w:t>107</w:t>
            </w:r>
          </w:p>
        </w:tc>
      </w:tr>
      <w:tr w:rsidR="00D86A11" w:rsidRPr="00C724EC">
        <w:trPr>
          <w:trHeight w:val="293"/>
        </w:trPr>
        <w:tc>
          <w:tcPr>
            <w:tcW w:w="3175" w:type="dxa"/>
            <w:shd w:val="clear" w:color="auto" w:fill="DBE5F1"/>
          </w:tcPr>
          <w:p w:rsidR="00D86A11" w:rsidRPr="004760E1" w:rsidRDefault="00D86A11" w:rsidP="00D86A11">
            <w:pPr>
              <w:spacing w:after="0" w:line="240" w:lineRule="auto"/>
              <w:rPr>
                <w:rFonts w:ascii="Calibri" w:eastAsia="Times New Roman" w:hAnsi="Calibri" w:cs="Arial"/>
                <w:b/>
                <w:color w:val="013161"/>
                <w:sz w:val="20"/>
              </w:rPr>
            </w:pPr>
            <w:r w:rsidRPr="004760E1">
              <w:rPr>
                <w:rFonts w:ascii="Calibri" w:eastAsia="Times New Roman" w:hAnsi="Calibri" w:cs="Arial"/>
                <w:b/>
                <w:color w:val="013161"/>
                <w:sz w:val="20"/>
              </w:rPr>
              <w:t>Asian/P.I.</w:t>
            </w:r>
          </w:p>
        </w:tc>
        <w:tc>
          <w:tcPr>
            <w:tcW w:w="2570" w:type="dxa"/>
            <w:shd w:val="clear" w:color="auto" w:fill="DBE5F1"/>
          </w:tcPr>
          <w:p w:rsidR="00D86A11" w:rsidRPr="004760E1" w:rsidRDefault="00D86A11" w:rsidP="00D86A11">
            <w:pPr>
              <w:spacing w:after="0" w:line="240" w:lineRule="auto"/>
              <w:jc w:val="center"/>
              <w:rPr>
                <w:rFonts w:ascii="Calibri" w:eastAsia="Times New Roman" w:hAnsi="Calibri" w:cs="Arial"/>
                <w:b/>
                <w:color w:val="013161"/>
                <w:sz w:val="20"/>
              </w:rPr>
            </w:pPr>
            <w:r w:rsidRPr="004760E1">
              <w:rPr>
                <w:rFonts w:ascii="Calibri" w:eastAsia="Times New Roman" w:hAnsi="Calibri" w:cs="Arial"/>
                <w:b/>
                <w:color w:val="013161"/>
                <w:sz w:val="20"/>
              </w:rPr>
              <w:t>5</w:t>
            </w:r>
          </w:p>
        </w:tc>
        <w:tc>
          <w:tcPr>
            <w:tcW w:w="3183" w:type="dxa"/>
            <w:shd w:val="clear" w:color="auto" w:fill="DBE5F1"/>
          </w:tcPr>
          <w:p w:rsidR="00D86A11" w:rsidRPr="004760E1" w:rsidRDefault="00D86A11" w:rsidP="00D86A11">
            <w:pPr>
              <w:spacing w:after="0" w:line="240" w:lineRule="auto"/>
              <w:jc w:val="center"/>
              <w:rPr>
                <w:rFonts w:ascii="Calibri" w:eastAsia="Times New Roman" w:hAnsi="Calibri" w:cs="Arial"/>
                <w:b/>
                <w:color w:val="013161"/>
                <w:sz w:val="20"/>
              </w:rPr>
            </w:pPr>
            <w:r w:rsidRPr="004760E1">
              <w:rPr>
                <w:rFonts w:ascii="Calibri" w:eastAsia="Times New Roman" w:hAnsi="Calibri" w:cs="Arial"/>
                <w:b/>
                <w:color w:val="013161"/>
                <w:sz w:val="20"/>
              </w:rPr>
              <w:t>3</w:t>
            </w:r>
          </w:p>
        </w:tc>
      </w:tr>
      <w:tr w:rsidR="00D86A11" w:rsidRPr="00C724EC">
        <w:trPr>
          <w:trHeight w:val="293"/>
        </w:trPr>
        <w:tc>
          <w:tcPr>
            <w:tcW w:w="3175" w:type="dxa"/>
            <w:shd w:val="clear" w:color="auto" w:fill="auto"/>
          </w:tcPr>
          <w:p w:rsidR="00D86A11" w:rsidRPr="004760E1" w:rsidRDefault="00D86A11" w:rsidP="00D86A11">
            <w:pPr>
              <w:spacing w:after="0" w:line="240" w:lineRule="auto"/>
              <w:rPr>
                <w:rFonts w:ascii="Calibri" w:eastAsia="Times New Roman" w:hAnsi="Calibri" w:cs="Arial"/>
                <w:b/>
                <w:color w:val="013161"/>
                <w:sz w:val="20"/>
              </w:rPr>
            </w:pPr>
            <w:r w:rsidRPr="004760E1">
              <w:rPr>
                <w:rFonts w:ascii="Calibri" w:eastAsia="Times New Roman" w:hAnsi="Calibri" w:cs="Arial"/>
                <w:b/>
                <w:color w:val="013161"/>
                <w:sz w:val="20"/>
              </w:rPr>
              <w:t>Native American</w:t>
            </w:r>
          </w:p>
        </w:tc>
        <w:tc>
          <w:tcPr>
            <w:tcW w:w="2570" w:type="dxa"/>
            <w:shd w:val="clear" w:color="auto" w:fill="auto"/>
          </w:tcPr>
          <w:p w:rsidR="00D86A11" w:rsidRPr="004760E1" w:rsidRDefault="00D86A11" w:rsidP="00D86A11">
            <w:pPr>
              <w:spacing w:after="0" w:line="240" w:lineRule="auto"/>
              <w:jc w:val="center"/>
              <w:rPr>
                <w:rFonts w:ascii="Calibri" w:eastAsia="Times New Roman" w:hAnsi="Calibri" w:cs="Arial"/>
                <w:b/>
                <w:color w:val="013161"/>
                <w:sz w:val="20"/>
              </w:rPr>
            </w:pPr>
            <w:r w:rsidRPr="004760E1">
              <w:rPr>
                <w:rFonts w:ascii="Calibri" w:eastAsia="Times New Roman" w:hAnsi="Calibri" w:cs="Arial"/>
                <w:b/>
                <w:color w:val="013161"/>
                <w:sz w:val="20"/>
              </w:rPr>
              <w:t>1</w:t>
            </w:r>
          </w:p>
        </w:tc>
        <w:tc>
          <w:tcPr>
            <w:tcW w:w="3183" w:type="dxa"/>
            <w:shd w:val="clear" w:color="auto" w:fill="auto"/>
          </w:tcPr>
          <w:p w:rsidR="00D86A11" w:rsidRPr="004760E1" w:rsidRDefault="00D86A11" w:rsidP="00D86A11">
            <w:pPr>
              <w:spacing w:after="0" w:line="240" w:lineRule="auto"/>
              <w:jc w:val="center"/>
              <w:rPr>
                <w:rFonts w:ascii="Calibri" w:eastAsia="Times New Roman" w:hAnsi="Calibri" w:cs="Arial"/>
                <w:b/>
                <w:color w:val="013161"/>
                <w:sz w:val="20"/>
              </w:rPr>
            </w:pPr>
            <w:r w:rsidRPr="004760E1">
              <w:rPr>
                <w:rFonts w:ascii="Calibri" w:eastAsia="Times New Roman" w:hAnsi="Calibri" w:cs="Arial"/>
                <w:b/>
                <w:color w:val="013161"/>
                <w:sz w:val="20"/>
              </w:rPr>
              <w:t>3</w:t>
            </w:r>
          </w:p>
        </w:tc>
      </w:tr>
      <w:tr w:rsidR="00D86A11" w:rsidRPr="00C724EC">
        <w:trPr>
          <w:trHeight w:val="293"/>
        </w:trPr>
        <w:tc>
          <w:tcPr>
            <w:tcW w:w="3175" w:type="dxa"/>
            <w:shd w:val="clear" w:color="auto" w:fill="DBE5F1"/>
          </w:tcPr>
          <w:p w:rsidR="00D86A11" w:rsidRPr="004760E1" w:rsidRDefault="00D86A11" w:rsidP="00D86A11">
            <w:pPr>
              <w:spacing w:after="0" w:line="240" w:lineRule="auto"/>
              <w:rPr>
                <w:rFonts w:ascii="Calibri" w:eastAsia="Times New Roman" w:hAnsi="Calibri" w:cs="Arial"/>
                <w:b/>
                <w:color w:val="013161"/>
                <w:sz w:val="20"/>
              </w:rPr>
            </w:pPr>
            <w:r w:rsidRPr="004760E1">
              <w:rPr>
                <w:rFonts w:ascii="Calibri" w:eastAsia="Times New Roman" w:hAnsi="Calibri" w:cs="Arial"/>
                <w:b/>
                <w:color w:val="013161"/>
                <w:sz w:val="20"/>
              </w:rPr>
              <w:t>Missing</w:t>
            </w:r>
          </w:p>
        </w:tc>
        <w:tc>
          <w:tcPr>
            <w:tcW w:w="2570" w:type="dxa"/>
            <w:shd w:val="clear" w:color="auto" w:fill="DBE5F1"/>
          </w:tcPr>
          <w:p w:rsidR="00D86A11" w:rsidRPr="004760E1" w:rsidRDefault="00D86A11" w:rsidP="00D86A11">
            <w:pPr>
              <w:spacing w:after="0" w:line="240" w:lineRule="auto"/>
              <w:jc w:val="center"/>
              <w:rPr>
                <w:rFonts w:ascii="Calibri" w:eastAsia="Times New Roman" w:hAnsi="Calibri" w:cs="Arial"/>
                <w:b/>
                <w:color w:val="013161"/>
                <w:sz w:val="20"/>
              </w:rPr>
            </w:pPr>
            <w:r w:rsidRPr="004760E1">
              <w:rPr>
                <w:rFonts w:ascii="Calibri" w:eastAsia="Times New Roman" w:hAnsi="Calibri" w:cs="Arial"/>
                <w:b/>
                <w:color w:val="013161"/>
                <w:sz w:val="20"/>
              </w:rPr>
              <w:t>1</w:t>
            </w:r>
          </w:p>
        </w:tc>
        <w:tc>
          <w:tcPr>
            <w:tcW w:w="3183" w:type="dxa"/>
            <w:shd w:val="clear" w:color="auto" w:fill="DBE5F1"/>
          </w:tcPr>
          <w:p w:rsidR="00D86A11" w:rsidRPr="004760E1" w:rsidRDefault="00D86A11" w:rsidP="00D86A11">
            <w:pPr>
              <w:spacing w:after="0" w:line="240" w:lineRule="auto"/>
              <w:jc w:val="center"/>
              <w:rPr>
                <w:rFonts w:ascii="Calibri" w:eastAsia="Times New Roman" w:hAnsi="Calibri" w:cs="Arial"/>
                <w:b/>
                <w:color w:val="013161"/>
                <w:sz w:val="20"/>
              </w:rPr>
            </w:pPr>
            <w:r w:rsidRPr="004760E1">
              <w:rPr>
                <w:rFonts w:ascii="Calibri" w:eastAsia="Times New Roman" w:hAnsi="Calibri" w:cs="Arial"/>
                <w:b/>
                <w:color w:val="013161"/>
                <w:sz w:val="20"/>
              </w:rPr>
              <w:t>5</w:t>
            </w:r>
          </w:p>
        </w:tc>
      </w:tr>
      <w:tr w:rsidR="00D86A11" w:rsidRPr="00C724EC">
        <w:trPr>
          <w:trHeight w:val="293"/>
        </w:trPr>
        <w:tc>
          <w:tcPr>
            <w:tcW w:w="3175" w:type="dxa"/>
            <w:shd w:val="clear" w:color="auto" w:fill="auto"/>
          </w:tcPr>
          <w:p w:rsidR="00D86A11" w:rsidRPr="004760E1" w:rsidRDefault="00D86A11" w:rsidP="00D86A11">
            <w:pPr>
              <w:spacing w:after="0" w:line="240" w:lineRule="auto"/>
              <w:rPr>
                <w:rFonts w:ascii="Calibri" w:eastAsia="Times New Roman" w:hAnsi="Calibri" w:cs="Arial"/>
                <w:b/>
                <w:color w:val="013161"/>
                <w:sz w:val="20"/>
              </w:rPr>
            </w:pPr>
            <w:r w:rsidRPr="004760E1">
              <w:rPr>
                <w:rFonts w:ascii="Calibri" w:eastAsia="Times New Roman" w:hAnsi="Calibri" w:cs="Arial"/>
                <w:b/>
                <w:color w:val="013161"/>
                <w:sz w:val="20"/>
              </w:rPr>
              <w:t>Total</w:t>
            </w:r>
          </w:p>
        </w:tc>
        <w:tc>
          <w:tcPr>
            <w:tcW w:w="2570" w:type="dxa"/>
            <w:shd w:val="clear" w:color="auto" w:fill="auto"/>
          </w:tcPr>
          <w:p w:rsidR="00D86A11" w:rsidRPr="004760E1" w:rsidRDefault="00D86A11" w:rsidP="00D86A11">
            <w:pPr>
              <w:spacing w:after="0" w:line="240" w:lineRule="auto"/>
              <w:jc w:val="center"/>
              <w:rPr>
                <w:rFonts w:ascii="Calibri" w:eastAsia="Times New Roman" w:hAnsi="Calibri" w:cs="Arial"/>
                <w:b/>
                <w:color w:val="013161"/>
                <w:sz w:val="20"/>
              </w:rPr>
            </w:pPr>
            <w:r w:rsidRPr="004760E1">
              <w:rPr>
                <w:rFonts w:ascii="Calibri" w:eastAsia="Times New Roman" w:hAnsi="Calibri" w:cs="Arial"/>
                <w:b/>
                <w:color w:val="013161"/>
                <w:sz w:val="20"/>
              </w:rPr>
              <w:t>248</w:t>
            </w:r>
          </w:p>
        </w:tc>
        <w:tc>
          <w:tcPr>
            <w:tcW w:w="3183" w:type="dxa"/>
            <w:shd w:val="clear" w:color="auto" w:fill="auto"/>
          </w:tcPr>
          <w:p w:rsidR="00D86A11" w:rsidRPr="004760E1" w:rsidRDefault="00D86A11" w:rsidP="00D86A11">
            <w:pPr>
              <w:spacing w:after="0" w:line="240" w:lineRule="auto"/>
              <w:jc w:val="center"/>
              <w:rPr>
                <w:rFonts w:ascii="Calibri" w:eastAsia="Times New Roman" w:hAnsi="Calibri" w:cs="Arial"/>
                <w:b/>
                <w:color w:val="013161"/>
                <w:sz w:val="20"/>
              </w:rPr>
            </w:pPr>
            <w:r w:rsidRPr="004760E1">
              <w:rPr>
                <w:rFonts w:ascii="Calibri" w:eastAsia="Times New Roman" w:hAnsi="Calibri" w:cs="Arial"/>
                <w:b/>
                <w:color w:val="013161"/>
                <w:sz w:val="20"/>
              </w:rPr>
              <w:t>224</w:t>
            </w:r>
          </w:p>
        </w:tc>
      </w:tr>
    </w:tbl>
    <w:p w:rsidR="00D86A11" w:rsidRPr="00623E1D" w:rsidRDefault="00763E81" w:rsidP="00D86A11">
      <w:pPr>
        <w:spacing w:after="0"/>
        <w:rPr>
          <w:sz w:val="24"/>
          <w:szCs w:val="24"/>
        </w:rPr>
      </w:pPr>
      <w:r>
        <w:rPr>
          <w:noProof/>
          <w:sz w:val="24"/>
          <w:szCs w:val="24"/>
        </w:rPr>
        <mc:AlternateContent>
          <mc:Choice Requires="wps">
            <w:drawing>
              <wp:anchor distT="91440" distB="91440" distL="182880" distR="182880" simplePos="0" relativeHeight="251651072" behindDoc="1" locked="0" layoutInCell="0" allowOverlap="1">
                <wp:simplePos x="0" y="0"/>
                <wp:positionH relativeFrom="margin">
                  <wp:posOffset>53975</wp:posOffset>
                </wp:positionH>
                <wp:positionV relativeFrom="margin">
                  <wp:posOffset>2664460</wp:posOffset>
                </wp:positionV>
                <wp:extent cx="5181600" cy="1533525"/>
                <wp:effectExtent l="0" t="0" r="0" b="0"/>
                <wp:wrapSquare wrapText="bothSides"/>
                <wp:docPr id="2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1533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103E6" w:rsidRPr="00857677" w:rsidRDefault="009103E6" w:rsidP="00D86A11">
                            <w:pPr>
                              <w:pBdr>
                                <w:top w:val="single" w:sz="4" w:space="1" w:color="A7BFDE"/>
                                <w:bottom w:val="single" w:sz="4" w:space="10" w:color="A7BFDE"/>
                              </w:pBdr>
                              <w:spacing w:after="0"/>
                              <w:jc w:val="center"/>
                              <w:rPr>
                                <w:b/>
                                <w:i/>
                                <w:iCs/>
                                <w:color w:val="2E7029"/>
                                <w:sz w:val="16"/>
                                <w:szCs w:val="28"/>
                              </w:rPr>
                            </w:pPr>
                          </w:p>
                          <w:p w:rsidR="009103E6" w:rsidRDefault="009103E6" w:rsidP="00D86A11">
                            <w:pPr>
                              <w:pBdr>
                                <w:top w:val="single" w:sz="4" w:space="1" w:color="A7BFDE"/>
                                <w:bottom w:val="single" w:sz="4" w:space="10" w:color="A7BFDE"/>
                              </w:pBdr>
                              <w:spacing w:after="0"/>
                              <w:jc w:val="center"/>
                              <w:rPr>
                                <w:b/>
                                <w:i/>
                                <w:iCs/>
                                <w:color w:val="2E7029"/>
                                <w:sz w:val="28"/>
                                <w:szCs w:val="28"/>
                              </w:rPr>
                            </w:pPr>
                            <w:r>
                              <w:rPr>
                                <w:b/>
                                <w:i/>
                                <w:iCs/>
                                <w:color w:val="2E7029"/>
                                <w:sz w:val="28"/>
                                <w:szCs w:val="28"/>
                              </w:rPr>
                              <w:t>“There are no</w:t>
                            </w:r>
                            <w:r w:rsidRPr="00F17BF6">
                              <w:rPr>
                                <w:b/>
                                <w:i/>
                                <w:iCs/>
                                <w:color w:val="2E7029"/>
                                <w:sz w:val="28"/>
                                <w:szCs w:val="28"/>
                              </w:rPr>
                              <w:t xml:space="preserve"> foster </w:t>
                            </w:r>
                            <w:r>
                              <w:rPr>
                                <w:b/>
                                <w:i/>
                                <w:iCs/>
                                <w:color w:val="2E7029"/>
                                <w:sz w:val="28"/>
                                <w:szCs w:val="28"/>
                              </w:rPr>
                              <w:t xml:space="preserve">homes for probation youth. They need more robust </w:t>
                            </w:r>
                            <w:r w:rsidRPr="00F17BF6">
                              <w:rPr>
                                <w:b/>
                                <w:i/>
                                <w:iCs/>
                                <w:color w:val="2E7029"/>
                                <w:sz w:val="28"/>
                                <w:szCs w:val="28"/>
                              </w:rPr>
                              <w:t>family finding</w:t>
                            </w:r>
                            <w:r>
                              <w:rPr>
                                <w:b/>
                                <w:i/>
                                <w:iCs/>
                                <w:color w:val="2E7029"/>
                                <w:sz w:val="28"/>
                                <w:szCs w:val="28"/>
                              </w:rPr>
                              <w:t xml:space="preserve">. There also needs to be a change in culture </w:t>
                            </w:r>
                            <w:r w:rsidRPr="00F17BF6">
                              <w:rPr>
                                <w:b/>
                                <w:i/>
                                <w:iCs/>
                                <w:color w:val="2E7029"/>
                                <w:sz w:val="28"/>
                                <w:szCs w:val="28"/>
                              </w:rPr>
                              <w:t xml:space="preserve">in terms of probation </w:t>
                            </w:r>
                            <w:r>
                              <w:rPr>
                                <w:b/>
                                <w:i/>
                                <w:iCs/>
                                <w:color w:val="2E7029"/>
                                <w:sz w:val="28"/>
                                <w:szCs w:val="28"/>
                              </w:rPr>
                              <w:t xml:space="preserve">to have it </w:t>
                            </w:r>
                            <w:r w:rsidRPr="00F17BF6">
                              <w:rPr>
                                <w:b/>
                                <w:i/>
                                <w:iCs/>
                                <w:color w:val="2E7029"/>
                                <w:sz w:val="28"/>
                                <w:szCs w:val="28"/>
                              </w:rPr>
                              <w:t>mirror more of CWS in pr</w:t>
                            </w:r>
                            <w:r>
                              <w:rPr>
                                <w:b/>
                                <w:i/>
                                <w:iCs/>
                                <w:color w:val="2E7029"/>
                                <w:sz w:val="28"/>
                                <w:szCs w:val="28"/>
                              </w:rPr>
                              <w:t>oviding services for reunification”</w:t>
                            </w:r>
                          </w:p>
                          <w:p w:rsidR="009103E6" w:rsidRPr="00E22A7C" w:rsidRDefault="009103E6" w:rsidP="00D86A11">
                            <w:pPr>
                              <w:pBdr>
                                <w:top w:val="single" w:sz="4" w:space="1" w:color="A7BFDE"/>
                                <w:bottom w:val="single" w:sz="4" w:space="10" w:color="A7BFDE"/>
                              </w:pBdr>
                              <w:spacing w:after="0"/>
                              <w:jc w:val="center"/>
                              <w:rPr>
                                <w:b/>
                                <w:i/>
                                <w:iCs/>
                                <w:color w:val="2E7029"/>
                                <w:sz w:val="28"/>
                                <w:szCs w:val="28"/>
                              </w:rPr>
                            </w:pPr>
                            <w:r w:rsidRPr="004D2A28">
                              <w:rPr>
                                <w:b/>
                                <w:i/>
                                <w:iCs/>
                                <w:color w:val="F6872B"/>
                                <w:sz w:val="28"/>
                                <w:szCs w:val="28"/>
                              </w:rPr>
                              <w:t xml:space="preserve">- </w:t>
                            </w:r>
                            <w:r>
                              <w:rPr>
                                <w:b/>
                                <w:i/>
                                <w:iCs/>
                                <w:color w:val="F6872B"/>
                                <w:sz w:val="28"/>
                                <w:szCs w:val="28"/>
                              </w:rPr>
                              <w:t>Focus group participant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7" o:spid="_x0000_s1063" style="position:absolute;margin-left:4.25pt;margin-top:209.8pt;width:408pt;height:120.75pt;z-index:-251665408;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" o:allowincell="f" filled="f" stroked="f" strokecolor="#90b5e3" strokeweight="6pt">
                <v:textbox inset="0,0,0,0">
                  <w:txbxContent>
                    <w:p w:rsidR="009103E6" w:rsidRPr="00857677" w:rsidRDefault="009103E6" w:rsidP="00D86A11">
                      <w:pPr>
                        <w:pBdr>
                          <w:top w:val="single" w:sz="4" w:space="1" w:color="A7BFDE"/>
                          <w:bottom w:val="single" w:sz="4" w:space="10" w:color="A7BFDE"/>
                        </w:pBdr>
                        <w:spacing w:after="0"/>
                        <w:jc w:val="center"/>
                        <w:rPr>
                          <w:b/>
                          <w:i/>
                          <w:iCs/>
                          <w:color w:val="2E7029"/>
                          <w:sz w:val="16"/>
                          <w:szCs w:val="28"/>
                        </w:rPr>
                      </w:pPr>
                    </w:p>
                    <w:p w:rsidR="009103E6" w:rsidRDefault="009103E6" w:rsidP="00D86A11">
                      <w:pPr>
                        <w:pBdr>
                          <w:top w:val="single" w:sz="4" w:space="1" w:color="A7BFDE"/>
                          <w:bottom w:val="single" w:sz="4" w:space="10" w:color="A7BFDE"/>
                        </w:pBdr>
                        <w:spacing w:after="0"/>
                        <w:jc w:val="center"/>
                        <w:rPr>
                          <w:b/>
                          <w:i/>
                          <w:iCs/>
                          <w:color w:val="2E7029"/>
                          <w:sz w:val="28"/>
                          <w:szCs w:val="28"/>
                        </w:rPr>
                      </w:pPr>
                      <w:r>
                        <w:rPr>
                          <w:b/>
                          <w:i/>
                          <w:iCs/>
                          <w:color w:val="2E7029"/>
                          <w:sz w:val="28"/>
                          <w:szCs w:val="28"/>
                        </w:rPr>
                        <w:t>“There are no</w:t>
                      </w:r>
                      <w:r w:rsidRPr="00F17BF6">
                        <w:rPr>
                          <w:b/>
                          <w:i/>
                          <w:iCs/>
                          <w:color w:val="2E7029"/>
                          <w:sz w:val="28"/>
                          <w:szCs w:val="28"/>
                        </w:rPr>
                        <w:t xml:space="preserve"> foster </w:t>
                      </w:r>
                      <w:r>
                        <w:rPr>
                          <w:b/>
                          <w:i/>
                          <w:iCs/>
                          <w:color w:val="2E7029"/>
                          <w:sz w:val="28"/>
                          <w:szCs w:val="28"/>
                        </w:rPr>
                        <w:t xml:space="preserve">homes for probation youth. They need more robust </w:t>
                      </w:r>
                      <w:r w:rsidRPr="00F17BF6">
                        <w:rPr>
                          <w:b/>
                          <w:i/>
                          <w:iCs/>
                          <w:color w:val="2E7029"/>
                          <w:sz w:val="28"/>
                          <w:szCs w:val="28"/>
                        </w:rPr>
                        <w:t>family finding</w:t>
                      </w:r>
                      <w:r>
                        <w:rPr>
                          <w:b/>
                          <w:i/>
                          <w:iCs/>
                          <w:color w:val="2E7029"/>
                          <w:sz w:val="28"/>
                          <w:szCs w:val="28"/>
                        </w:rPr>
                        <w:t xml:space="preserve">. There also needs to be a change in culture </w:t>
                      </w:r>
                      <w:r w:rsidRPr="00F17BF6">
                        <w:rPr>
                          <w:b/>
                          <w:i/>
                          <w:iCs/>
                          <w:color w:val="2E7029"/>
                          <w:sz w:val="28"/>
                          <w:szCs w:val="28"/>
                        </w:rPr>
                        <w:t xml:space="preserve">in terms of probation </w:t>
                      </w:r>
                      <w:r>
                        <w:rPr>
                          <w:b/>
                          <w:i/>
                          <w:iCs/>
                          <w:color w:val="2E7029"/>
                          <w:sz w:val="28"/>
                          <w:szCs w:val="28"/>
                        </w:rPr>
                        <w:t xml:space="preserve">to have it </w:t>
                      </w:r>
                      <w:r w:rsidRPr="00F17BF6">
                        <w:rPr>
                          <w:b/>
                          <w:i/>
                          <w:iCs/>
                          <w:color w:val="2E7029"/>
                          <w:sz w:val="28"/>
                          <w:szCs w:val="28"/>
                        </w:rPr>
                        <w:t>mirror more of CWS in pr</w:t>
                      </w:r>
                      <w:r>
                        <w:rPr>
                          <w:b/>
                          <w:i/>
                          <w:iCs/>
                          <w:color w:val="2E7029"/>
                          <w:sz w:val="28"/>
                          <w:szCs w:val="28"/>
                        </w:rPr>
                        <w:t>oviding services for reunification”</w:t>
                      </w:r>
                    </w:p>
                    <w:p w:rsidR="009103E6" w:rsidRPr="00E22A7C" w:rsidRDefault="009103E6" w:rsidP="00D86A11">
                      <w:pPr>
                        <w:pBdr>
                          <w:top w:val="single" w:sz="4" w:space="1" w:color="A7BFDE"/>
                          <w:bottom w:val="single" w:sz="4" w:space="10" w:color="A7BFDE"/>
                        </w:pBdr>
                        <w:spacing w:after="0"/>
                        <w:jc w:val="center"/>
                        <w:rPr>
                          <w:b/>
                          <w:i/>
                          <w:iCs/>
                          <w:color w:val="2E7029"/>
                          <w:sz w:val="28"/>
                          <w:szCs w:val="28"/>
                        </w:rPr>
                      </w:pPr>
                      <w:r w:rsidRPr="004D2A28">
                        <w:rPr>
                          <w:b/>
                          <w:i/>
                          <w:iCs/>
                          <w:color w:val="F6872B"/>
                          <w:sz w:val="28"/>
                          <w:szCs w:val="28"/>
                        </w:rPr>
                        <w:t xml:space="preserve">- </w:t>
                      </w:r>
                      <w:r>
                        <w:rPr>
                          <w:b/>
                          <w:i/>
                          <w:iCs/>
                          <w:color w:val="F6872B"/>
                          <w:sz w:val="28"/>
                          <w:szCs w:val="28"/>
                        </w:rPr>
                        <w:t>Focus group participant</w:t>
                      </w:r>
                    </w:p>
                  </w:txbxContent>
                </v:textbox>
                <w10:wrap type="square" anchorx="margin" anchory="margin"/>
              </v:rect>
            </w:pict>
          </mc:Fallback>
        </mc:AlternateContent>
      </w:r>
      <w:r w:rsidR="00D86A11">
        <w:rPr>
          <w:sz w:val="24"/>
          <w:szCs w:val="24"/>
        </w:rPr>
        <w:br w:type="page"/>
      </w:r>
    </w:p>
    <w:tbl>
      <w:tblPr>
        <w:tblW w:w="9529" w:type="dxa"/>
        <w:jc w:val="center"/>
        <w:tblCellMar>
          <w:top w:w="144" w:type="dxa"/>
          <w:left w:w="0" w:type="dxa"/>
          <w:bottom w:w="144" w:type="dxa"/>
          <w:right w:w="0" w:type="dxa"/>
        </w:tblCellMar>
        <w:tblLook w:val="04A0" w:firstRow="1" w:lastRow="0" w:firstColumn="1" w:lastColumn="0" w:noHBand="0" w:noVBand="1"/>
      </w:tblPr>
      <w:tblGrid>
        <w:gridCol w:w="9529"/>
      </w:tblGrid>
      <w:tr w:rsidR="00D86A11" w:rsidRPr="00002D1D">
        <w:trPr>
          <w:trHeight w:val="7"/>
          <w:jc w:val="center"/>
        </w:trPr>
        <w:tc>
          <w:tcPr>
            <w:tcW w:w="0" w:type="auto"/>
            <w:shd w:val="clear" w:color="auto" w:fill="F6872B"/>
            <w:tcMar>
              <w:top w:w="0" w:type="dxa"/>
              <w:bottom w:w="0" w:type="dxa"/>
            </w:tcMar>
            <w:vAlign w:val="center"/>
          </w:tcPr>
          <w:p w:rsidR="007D4F45" w:rsidRDefault="007D4F45">
            <w:pPr>
              <w:pStyle w:val="MediumGrid21"/>
              <w:rPr>
                <w:sz w:val="8"/>
                <w:szCs w:val="8"/>
              </w:rPr>
            </w:pPr>
          </w:p>
        </w:tc>
      </w:tr>
      <w:tr w:rsidR="00D86A11" w:rsidRPr="00002D1D">
        <w:trPr>
          <w:trHeight w:val="70"/>
          <w:jc w:val="center"/>
        </w:trPr>
        <w:tc>
          <w:tcPr>
            <w:tcW w:w="0" w:type="auto"/>
            <w:shd w:val="clear" w:color="auto" w:fill="013161"/>
            <w:vAlign w:val="center"/>
          </w:tcPr>
          <w:p w:rsidR="007D4F45" w:rsidRDefault="00D86A11">
            <w:pPr>
              <w:pStyle w:val="MediumGrid21"/>
              <w:numPr>
                <w:ilvl w:val="0"/>
                <w:numId w:val="17"/>
              </w:numPr>
              <w:jc w:val="center"/>
              <w:rPr>
                <w:rFonts w:ascii="Franklin Gothic Book" w:eastAsia="HGGothicM" w:hAnsi="Franklin Gothic Book" w:cs="Tahoma"/>
                <w:color w:val="FFFFFF"/>
                <w:sz w:val="48"/>
                <w:szCs w:val="72"/>
              </w:rPr>
            </w:pPr>
            <w:r>
              <w:rPr>
                <w:rFonts w:eastAsia="HGGothicM" w:cs="Calibri"/>
                <w:color w:val="FFFFFF"/>
                <w:sz w:val="44"/>
                <w:szCs w:val="64"/>
              </w:rPr>
              <w:t>Public Agency Characteristics</w:t>
            </w:r>
          </w:p>
        </w:tc>
      </w:tr>
      <w:tr w:rsidR="00D86A11" w:rsidRPr="00002D1D">
        <w:trPr>
          <w:trHeight w:val="7"/>
          <w:jc w:val="center"/>
        </w:trPr>
        <w:tc>
          <w:tcPr>
            <w:tcW w:w="0" w:type="auto"/>
            <w:shd w:val="clear" w:color="auto" w:fill="F6872B"/>
            <w:tcMar>
              <w:top w:w="0" w:type="dxa"/>
              <w:bottom w:w="0" w:type="dxa"/>
            </w:tcMar>
            <w:vAlign w:val="center"/>
          </w:tcPr>
          <w:p w:rsidR="007D4F45" w:rsidRDefault="007D4F45">
            <w:pPr>
              <w:pStyle w:val="MediumGrid21"/>
              <w:rPr>
                <w:sz w:val="8"/>
                <w:szCs w:val="8"/>
              </w:rPr>
            </w:pPr>
          </w:p>
        </w:tc>
      </w:tr>
    </w:tbl>
    <w:p w:rsidR="00D86A11" w:rsidRPr="002A06CE" w:rsidRDefault="00D86A11" w:rsidP="00D86A11">
      <w:pPr>
        <w:pStyle w:val="Heading1"/>
        <w:rPr>
          <w:color w:val="013161"/>
        </w:rPr>
      </w:pPr>
      <w:r>
        <w:rPr>
          <w:color w:val="013161"/>
        </w:rPr>
        <w:t xml:space="preserve">5a. </w:t>
      </w:r>
      <w:r w:rsidRPr="00063B02">
        <w:rPr>
          <w:color w:val="013161"/>
        </w:rPr>
        <w:t xml:space="preserve">Political Jurisdictions </w:t>
      </w:r>
    </w:p>
    <w:p w:rsidR="009B2DA6" w:rsidRPr="006C7055" w:rsidRDefault="00D86A11" w:rsidP="009B2DA6">
      <w:pPr>
        <w:rPr>
          <w:rFonts w:ascii="Times New Roman" w:hAnsi="Times New Roman"/>
          <w:color w:val="333333"/>
          <w:spacing w:val="20"/>
          <w:sz w:val="24"/>
          <w:szCs w:val="24"/>
        </w:rPr>
      </w:pPr>
      <w:r w:rsidRPr="00063B02">
        <w:rPr>
          <w:rFonts w:ascii="Franklin Gothic Book" w:hAnsi="Franklin Gothic Book"/>
          <w:color w:val="auto"/>
          <w:spacing w:val="20"/>
          <w:szCs w:val="28"/>
        </w:rPr>
        <w:t xml:space="preserve">The County of San Diego </w:t>
      </w:r>
      <w:r w:rsidRPr="00665666">
        <w:rPr>
          <w:rFonts w:ascii="Franklin Gothic Book" w:hAnsi="Franklin Gothic Book"/>
          <w:color w:val="auto"/>
          <w:spacing w:val="20"/>
          <w:szCs w:val="28"/>
        </w:rPr>
        <w:t>is governed by the County Board of Supervisors and a Chief Administrative Officer (</w:t>
      </w:r>
      <w:r>
        <w:rPr>
          <w:rFonts w:ascii="Franklin Gothic Book" w:hAnsi="Franklin Gothic Book"/>
          <w:color w:val="auto"/>
          <w:spacing w:val="20"/>
          <w:szCs w:val="28"/>
        </w:rPr>
        <w:t>s</w:t>
      </w:r>
      <w:r w:rsidRPr="00665666">
        <w:rPr>
          <w:rFonts w:ascii="Franklin Gothic Book" w:hAnsi="Franklin Gothic Book"/>
          <w:color w:val="auto"/>
          <w:spacing w:val="20"/>
          <w:szCs w:val="28"/>
        </w:rPr>
        <w:t>ee Appendix</w:t>
      </w:r>
      <w:r>
        <w:rPr>
          <w:rFonts w:ascii="Franklin Gothic Book" w:hAnsi="Franklin Gothic Book"/>
          <w:color w:val="auto"/>
          <w:spacing w:val="20"/>
          <w:szCs w:val="28"/>
        </w:rPr>
        <w:t xml:space="preserve"> </w:t>
      </w:r>
      <w:r w:rsidRPr="00665666">
        <w:rPr>
          <w:rFonts w:ascii="Franklin Gothic Book" w:hAnsi="Franklin Gothic Book"/>
          <w:color w:val="auto"/>
          <w:spacing w:val="20"/>
          <w:szCs w:val="28"/>
        </w:rPr>
        <w:t>A).</w:t>
      </w:r>
      <w:r>
        <w:rPr>
          <w:rFonts w:ascii="Franklin Gothic Book" w:hAnsi="Franklin Gothic Book"/>
          <w:color w:val="auto"/>
          <w:spacing w:val="20"/>
          <w:szCs w:val="28"/>
        </w:rPr>
        <w:t xml:space="preserve"> </w:t>
      </w:r>
      <w:r w:rsidRPr="00063B02">
        <w:rPr>
          <w:rFonts w:ascii="Franklin Gothic Book" w:hAnsi="Franklin Gothic Book"/>
          <w:color w:val="auto"/>
          <w:spacing w:val="20"/>
          <w:szCs w:val="28"/>
        </w:rPr>
        <w:t>Each Supervisor is responsible for their assigned regional designated area</w:t>
      </w:r>
      <w:r>
        <w:rPr>
          <w:rFonts w:ascii="Franklin Gothic Book" w:hAnsi="Franklin Gothic Book"/>
          <w:color w:val="auto"/>
          <w:spacing w:val="20"/>
          <w:szCs w:val="28"/>
        </w:rPr>
        <w:t xml:space="preserve">. </w:t>
      </w:r>
      <w:r w:rsidRPr="00063B02">
        <w:rPr>
          <w:rFonts w:ascii="Franklin Gothic Book" w:hAnsi="Franklin Gothic Book"/>
          <w:color w:val="auto"/>
          <w:spacing w:val="20"/>
          <w:szCs w:val="28"/>
        </w:rPr>
        <w:t>The County works with a large number of city jurisdictions and tribal governments</w:t>
      </w:r>
      <w:r>
        <w:rPr>
          <w:rFonts w:ascii="Franklin Gothic Book" w:hAnsi="Franklin Gothic Book"/>
          <w:color w:val="auto"/>
          <w:spacing w:val="20"/>
          <w:szCs w:val="28"/>
        </w:rPr>
        <w:t xml:space="preserve">. </w:t>
      </w:r>
      <w:r w:rsidRPr="00063B02">
        <w:rPr>
          <w:rFonts w:ascii="Franklin Gothic Book" w:hAnsi="Franklin Gothic Book"/>
          <w:color w:val="auto"/>
          <w:spacing w:val="20"/>
          <w:szCs w:val="28"/>
        </w:rPr>
        <w:t>Eighteen federally recognized Native American tribes work collaboratively with County departments to address jurisdictional issues</w:t>
      </w:r>
      <w:r>
        <w:rPr>
          <w:rFonts w:ascii="Franklin Gothic Book" w:hAnsi="Franklin Gothic Book"/>
          <w:color w:val="auto"/>
          <w:spacing w:val="20"/>
          <w:szCs w:val="28"/>
        </w:rPr>
        <w:t xml:space="preserve"> (s</w:t>
      </w:r>
      <w:r w:rsidRPr="002F16AE">
        <w:rPr>
          <w:rFonts w:ascii="Franklin Gothic Book" w:hAnsi="Franklin Gothic Book"/>
          <w:color w:val="auto"/>
          <w:spacing w:val="20"/>
          <w:szCs w:val="28"/>
        </w:rPr>
        <w:t xml:space="preserve">ee Exhibit </w:t>
      </w:r>
      <w:r>
        <w:rPr>
          <w:rFonts w:ascii="Franklin Gothic Book" w:hAnsi="Franklin Gothic Book"/>
          <w:color w:val="auto"/>
          <w:spacing w:val="20"/>
          <w:szCs w:val="28"/>
        </w:rPr>
        <w:t>11</w:t>
      </w:r>
      <w:r w:rsidRPr="002F16AE">
        <w:rPr>
          <w:rFonts w:ascii="Franklin Gothic Book" w:hAnsi="Franklin Gothic Book"/>
          <w:color w:val="auto"/>
          <w:spacing w:val="20"/>
          <w:szCs w:val="28"/>
        </w:rPr>
        <w:t xml:space="preserve"> for a full list of tribes). </w:t>
      </w:r>
      <w:r w:rsidR="009B2DA6" w:rsidRPr="006C7055">
        <w:rPr>
          <w:rFonts w:ascii="Franklin Gothic Book" w:hAnsi="Franklin Gothic Book"/>
          <w:color w:val="auto"/>
          <w:spacing w:val="20"/>
          <w:szCs w:val="28"/>
        </w:rPr>
        <w:t xml:space="preserve">The CWS </w:t>
      </w:r>
      <w:r w:rsidR="009B2DA6" w:rsidRPr="006C7055">
        <w:rPr>
          <w:rFonts w:ascii="Franklin Gothic Book" w:hAnsi="Franklin Gothic Book"/>
          <w:spacing w:val="20"/>
          <w:szCs w:val="22"/>
        </w:rPr>
        <w:t>Indian Specialty Unit (ISU) collaborates closely with Native American tribes in San Diego County as well as out of county and out of state tribes. CWS</w:t>
      </w:r>
      <w:r w:rsidR="009B2DA6" w:rsidRPr="006C7055">
        <w:rPr>
          <w:rFonts w:ascii="Franklin Gothic Book" w:hAnsi="Franklin Gothic Book"/>
          <w:color w:val="333333"/>
          <w:spacing w:val="20"/>
          <w:szCs w:val="22"/>
        </w:rPr>
        <w:t xml:space="preserve"> works closely with tribal designated representatives to develop culturally sensitive services that meet the court requirements and help keep families safe. Social workers collaborate with law enforcement agencies, tribal security and tribal law enforcement, teachers, schools and tribal case managers regularly to assess safety and risk.  Social workers participate in Child Protection Team (CPT) meetings bi-monthly with tribal consortium from Northern (Indian Health Council-Rincon) and Southern (Southern Indian Health, Inc.) regions.   During the meetings, social workers collaborate with tribal representatives and tribal service providers and assess the needs of the family and provide referrals that are culturally sensitive. ISU staff facilitates mandated reporter trainings to tribal community partners and volunteer with tribal representatives with “Club 7”, a youth focused group to help keep Native children in the CWS system connected to their community while in foster care. Social workers also participate in the </w:t>
      </w:r>
      <w:r w:rsidR="009B2DA6" w:rsidRPr="006C7055">
        <w:rPr>
          <w:rFonts w:ascii="Franklin Gothic Book" w:hAnsi="Franklin Gothic Book"/>
          <w:spacing w:val="20"/>
          <w:szCs w:val="22"/>
        </w:rPr>
        <w:t>Tribal Sexual</w:t>
      </w:r>
      <w:r w:rsidR="00DB74B9" w:rsidRPr="006C7055">
        <w:rPr>
          <w:rFonts w:ascii="Franklin Gothic Book" w:hAnsi="Franklin Gothic Book"/>
          <w:spacing w:val="20"/>
          <w:szCs w:val="22"/>
        </w:rPr>
        <w:t xml:space="preserve"> Assault Response (SART) Team; which is a </w:t>
      </w:r>
      <w:r w:rsidR="009B2DA6" w:rsidRPr="006C7055">
        <w:rPr>
          <w:rFonts w:ascii="Franklin Gothic Book" w:hAnsi="Franklin Gothic Book"/>
          <w:spacing w:val="20"/>
          <w:szCs w:val="22"/>
        </w:rPr>
        <w:t>multidisciplinary team consisting of CWS staff, tribal law enforcement, law enforcement, medical staff, district attorneys, tribal service providers and border patrol. During Tribal SART meetings, sexual assaults and domestic violence cases are discussed, as well as best practices and resources in tribal communities.</w:t>
      </w:r>
      <w:r w:rsidR="009B2DA6" w:rsidRPr="006C7055">
        <w:rPr>
          <w:rFonts w:ascii="Franklin Gothic Book" w:hAnsi="Franklin Gothic Book"/>
          <w:color w:val="333333"/>
          <w:spacing w:val="20"/>
          <w:szCs w:val="22"/>
        </w:rPr>
        <w:t xml:space="preserve"> CWS employees attend the California Statewide Indian Child Welfare Conference and the National Indian Child Welfare Association (NICWA) Conference to ensure best practice when working with the Native American community. </w:t>
      </w:r>
      <w:r w:rsidR="009B2DA6" w:rsidRPr="006C7055">
        <w:rPr>
          <w:rFonts w:ascii="Franklin Gothic Book" w:hAnsi="Franklin Gothic Book"/>
          <w:spacing w:val="20"/>
          <w:szCs w:val="22"/>
        </w:rPr>
        <w:t xml:space="preserve">Having shared responsibility for the continuous well-being of children and families by working with tribes, families, and community partners, </w:t>
      </w:r>
      <w:r w:rsidR="00DB74B9" w:rsidRPr="006C7055">
        <w:rPr>
          <w:rFonts w:ascii="Franklin Gothic Book" w:hAnsi="Franklin Gothic Book"/>
          <w:spacing w:val="20"/>
          <w:szCs w:val="22"/>
        </w:rPr>
        <w:t>CWS</w:t>
      </w:r>
      <w:r w:rsidR="009B2DA6" w:rsidRPr="006C7055">
        <w:rPr>
          <w:rFonts w:ascii="Franklin Gothic Book" w:hAnsi="Franklin Gothic Book"/>
          <w:spacing w:val="20"/>
          <w:szCs w:val="22"/>
        </w:rPr>
        <w:t xml:space="preserve"> has impacted the continuum of care for the children in foster care. Continuous collaboration with community partners and legal systems help assure that children remain safe and remain connected with family, siblings, their communities and culture.</w:t>
      </w:r>
    </w:p>
    <w:p w:rsidR="00D86A11" w:rsidRDefault="00D86A11" w:rsidP="00D86A11">
      <w:pPr>
        <w:spacing w:before="120" w:after="0"/>
        <w:ind w:right="130"/>
        <w:rPr>
          <w:rFonts w:ascii="Franklin Gothic Book" w:hAnsi="Franklin Gothic Book"/>
          <w:color w:val="auto"/>
          <w:spacing w:val="20"/>
          <w:szCs w:val="28"/>
        </w:rPr>
      </w:pPr>
      <w:r w:rsidRPr="00063B02">
        <w:rPr>
          <w:rFonts w:ascii="Franklin Gothic Book" w:hAnsi="Franklin Gothic Book"/>
          <w:color w:val="auto"/>
          <w:spacing w:val="20"/>
          <w:szCs w:val="28"/>
        </w:rPr>
        <w:t>There are 19 City jurisdictions within the region: Carlsbad, Chula Vista, Coronado, Del Mar, El Cajon, Encinitas, Escondido, Imperial Beach, La Mesa, Lemon Grove, National City, Oceanside, Poway, San Diego, San Marcos, Santee, Solana Beach, Vista and the Unincorporated Areas</w:t>
      </w:r>
      <w:r>
        <w:rPr>
          <w:rFonts w:ascii="Franklin Gothic Book" w:hAnsi="Franklin Gothic Book"/>
          <w:color w:val="auto"/>
          <w:spacing w:val="20"/>
          <w:szCs w:val="28"/>
        </w:rPr>
        <w:t xml:space="preserve">. </w:t>
      </w:r>
      <w:r w:rsidRPr="00063B02">
        <w:rPr>
          <w:rFonts w:ascii="Franklin Gothic Book" w:hAnsi="Franklin Gothic Book"/>
          <w:color w:val="auto"/>
          <w:spacing w:val="20"/>
          <w:szCs w:val="28"/>
        </w:rPr>
        <w:t>Each of the six HHSA regions</w:t>
      </w:r>
      <w:r>
        <w:rPr>
          <w:rFonts w:ascii="Franklin Gothic Book" w:hAnsi="Franklin Gothic Book"/>
          <w:color w:val="auto"/>
          <w:spacing w:val="20"/>
          <w:szCs w:val="28"/>
        </w:rPr>
        <w:t xml:space="preserve"> (see A</w:t>
      </w:r>
      <w:r w:rsidRPr="007A51F0">
        <w:rPr>
          <w:rFonts w:ascii="Franklin Gothic Book" w:hAnsi="Franklin Gothic Book"/>
          <w:color w:val="auto"/>
          <w:spacing w:val="20"/>
          <w:szCs w:val="28"/>
        </w:rPr>
        <w:t>ppendix</w:t>
      </w:r>
      <w:r>
        <w:rPr>
          <w:rFonts w:ascii="Franklin Gothic Book" w:hAnsi="Franklin Gothic Book"/>
          <w:color w:val="auto"/>
          <w:spacing w:val="20"/>
          <w:szCs w:val="28"/>
        </w:rPr>
        <w:t xml:space="preserve"> B</w:t>
      </w:r>
      <w:r w:rsidRPr="007A51F0">
        <w:rPr>
          <w:rFonts w:ascii="Franklin Gothic Book" w:hAnsi="Franklin Gothic Book"/>
          <w:color w:val="auto"/>
          <w:spacing w:val="20"/>
          <w:szCs w:val="28"/>
        </w:rPr>
        <w:t>)</w:t>
      </w:r>
      <w:r w:rsidRPr="00063B02">
        <w:rPr>
          <w:rFonts w:ascii="Franklin Gothic Book" w:hAnsi="Franklin Gothic Book"/>
          <w:color w:val="auto"/>
          <w:spacing w:val="20"/>
          <w:szCs w:val="28"/>
        </w:rPr>
        <w:t xml:space="preserve"> works with these City jurisdictions to leverage funding and coordinate services for children and families.</w:t>
      </w:r>
    </w:p>
    <w:p w:rsidR="00D86A11" w:rsidRPr="00D61482" w:rsidRDefault="00D86A11" w:rsidP="00D86A11">
      <w:pPr>
        <w:pStyle w:val="NormalWeb"/>
        <w:spacing w:line="276" w:lineRule="auto"/>
        <w:rPr>
          <w:rFonts w:ascii="Franklin Gothic Book" w:eastAsia="Perpetua" w:hAnsi="Franklin Gothic Book"/>
          <w:spacing w:val="20"/>
          <w:sz w:val="22"/>
          <w:szCs w:val="28"/>
        </w:rPr>
      </w:pPr>
      <w:r w:rsidRPr="00D61482">
        <w:rPr>
          <w:rFonts w:ascii="Franklin Gothic Book" w:eastAsia="Perpetua" w:hAnsi="Franklin Gothic Book"/>
          <w:spacing w:val="20"/>
          <w:sz w:val="22"/>
          <w:szCs w:val="28"/>
        </w:rPr>
        <w:lastRenderedPageBreak/>
        <w:t xml:space="preserve">There are 24 Elementary School Districts, six High School Districts and 12 Unified School Districts in </w:t>
      </w:r>
      <w:r>
        <w:rPr>
          <w:rFonts w:ascii="Franklin Gothic Book" w:eastAsia="Perpetua" w:hAnsi="Franklin Gothic Book"/>
          <w:spacing w:val="20"/>
          <w:sz w:val="22"/>
          <w:szCs w:val="28"/>
        </w:rPr>
        <w:t xml:space="preserve">the County of </w:t>
      </w:r>
      <w:r w:rsidRPr="00D61482">
        <w:rPr>
          <w:rFonts w:ascii="Franklin Gothic Book" w:eastAsia="Perpetua" w:hAnsi="Franklin Gothic Book"/>
          <w:spacing w:val="20"/>
          <w:sz w:val="22"/>
          <w:szCs w:val="28"/>
        </w:rPr>
        <w:t xml:space="preserve">San Diego. The </w:t>
      </w:r>
      <w:r>
        <w:rPr>
          <w:rFonts w:ascii="Franklin Gothic Book" w:eastAsia="Perpetua" w:hAnsi="Franklin Gothic Book"/>
          <w:spacing w:val="20"/>
          <w:sz w:val="22"/>
          <w:szCs w:val="28"/>
        </w:rPr>
        <w:t xml:space="preserve">County of </w:t>
      </w:r>
      <w:r w:rsidRPr="00D61482">
        <w:rPr>
          <w:rFonts w:ascii="Franklin Gothic Book" w:eastAsia="Perpetua" w:hAnsi="Franklin Gothic Book"/>
          <w:spacing w:val="20"/>
          <w:sz w:val="22"/>
          <w:szCs w:val="28"/>
        </w:rPr>
        <w:t xml:space="preserve">San Diego Superintendent of Schools supports and partners with all of the school districts within the County. One way this is accomplished is through Foster Youth </w:t>
      </w:r>
      <w:r w:rsidR="00DB74B9" w:rsidRPr="00D61482">
        <w:rPr>
          <w:rFonts w:ascii="Franklin Gothic Book" w:eastAsia="Perpetua" w:hAnsi="Franklin Gothic Book"/>
          <w:spacing w:val="20"/>
          <w:sz w:val="22"/>
          <w:szCs w:val="28"/>
        </w:rPr>
        <w:t xml:space="preserve">Services </w:t>
      </w:r>
      <w:r w:rsidR="00DB74B9">
        <w:rPr>
          <w:rFonts w:ascii="Franklin Gothic Book" w:eastAsia="Perpetua" w:hAnsi="Franklin Gothic Book"/>
          <w:spacing w:val="20"/>
          <w:sz w:val="22"/>
          <w:szCs w:val="28"/>
        </w:rPr>
        <w:t>(</w:t>
      </w:r>
      <w:r w:rsidRPr="00D61482">
        <w:rPr>
          <w:rFonts w:ascii="Franklin Gothic Book" w:eastAsia="Perpetua" w:hAnsi="Franklin Gothic Book"/>
          <w:spacing w:val="20"/>
          <w:sz w:val="22"/>
          <w:szCs w:val="28"/>
        </w:rPr>
        <w:t xml:space="preserve">FYS). FYS is funded by a grant from the California Department of Education. FYS represents a partnership among </w:t>
      </w:r>
      <w:r>
        <w:rPr>
          <w:rFonts w:ascii="Franklin Gothic Book" w:eastAsia="Perpetua" w:hAnsi="Franklin Gothic Book"/>
          <w:spacing w:val="20"/>
          <w:sz w:val="22"/>
          <w:szCs w:val="28"/>
        </w:rPr>
        <w:t>the County of San Diego</w:t>
      </w:r>
      <w:r w:rsidRPr="00D61482">
        <w:rPr>
          <w:rFonts w:ascii="Franklin Gothic Book" w:eastAsia="Perpetua" w:hAnsi="Franklin Gothic Book"/>
          <w:spacing w:val="20"/>
          <w:sz w:val="22"/>
          <w:szCs w:val="28"/>
        </w:rPr>
        <w:t xml:space="preserve">'s key stakeholders focused on improving the educational outcomes of wards and dependents, ages 4 to 21, residing in licensed children's institutions, foster family agency and county foster homes. </w:t>
      </w:r>
      <w:r>
        <w:rPr>
          <w:rFonts w:ascii="Franklin Gothic Book" w:eastAsia="Perpetua" w:hAnsi="Franklin Gothic Book"/>
          <w:spacing w:val="20"/>
          <w:sz w:val="22"/>
          <w:szCs w:val="28"/>
        </w:rPr>
        <w:t>T</w:t>
      </w:r>
      <w:r w:rsidRPr="00D61482">
        <w:rPr>
          <w:rFonts w:ascii="Franklin Gothic Book" w:eastAsia="Perpetua" w:hAnsi="Franklin Gothic Book"/>
          <w:spacing w:val="20"/>
          <w:sz w:val="22"/>
          <w:szCs w:val="28"/>
        </w:rPr>
        <w:t xml:space="preserve">he </w:t>
      </w:r>
      <w:r>
        <w:rPr>
          <w:rFonts w:ascii="Franklin Gothic Book" w:eastAsia="Perpetua" w:hAnsi="Franklin Gothic Book"/>
          <w:spacing w:val="20"/>
          <w:sz w:val="22"/>
          <w:szCs w:val="28"/>
        </w:rPr>
        <w:t>Foster Youth Services Coordinating Program Executive Advisory Council</w:t>
      </w:r>
      <w:r w:rsidRPr="00D61482">
        <w:rPr>
          <w:rFonts w:ascii="Franklin Gothic Book" w:eastAsia="Perpetua" w:hAnsi="Franklin Gothic Book"/>
          <w:spacing w:val="20"/>
          <w:sz w:val="22"/>
          <w:szCs w:val="28"/>
        </w:rPr>
        <w:t xml:space="preserve"> represents school districts, community colleges, child welfare services, probation, juvenile court, advocacy agencies, and substitute care providers. These agencies work in close partnership with FYS to strengthen and enhance services to students in foster care. </w:t>
      </w:r>
    </w:p>
    <w:p w:rsidR="00D86A11" w:rsidRPr="00007328" w:rsidRDefault="00D86A11" w:rsidP="00D86A11">
      <w:pPr>
        <w:rPr>
          <w:b/>
          <w:color w:val="014589"/>
        </w:rPr>
      </w:pPr>
      <w:r w:rsidRPr="00D61482">
        <w:rPr>
          <w:rFonts w:ascii="Franklin Gothic Book" w:hAnsi="Franklin Gothic Book"/>
          <w:color w:val="auto"/>
          <w:spacing w:val="20"/>
          <w:szCs w:val="28"/>
        </w:rPr>
        <w:t>CWS and Probation liaison with ten law enforcement jurisdictions, including numerous sub-stations. CWS has collaborative programs with law enforcement where CWS staff is co-located at the San Diego Police Department, San Diego Sheriff Department, and El Cajon Police Department. One</w:t>
      </w:r>
      <w:r>
        <w:rPr>
          <w:rFonts w:ascii="Franklin Gothic Book" w:hAnsi="Franklin Gothic Book"/>
          <w:color w:val="auto"/>
          <w:spacing w:val="20"/>
          <w:szCs w:val="28"/>
        </w:rPr>
        <w:t xml:space="preserve"> collaboration</w:t>
      </w:r>
      <w:r w:rsidRPr="00D61482">
        <w:rPr>
          <w:rFonts w:ascii="Franklin Gothic Book" w:hAnsi="Franklin Gothic Book"/>
          <w:color w:val="auto"/>
          <w:spacing w:val="20"/>
          <w:szCs w:val="28"/>
        </w:rPr>
        <w:t xml:space="preserve"> is </w:t>
      </w:r>
      <w:r>
        <w:rPr>
          <w:rFonts w:ascii="Franklin Gothic Book" w:hAnsi="Franklin Gothic Book"/>
          <w:color w:val="auto"/>
          <w:spacing w:val="20"/>
          <w:szCs w:val="28"/>
        </w:rPr>
        <w:t xml:space="preserve">the </w:t>
      </w:r>
      <w:r w:rsidRPr="00D61482">
        <w:rPr>
          <w:rFonts w:ascii="Franklin Gothic Book" w:hAnsi="Franklin Gothic Book"/>
          <w:color w:val="auto"/>
          <w:spacing w:val="20"/>
          <w:szCs w:val="28"/>
        </w:rPr>
        <w:t>Drug Endangered Children (DEC)</w:t>
      </w:r>
      <w:r>
        <w:rPr>
          <w:rFonts w:ascii="Franklin Gothic Book" w:hAnsi="Franklin Gothic Book"/>
          <w:color w:val="auto"/>
          <w:spacing w:val="20"/>
          <w:szCs w:val="28"/>
        </w:rPr>
        <w:t xml:space="preserve"> program</w:t>
      </w:r>
      <w:r w:rsidRPr="00D61482">
        <w:rPr>
          <w:rFonts w:ascii="Franklin Gothic Book" w:hAnsi="Franklin Gothic Book"/>
          <w:color w:val="auto"/>
          <w:spacing w:val="20"/>
          <w:szCs w:val="28"/>
        </w:rPr>
        <w:t>. When law enforcement goes out to arrest parents on drug related charges, the DEC social worker is on hand to interview the children and take them into protective custody if necessary. The second collaborative effort is a general law enforcement liaison social worker. This social worker assists to link law enforcement’s child abuse detectives with CWS social workers</w:t>
      </w:r>
      <w:r w:rsidR="00144D9C">
        <w:rPr>
          <w:rFonts w:ascii="Franklin Gothic Book" w:hAnsi="Franklin Gothic Book"/>
          <w:color w:val="auto"/>
          <w:spacing w:val="20"/>
          <w:szCs w:val="28"/>
        </w:rPr>
        <w:t xml:space="preserve"> and also </w:t>
      </w:r>
      <w:r w:rsidRPr="00D61482">
        <w:rPr>
          <w:rFonts w:ascii="Franklin Gothic Book" w:hAnsi="Franklin Gothic Book"/>
          <w:color w:val="auto"/>
          <w:spacing w:val="20"/>
          <w:szCs w:val="28"/>
        </w:rPr>
        <w:t>serves as an efficient and timely information sharing conduit between the two agencies. The liaison researches and provides additional information that both agencies need to proceed in their independent investigations</w:t>
      </w:r>
      <w:r w:rsidR="00144D9C">
        <w:rPr>
          <w:rFonts w:ascii="Franklin Gothic Book" w:hAnsi="Franklin Gothic Book"/>
          <w:color w:val="auto"/>
          <w:spacing w:val="20"/>
          <w:szCs w:val="28"/>
        </w:rPr>
        <w:t xml:space="preserve"> and </w:t>
      </w:r>
      <w:r w:rsidRPr="00D61482">
        <w:rPr>
          <w:rFonts w:ascii="Franklin Gothic Book" w:hAnsi="Franklin Gothic Book"/>
          <w:color w:val="auto"/>
          <w:spacing w:val="20"/>
          <w:szCs w:val="28"/>
        </w:rPr>
        <w:t>helps to educate each entity on their unique roles and help ex</w:t>
      </w:r>
      <w:r w:rsidR="00144D9C">
        <w:rPr>
          <w:rFonts w:ascii="Franklin Gothic Book" w:hAnsi="Franklin Gothic Book"/>
          <w:color w:val="auto"/>
          <w:spacing w:val="20"/>
          <w:szCs w:val="28"/>
        </w:rPr>
        <w:t xml:space="preserve">plain and mitigate challenges. </w:t>
      </w:r>
      <w:r>
        <w:rPr>
          <w:rFonts w:ascii="Franklin Gothic Book" w:hAnsi="Franklin Gothic Book"/>
          <w:color w:val="auto"/>
          <w:spacing w:val="20"/>
          <w:szCs w:val="28"/>
        </w:rPr>
        <w:t>See Page 4</w:t>
      </w:r>
      <w:r w:rsidR="009D3DD7">
        <w:rPr>
          <w:rFonts w:ascii="Franklin Gothic Book" w:hAnsi="Franklin Gothic Book"/>
          <w:color w:val="auto"/>
          <w:spacing w:val="20"/>
          <w:szCs w:val="28"/>
        </w:rPr>
        <w:t>5</w:t>
      </w:r>
      <w:r>
        <w:rPr>
          <w:rFonts w:ascii="Franklin Gothic Book" w:hAnsi="Franklin Gothic Book"/>
          <w:color w:val="auto"/>
          <w:spacing w:val="20"/>
          <w:szCs w:val="28"/>
        </w:rPr>
        <w:t xml:space="preserve"> for a detailed description of additional collaborations </w:t>
      </w:r>
      <w:r w:rsidRPr="00D61482">
        <w:rPr>
          <w:rFonts w:ascii="Franklin Gothic Book" w:hAnsi="Franklin Gothic Book"/>
          <w:color w:val="auto"/>
          <w:spacing w:val="20"/>
          <w:szCs w:val="28"/>
        </w:rPr>
        <w:t xml:space="preserve">between Child Welfare Services and Public Health. </w:t>
      </w:r>
    </w:p>
    <w:p w:rsidR="00D86A11" w:rsidRDefault="00D86A11" w:rsidP="00D86A11">
      <w:pPr>
        <w:pStyle w:val="Heading1"/>
        <w:rPr>
          <w:color w:val="013161"/>
        </w:rPr>
      </w:pPr>
      <w:r>
        <w:rPr>
          <w:color w:val="013161"/>
        </w:rPr>
        <w:t xml:space="preserve">5b. </w:t>
      </w:r>
      <w:r w:rsidRPr="00063B02">
        <w:rPr>
          <w:color w:val="013161"/>
        </w:rPr>
        <w:t xml:space="preserve">County Child Welfare and Probation Infrastructure </w:t>
      </w:r>
    </w:p>
    <w:p w:rsidR="00D86A11" w:rsidRPr="00967BA5" w:rsidRDefault="00763E81" w:rsidP="00D86A11">
      <w:pPr>
        <w:pStyle w:val="NormalWeb"/>
        <w:spacing w:line="276" w:lineRule="auto"/>
        <w:rPr>
          <w:rFonts w:ascii="Franklin Gothic Book" w:eastAsia="Perpetua" w:hAnsi="Franklin Gothic Book"/>
          <w:spacing w:val="20"/>
          <w:sz w:val="22"/>
          <w:szCs w:val="28"/>
        </w:rPr>
      </w:pPr>
      <w:r>
        <w:rPr>
          <w:noProof/>
          <w:lang w:eastAsia="en-US"/>
        </w:rPr>
        <mc:AlternateContent>
          <mc:Choice Requires="wps">
            <w:drawing>
              <wp:anchor distT="91440" distB="91440" distL="182880" distR="182880" simplePos="0" relativeHeight="251649024" behindDoc="1" locked="0" layoutInCell="0" allowOverlap="1">
                <wp:simplePos x="0" y="0"/>
                <wp:positionH relativeFrom="margin">
                  <wp:posOffset>3601085</wp:posOffset>
                </wp:positionH>
                <wp:positionV relativeFrom="margin">
                  <wp:posOffset>6739255</wp:posOffset>
                </wp:positionV>
                <wp:extent cx="2384425" cy="1556385"/>
                <wp:effectExtent l="0" t="0" r="0" b="0"/>
                <wp:wrapSquare wrapText="bothSides"/>
                <wp:docPr id="270"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4425" cy="1556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103E6" w:rsidRDefault="009103E6" w:rsidP="00D86A11">
                            <w:pPr>
                              <w:pBdr>
                                <w:top w:val="single" w:sz="4" w:space="1" w:color="A7BFDE"/>
                                <w:bottom w:val="single" w:sz="4" w:space="10" w:color="A7BFDE"/>
                              </w:pBdr>
                              <w:spacing w:after="0"/>
                              <w:jc w:val="center"/>
                              <w:rPr>
                                <w:b/>
                                <w:i/>
                                <w:iCs/>
                                <w:color w:val="2E7029"/>
                                <w:sz w:val="28"/>
                                <w:szCs w:val="28"/>
                              </w:rPr>
                            </w:pPr>
                            <w:r>
                              <w:rPr>
                                <w:b/>
                                <w:i/>
                                <w:iCs/>
                                <w:color w:val="2E7029"/>
                                <w:sz w:val="28"/>
                                <w:szCs w:val="28"/>
                              </w:rPr>
                              <w:t>“</w:t>
                            </w:r>
                            <w:r w:rsidRPr="004D2A28">
                              <w:rPr>
                                <w:b/>
                                <w:i/>
                                <w:iCs/>
                                <w:color w:val="2E7029"/>
                                <w:sz w:val="28"/>
                                <w:szCs w:val="28"/>
                              </w:rPr>
                              <w:t>The best workers I've worked with had true empathy for the families and children they work with and approach cases with problem solving skills</w:t>
                            </w:r>
                            <w:r>
                              <w:rPr>
                                <w:b/>
                                <w:i/>
                                <w:iCs/>
                                <w:color w:val="2E7029"/>
                                <w:sz w:val="28"/>
                                <w:szCs w:val="28"/>
                              </w:rPr>
                              <w:t>”</w:t>
                            </w:r>
                          </w:p>
                          <w:p w:rsidR="009103E6" w:rsidRPr="00E22A7C" w:rsidRDefault="009103E6" w:rsidP="00D86A11">
                            <w:pPr>
                              <w:pBdr>
                                <w:top w:val="single" w:sz="4" w:space="1" w:color="A7BFDE"/>
                                <w:bottom w:val="single" w:sz="4" w:space="10" w:color="A7BFDE"/>
                              </w:pBdr>
                              <w:spacing w:after="0"/>
                              <w:jc w:val="center"/>
                              <w:rPr>
                                <w:b/>
                                <w:i/>
                                <w:iCs/>
                                <w:color w:val="2E7029"/>
                                <w:sz w:val="28"/>
                                <w:szCs w:val="28"/>
                              </w:rPr>
                            </w:pPr>
                            <w:r w:rsidRPr="004D2A28">
                              <w:rPr>
                                <w:b/>
                                <w:i/>
                                <w:iCs/>
                                <w:color w:val="F6872B"/>
                                <w:sz w:val="28"/>
                                <w:szCs w:val="28"/>
                              </w:rPr>
                              <w:t>- CSA Stakeholder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86" o:spid="_x0000_s1064" style="position:absolute;margin-left:283.55pt;margin-top:530.65pt;width:187.75pt;height:122.55pt;z-index:-251667456;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" o:allowincell="f" filled="f" stroked="f" strokecolor="#90b5e3" strokeweight="6pt">
                <v:textbox inset="0,0,0,0">
                  <w:txbxContent>
                    <w:p w:rsidR="009103E6" w:rsidRDefault="009103E6" w:rsidP="00D86A11">
                      <w:pPr>
                        <w:pBdr>
                          <w:top w:val="single" w:sz="4" w:space="1" w:color="A7BFDE"/>
                          <w:bottom w:val="single" w:sz="4" w:space="10" w:color="A7BFDE"/>
                        </w:pBdr>
                        <w:spacing w:after="0"/>
                        <w:jc w:val="center"/>
                        <w:rPr>
                          <w:b/>
                          <w:i/>
                          <w:iCs/>
                          <w:color w:val="2E7029"/>
                          <w:sz w:val="28"/>
                          <w:szCs w:val="28"/>
                        </w:rPr>
                      </w:pPr>
                      <w:r>
                        <w:rPr>
                          <w:b/>
                          <w:i/>
                          <w:iCs/>
                          <w:color w:val="2E7029"/>
                          <w:sz w:val="28"/>
                          <w:szCs w:val="28"/>
                        </w:rPr>
                        <w:t>“</w:t>
                      </w:r>
                      <w:r w:rsidRPr="004D2A28">
                        <w:rPr>
                          <w:b/>
                          <w:i/>
                          <w:iCs/>
                          <w:color w:val="2E7029"/>
                          <w:sz w:val="28"/>
                          <w:szCs w:val="28"/>
                        </w:rPr>
                        <w:t>The best workers I've worked with had true empathy for the families and children they work with and approach cases with problem solving skills</w:t>
                      </w:r>
                      <w:r>
                        <w:rPr>
                          <w:b/>
                          <w:i/>
                          <w:iCs/>
                          <w:color w:val="2E7029"/>
                          <w:sz w:val="28"/>
                          <w:szCs w:val="28"/>
                        </w:rPr>
                        <w:t>”</w:t>
                      </w:r>
                    </w:p>
                    <w:p w:rsidR="009103E6" w:rsidRPr="00E22A7C" w:rsidRDefault="009103E6" w:rsidP="00D86A11">
                      <w:pPr>
                        <w:pBdr>
                          <w:top w:val="single" w:sz="4" w:space="1" w:color="A7BFDE"/>
                          <w:bottom w:val="single" w:sz="4" w:space="10" w:color="A7BFDE"/>
                        </w:pBdr>
                        <w:spacing w:after="0"/>
                        <w:jc w:val="center"/>
                        <w:rPr>
                          <w:b/>
                          <w:i/>
                          <w:iCs/>
                          <w:color w:val="2E7029"/>
                          <w:sz w:val="28"/>
                          <w:szCs w:val="28"/>
                        </w:rPr>
                      </w:pPr>
                      <w:r w:rsidRPr="004D2A28">
                        <w:rPr>
                          <w:b/>
                          <w:i/>
                          <w:iCs/>
                          <w:color w:val="F6872B"/>
                          <w:sz w:val="28"/>
                          <w:szCs w:val="28"/>
                        </w:rPr>
                        <w:t>- CSA Stakeholder</w:t>
                      </w:r>
                    </w:p>
                  </w:txbxContent>
                </v:textbox>
                <w10:wrap type="square" anchorx="margin" anchory="margin"/>
              </v:rect>
            </w:pict>
          </mc:Fallback>
        </mc:AlternateContent>
      </w:r>
      <w:r w:rsidR="00D86A11" w:rsidRPr="00967BA5">
        <w:rPr>
          <w:rFonts w:ascii="Franklin Gothic Book" w:eastAsia="Perpetua" w:hAnsi="Franklin Gothic Book"/>
          <w:spacing w:val="20"/>
          <w:sz w:val="22"/>
          <w:szCs w:val="28"/>
        </w:rPr>
        <w:t xml:space="preserve">Within </w:t>
      </w:r>
      <w:r w:rsidR="00D86A11">
        <w:rPr>
          <w:rFonts w:ascii="Franklin Gothic Book" w:eastAsia="Perpetua" w:hAnsi="Franklin Gothic Book"/>
          <w:spacing w:val="20"/>
          <w:sz w:val="22"/>
          <w:szCs w:val="28"/>
        </w:rPr>
        <w:t xml:space="preserve">the County of </w:t>
      </w:r>
      <w:r w:rsidR="00D86A11" w:rsidRPr="00967BA5">
        <w:rPr>
          <w:rFonts w:ascii="Franklin Gothic Book" w:eastAsia="Perpetua" w:hAnsi="Franklin Gothic Book"/>
          <w:spacing w:val="20"/>
          <w:sz w:val="22"/>
          <w:szCs w:val="28"/>
        </w:rPr>
        <w:t xml:space="preserve">San Diego, child protective services are provided through the Health and Human Services Agency (HHSA) and the Probation Department. Probation falls under the Public Safety Group and Child Welfare Services falls under the Health and Human Services Agency. These are two of five groups that report to a Chief Administrative Officer. The other three groups are Land Use and Environment, Community Services and Finance and General Government (see Appendix A). </w:t>
      </w:r>
    </w:p>
    <w:p w:rsidR="00D86A11" w:rsidRPr="007A69D3" w:rsidRDefault="00D86A11" w:rsidP="00D86A11">
      <w:pPr>
        <w:pStyle w:val="Heading3"/>
        <w:spacing w:line="276" w:lineRule="auto"/>
        <w:rPr>
          <w:b w:val="0"/>
          <w:color w:val="auto"/>
          <w:sz w:val="22"/>
        </w:rPr>
      </w:pPr>
      <w:r w:rsidRPr="007A69D3">
        <w:rPr>
          <w:b w:val="0"/>
          <w:color w:val="auto"/>
          <w:sz w:val="22"/>
        </w:rPr>
        <w:t xml:space="preserve">Under HHSA, the Child Welfare Services (CWS) department is headed by a director who works closely with the Chief Probation Officer on all matters that jointly impact the welfare of children in </w:t>
      </w:r>
      <w:r>
        <w:rPr>
          <w:b w:val="0"/>
          <w:color w:val="auto"/>
          <w:sz w:val="22"/>
        </w:rPr>
        <w:t xml:space="preserve">the County of </w:t>
      </w:r>
      <w:r w:rsidRPr="007A69D3">
        <w:rPr>
          <w:b w:val="0"/>
          <w:color w:val="auto"/>
          <w:sz w:val="22"/>
        </w:rPr>
        <w:t xml:space="preserve">San Diego. CWS is </w:t>
      </w:r>
      <w:r w:rsidRPr="007A69D3">
        <w:rPr>
          <w:b w:val="0"/>
          <w:color w:val="auto"/>
          <w:sz w:val="22"/>
        </w:rPr>
        <w:lastRenderedPageBreak/>
        <w:t>responsible for an emergency shelter for abused and neglected children, foster home licensing and adoptions.</w:t>
      </w:r>
    </w:p>
    <w:p w:rsidR="00D86A11" w:rsidRPr="000E7387" w:rsidRDefault="00D86A11" w:rsidP="00D86A11">
      <w:pPr>
        <w:pStyle w:val="Heading2"/>
        <w:spacing w:line="360" w:lineRule="auto"/>
        <w:rPr>
          <w:rStyle w:val="Heading1Char"/>
          <w:b/>
          <w:color w:val="F6872B"/>
          <w:sz w:val="24"/>
        </w:rPr>
      </w:pPr>
      <w:r>
        <w:rPr>
          <w:rStyle w:val="Heading1Char"/>
          <w:b/>
          <w:color w:val="F6872B"/>
          <w:sz w:val="24"/>
        </w:rPr>
        <w:t>The County of San Diego Child Welfare Services Staffing</w:t>
      </w:r>
    </w:p>
    <w:tbl>
      <w:tblPr>
        <w:tblpPr w:leftFromText="180" w:rightFromText="180" w:vertAnchor="text" w:horzAnchor="margin" w:tblpXSpec="right" w:tblpY="866"/>
        <w:tblW w:w="7038" w:type="dxa"/>
        <w:tblBorders>
          <w:top w:val="single" w:sz="18" w:space="0" w:color="F6872B"/>
          <w:bottom w:val="single" w:sz="18" w:space="0" w:color="F6872B"/>
        </w:tblBorders>
        <w:tblLook w:val="04A0" w:firstRow="1" w:lastRow="0" w:firstColumn="1" w:lastColumn="0" w:noHBand="0" w:noVBand="1"/>
      </w:tblPr>
      <w:tblGrid>
        <w:gridCol w:w="5058"/>
        <w:gridCol w:w="1980"/>
      </w:tblGrid>
      <w:tr w:rsidR="001320FE" w:rsidRPr="00C724EC" w:rsidTr="001320FE">
        <w:trPr>
          <w:trHeight w:val="441"/>
        </w:trPr>
        <w:tc>
          <w:tcPr>
            <w:tcW w:w="7038" w:type="dxa"/>
            <w:gridSpan w:val="2"/>
            <w:shd w:val="clear" w:color="auto" w:fill="013161"/>
          </w:tcPr>
          <w:p w:rsidR="001320FE" w:rsidRPr="000055D1" w:rsidRDefault="001320FE" w:rsidP="001320FE">
            <w:pPr>
              <w:spacing w:after="0" w:line="240" w:lineRule="auto"/>
              <w:jc w:val="center"/>
              <w:rPr>
                <w:rFonts w:ascii="Calibri" w:eastAsia="Times New Roman" w:hAnsi="Calibri" w:cs="Arial"/>
                <w:b/>
                <w:bCs/>
              </w:rPr>
            </w:pPr>
            <w:r>
              <w:rPr>
                <w:rFonts w:ascii="Calibri" w:hAnsi="Calibri"/>
                <w:b/>
                <w:color w:val="FFFFFF"/>
                <w:sz w:val="24"/>
              </w:rPr>
              <w:t xml:space="preserve">Exhibit 40. County of </w:t>
            </w:r>
            <w:r w:rsidRPr="00C51904">
              <w:rPr>
                <w:rFonts w:ascii="Calibri" w:hAnsi="Calibri"/>
                <w:b/>
                <w:color w:val="FFFFFF"/>
                <w:sz w:val="24"/>
              </w:rPr>
              <w:t xml:space="preserve">San Diego </w:t>
            </w:r>
            <w:r>
              <w:rPr>
                <w:rFonts w:ascii="Calibri" w:hAnsi="Calibri"/>
                <w:b/>
                <w:color w:val="FFFFFF"/>
                <w:sz w:val="24"/>
              </w:rPr>
              <w:t>CWS: Staffing Numbers</w:t>
            </w:r>
          </w:p>
        </w:tc>
      </w:tr>
      <w:tr w:rsidR="001320FE" w:rsidRPr="00C724EC" w:rsidTr="001320FE">
        <w:trPr>
          <w:trHeight w:val="293"/>
        </w:trPr>
        <w:tc>
          <w:tcPr>
            <w:tcW w:w="5058" w:type="dxa"/>
            <w:shd w:val="clear" w:color="auto" w:fill="013161"/>
          </w:tcPr>
          <w:p w:rsidR="001320FE" w:rsidRPr="00721EF1" w:rsidRDefault="001320FE" w:rsidP="001320FE">
            <w:pPr>
              <w:spacing w:after="0" w:line="240" w:lineRule="auto"/>
              <w:rPr>
                <w:rFonts w:ascii="Calibri" w:eastAsia="Times New Roman" w:hAnsi="Calibri" w:cs="Arial"/>
                <w:b/>
                <w:bCs/>
                <w:color w:val="FFFFFF"/>
              </w:rPr>
            </w:pPr>
            <w:r>
              <w:rPr>
                <w:rFonts w:ascii="Calibri" w:eastAsia="Times New Roman" w:hAnsi="Calibri" w:cs="Arial"/>
                <w:b/>
                <w:bCs/>
                <w:color w:val="FFFFFF"/>
              </w:rPr>
              <w:t>Position</w:t>
            </w:r>
          </w:p>
        </w:tc>
        <w:tc>
          <w:tcPr>
            <w:tcW w:w="1980" w:type="dxa"/>
            <w:shd w:val="clear" w:color="auto" w:fill="013161"/>
          </w:tcPr>
          <w:p w:rsidR="001320FE" w:rsidRPr="00721EF1" w:rsidRDefault="001320FE" w:rsidP="001320FE">
            <w:pPr>
              <w:spacing w:after="0" w:line="240" w:lineRule="auto"/>
              <w:jc w:val="center"/>
              <w:rPr>
                <w:rFonts w:ascii="Calibri" w:eastAsia="Times New Roman" w:hAnsi="Calibri" w:cs="Arial"/>
                <w:b/>
                <w:bCs/>
                <w:color w:val="FFFFFF"/>
              </w:rPr>
            </w:pPr>
            <w:r>
              <w:rPr>
                <w:rFonts w:ascii="Calibri" w:eastAsia="Calibri" w:hAnsi="Calibri"/>
                <w:b/>
                <w:color w:val="auto"/>
                <w:szCs w:val="22"/>
              </w:rPr>
              <w:t xml:space="preserve">Number of  Staff </w:t>
            </w:r>
          </w:p>
        </w:tc>
      </w:tr>
      <w:tr w:rsidR="001320FE" w:rsidRPr="00C724EC" w:rsidTr="001320FE">
        <w:trPr>
          <w:trHeight w:val="293"/>
        </w:trPr>
        <w:tc>
          <w:tcPr>
            <w:tcW w:w="5058" w:type="dxa"/>
            <w:shd w:val="clear" w:color="auto" w:fill="auto"/>
          </w:tcPr>
          <w:p w:rsidR="001320FE" w:rsidRPr="004760E1" w:rsidRDefault="001320FE" w:rsidP="001320FE">
            <w:pPr>
              <w:spacing w:after="0" w:line="240" w:lineRule="auto"/>
              <w:rPr>
                <w:rFonts w:ascii="Calibri" w:eastAsia="Times New Roman" w:hAnsi="Calibri" w:cs="Arial"/>
                <w:b/>
                <w:color w:val="013161"/>
                <w:sz w:val="20"/>
              </w:rPr>
            </w:pPr>
            <w:r w:rsidRPr="004C6FE7">
              <w:rPr>
                <w:rFonts w:ascii="Calibri" w:eastAsia="Calibri" w:hAnsi="Calibri"/>
                <w:b/>
                <w:color w:val="013161"/>
                <w:szCs w:val="22"/>
              </w:rPr>
              <w:t>Social Worker II,III, Supervisor, Protective Services Worker/Supervisor</w:t>
            </w:r>
          </w:p>
        </w:tc>
        <w:tc>
          <w:tcPr>
            <w:tcW w:w="1980" w:type="dxa"/>
            <w:shd w:val="clear" w:color="auto" w:fill="auto"/>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845</w:t>
            </w:r>
          </w:p>
        </w:tc>
      </w:tr>
      <w:tr w:rsidR="001320FE" w:rsidRPr="00C724EC" w:rsidTr="001320FE">
        <w:trPr>
          <w:trHeight w:val="293"/>
        </w:trPr>
        <w:tc>
          <w:tcPr>
            <w:tcW w:w="5058" w:type="dxa"/>
            <w:shd w:val="clear" w:color="auto" w:fill="DBE5F1"/>
          </w:tcPr>
          <w:p w:rsidR="001320FE" w:rsidRPr="004760E1" w:rsidRDefault="001320FE" w:rsidP="001320FE">
            <w:pPr>
              <w:spacing w:after="0" w:line="240" w:lineRule="auto"/>
              <w:rPr>
                <w:rFonts w:ascii="Calibri" w:eastAsia="Times New Roman" w:hAnsi="Calibri" w:cs="Arial"/>
                <w:b/>
                <w:color w:val="013161"/>
                <w:sz w:val="20"/>
              </w:rPr>
            </w:pPr>
            <w:r w:rsidRPr="004C6FE7">
              <w:rPr>
                <w:rFonts w:ascii="Calibri" w:eastAsia="Calibri" w:hAnsi="Calibri"/>
                <w:b/>
                <w:color w:val="013161"/>
                <w:szCs w:val="22"/>
              </w:rPr>
              <w:t>Non Case Carrying Workers</w:t>
            </w:r>
          </w:p>
        </w:tc>
        <w:tc>
          <w:tcPr>
            <w:tcW w:w="1980" w:type="dxa"/>
            <w:shd w:val="clear" w:color="auto" w:fill="DBE5F1"/>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104</w:t>
            </w:r>
          </w:p>
        </w:tc>
      </w:tr>
      <w:tr w:rsidR="001320FE" w:rsidRPr="00C724EC" w:rsidTr="001320FE">
        <w:trPr>
          <w:trHeight w:val="293"/>
        </w:trPr>
        <w:tc>
          <w:tcPr>
            <w:tcW w:w="5058" w:type="dxa"/>
            <w:shd w:val="clear" w:color="auto" w:fill="auto"/>
          </w:tcPr>
          <w:p w:rsidR="001320FE" w:rsidRPr="004760E1" w:rsidRDefault="001320FE" w:rsidP="001320FE">
            <w:pPr>
              <w:spacing w:after="0" w:line="240" w:lineRule="auto"/>
              <w:rPr>
                <w:rFonts w:ascii="Calibri" w:eastAsia="Times New Roman" w:hAnsi="Calibri" w:cs="Arial"/>
                <w:b/>
                <w:color w:val="013161"/>
                <w:sz w:val="20"/>
              </w:rPr>
            </w:pPr>
            <w:r w:rsidRPr="004C6FE7">
              <w:rPr>
                <w:rFonts w:ascii="Calibri" w:eastAsia="Calibri" w:hAnsi="Calibri"/>
                <w:b/>
                <w:color w:val="013161"/>
                <w:szCs w:val="22"/>
              </w:rPr>
              <w:t>Case Carrying Workers</w:t>
            </w:r>
          </w:p>
        </w:tc>
        <w:tc>
          <w:tcPr>
            <w:tcW w:w="1980" w:type="dxa"/>
            <w:shd w:val="clear" w:color="auto" w:fill="auto"/>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423</w:t>
            </w:r>
          </w:p>
        </w:tc>
      </w:tr>
      <w:tr w:rsidR="001320FE" w:rsidRPr="00C724EC" w:rsidTr="001320FE">
        <w:trPr>
          <w:trHeight w:val="293"/>
        </w:trPr>
        <w:tc>
          <w:tcPr>
            <w:tcW w:w="5058" w:type="dxa"/>
            <w:shd w:val="clear" w:color="auto" w:fill="DBE5F1"/>
          </w:tcPr>
          <w:p w:rsidR="001320FE" w:rsidRPr="004760E1" w:rsidRDefault="001320FE" w:rsidP="001320FE">
            <w:pPr>
              <w:spacing w:after="0" w:line="240" w:lineRule="auto"/>
              <w:rPr>
                <w:rFonts w:ascii="Calibri" w:eastAsia="Times New Roman" w:hAnsi="Calibri" w:cs="Arial"/>
                <w:b/>
                <w:color w:val="013161"/>
                <w:sz w:val="20"/>
              </w:rPr>
            </w:pPr>
            <w:r w:rsidRPr="004C6FE7">
              <w:rPr>
                <w:rFonts w:ascii="Calibri" w:eastAsia="Calibri" w:hAnsi="Calibri"/>
                <w:b/>
                <w:color w:val="013161"/>
                <w:szCs w:val="22"/>
              </w:rPr>
              <w:t>On leave/SWIT training</w:t>
            </w:r>
          </w:p>
        </w:tc>
        <w:tc>
          <w:tcPr>
            <w:tcW w:w="1980" w:type="dxa"/>
            <w:shd w:val="clear" w:color="auto" w:fill="DBE5F1"/>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51</w:t>
            </w:r>
          </w:p>
        </w:tc>
      </w:tr>
      <w:tr w:rsidR="001320FE" w:rsidRPr="00C724EC" w:rsidTr="001320FE">
        <w:trPr>
          <w:trHeight w:val="293"/>
        </w:trPr>
        <w:tc>
          <w:tcPr>
            <w:tcW w:w="5058" w:type="dxa"/>
            <w:shd w:val="clear" w:color="auto" w:fill="auto"/>
          </w:tcPr>
          <w:p w:rsidR="001320FE" w:rsidRPr="004C6FE7" w:rsidRDefault="001320FE" w:rsidP="001320FE">
            <w:pPr>
              <w:spacing w:after="0" w:line="240" w:lineRule="auto"/>
              <w:rPr>
                <w:rFonts w:ascii="Calibri" w:eastAsia="Calibri" w:hAnsi="Calibri"/>
                <w:b/>
                <w:color w:val="013161"/>
                <w:szCs w:val="22"/>
              </w:rPr>
            </w:pPr>
            <w:r>
              <w:rPr>
                <w:rFonts w:ascii="Calibri" w:eastAsia="Calibri" w:hAnsi="Calibri"/>
                <w:b/>
                <w:color w:val="013161"/>
                <w:szCs w:val="22"/>
              </w:rPr>
              <w:t>Total</w:t>
            </w:r>
          </w:p>
        </w:tc>
        <w:tc>
          <w:tcPr>
            <w:tcW w:w="1980" w:type="dxa"/>
            <w:shd w:val="clear" w:color="auto" w:fill="auto"/>
            <w:vAlign w:val="center"/>
          </w:tcPr>
          <w:p w:rsidR="001320FE" w:rsidRPr="004C6FE7" w:rsidRDefault="001320FE" w:rsidP="001320FE">
            <w:pPr>
              <w:spacing w:after="0" w:line="240" w:lineRule="auto"/>
              <w:jc w:val="center"/>
              <w:rPr>
                <w:rFonts w:ascii="Calibri" w:eastAsia="Calibri" w:hAnsi="Calibri"/>
                <w:b/>
                <w:color w:val="013161"/>
                <w:szCs w:val="22"/>
              </w:rPr>
            </w:pPr>
            <w:r>
              <w:rPr>
                <w:rFonts w:ascii="Calibri" w:eastAsia="Calibri" w:hAnsi="Calibri"/>
                <w:b/>
                <w:color w:val="013161"/>
                <w:szCs w:val="22"/>
              </w:rPr>
              <w:t>1423</w:t>
            </w:r>
          </w:p>
        </w:tc>
      </w:tr>
    </w:tbl>
    <w:tbl>
      <w:tblPr>
        <w:tblpPr w:leftFromText="180" w:rightFromText="180" w:vertAnchor="text" w:horzAnchor="margin" w:tblpXSpec="right" w:tblpY="3671"/>
        <w:tblW w:w="7020" w:type="dxa"/>
        <w:tblBorders>
          <w:top w:val="single" w:sz="18" w:space="0" w:color="F6872B"/>
          <w:bottom w:val="single" w:sz="18" w:space="0" w:color="F6872B"/>
        </w:tblBorders>
        <w:tblLook w:val="04A0" w:firstRow="1" w:lastRow="0" w:firstColumn="1" w:lastColumn="0" w:noHBand="0" w:noVBand="1"/>
      </w:tblPr>
      <w:tblGrid>
        <w:gridCol w:w="5220"/>
        <w:gridCol w:w="1800"/>
      </w:tblGrid>
      <w:tr w:rsidR="001320FE" w:rsidRPr="00C724EC" w:rsidTr="001320FE">
        <w:trPr>
          <w:trHeight w:val="441"/>
        </w:trPr>
        <w:tc>
          <w:tcPr>
            <w:tcW w:w="7020" w:type="dxa"/>
            <w:gridSpan w:val="2"/>
            <w:shd w:val="clear" w:color="auto" w:fill="013161"/>
          </w:tcPr>
          <w:p w:rsidR="001320FE" w:rsidRPr="000055D1" w:rsidRDefault="001320FE" w:rsidP="001320FE">
            <w:pPr>
              <w:spacing w:after="0" w:line="240" w:lineRule="auto"/>
              <w:jc w:val="center"/>
              <w:rPr>
                <w:rFonts w:ascii="Calibri" w:eastAsia="Times New Roman" w:hAnsi="Calibri" w:cs="Arial"/>
                <w:b/>
                <w:bCs/>
              </w:rPr>
            </w:pPr>
            <w:r>
              <w:rPr>
                <w:rFonts w:ascii="Calibri" w:hAnsi="Calibri"/>
                <w:b/>
                <w:color w:val="FFFFFF"/>
                <w:sz w:val="24"/>
              </w:rPr>
              <w:t>Exhibit 41. County of San Diego</w:t>
            </w:r>
            <w:r w:rsidRPr="00C51904">
              <w:rPr>
                <w:rFonts w:ascii="Calibri" w:hAnsi="Calibri"/>
                <w:b/>
                <w:color w:val="FFFFFF"/>
                <w:sz w:val="24"/>
              </w:rPr>
              <w:t xml:space="preserve"> </w:t>
            </w:r>
            <w:r>
              <w:rPr>
                <w:rFonts w:ascii="Calibri" w:hAnsi="Calibri"/>
                <w:b/>
                <w:color w:val="FFFFFF"/>
                <w:sz w:val="24"/>
              </w:rPr>
              <w:t>CWS: Staff Race and Ethnicity</w:t>
            </w:r>
          </w:p>
        </w:tc>
      </w:tr>
      <w:tr w:rsidR="001320FE" w:rsidRPr="00C724EC" w:rsidTr="001320FE">
        <w:trPr>
          <w:trHeight w:val="293"/>
        </w:trPr>
        <w:tc>
          <w:tcPr>
            <w:tcW w:w="5220" w:type="dxa"/>
            <w:shd w:val="clear" w:color="auto" w:fill="013161"/>
          </w:tcPr>
          <w:p w:rsidR="001320FE" w:rsidRPr="00721EF1" w:rsidRDefault="001320FE" w:rsidP="001320FE">
            <w:pPr>
              <w:spacing w:after="0" w:line="240" w:lineRule="auto"/>
              <w:rPr>
                <w:rFonts w:ascii="Calibri" w:eastAsia="Times New Roman" w:hAnsi="Calibri" w:cs="Arial"/>
                <w:b/>
                <w:bCs/>
                <w:color w:val="FFFFFF"/>
              </w:rPr>
            </w:pPr>
            <w:r>
              <w:rPr>
                <w:rFonts w:ascii="Calibri" w:eastAsia="Times New Roman" w:hAnsi="Calibri" w:cs="Arial"/>
                <w:b/>
                <w:bCs/>
                <w:color w:val="FFFFFF"/>
              </w:rPr>
              <w:t>Race/Ethnicity</w:t>
            </w:r>
          </w:p>
        </w:tc>
        <w:tc>
          <w:tcPr>
            <w:tcW w:w="1800" w:type="dxa"/>
            <w:shd w:val="clear" w:color="auto" w:fill="013161"/>
          </w:tcPr>
          <w:p w:rsidR="001320FE" w:rsidRPr="00721EF1" w:rsidRDefault="001320FE" w:rsidP="001320FE">
            <w:pPr>
              <w:spacing w:after="0" w:line="240" w:lineRule="auto"/>
              <w:jc w:val="center"/>
              <w:rPr>
                <w:rFonts w:ascii="Calibri" w:eastAsia="Times New Roman" w:hAnsi="Calibri" w:cs="Arial"/>
                <w:b/>
                <w:bCs/>
                <w:color w:val="FFFFFF"/>
              </w:rPr>
            </w:pPr>
            <w:r>
              <w:rPr>
                <w:rFonts w:ascii="Calibri" w:eastAsia="Calibri" w:hAnsi="Calibri"/>
                <w:b/>
                <w:color w:val="auto"/>
                <w:szCs w:val="22"/>
              </w:rPr>
              <w:t xml:space="preserve">Number of  Staff </w:t>
            </w:r>
          </w:p>
        </w:tc>
      </w:tr>
      <w:tr w:rsidR="001320FE" w:rsidRPr="00C724EC" w:rsidTr="001320FE">
        <w:trPr>
          <w:trHeight w:val="293"/>
        </w:trPr>
        <w:tc>
          <w:tcPr>
            <w:tcW w:w="5220" w:type="dxa"/>
            <w:shd w:val="clear" w:color="auto" w:fill="auto"/>
          </w:tcPr>
          <w:p w:rsidR="001320FE" w:rsidRPr="004760E1" w:rsidRDefault="001320FE" w:rsidP="001320FE">
            <w:pPr>
              <w:spacing w:after="0" w:line="240" w:lineRule="auto"/>
              <w:rPr>
                <w:rFonts w:ascii="Calibri" w:eastAsia="Times New Roman" w:hAnsi="Calibri" w:cs="Arial"/>
                <w:b/>
                <w:color w:val="013161"/>
                <w:sz w:val="20"/>
              </w:rPr>
            </w:pPr>
            <w:r w:rsidRPr="004C6FE7">
              <w:rPr>
                <w:rFonts w:ascii="Calibri" w:eastAsia="Calibri" w:hAnsi="Calibri"/>
                <w:b/>
                <w:color w:val="013161"/>
                <w:szCs w:val="22"/>
              </w:rPr>
              <w:t>American Indian or Alaska Native</w:t>
            </w:r>
          </w:p>
        </w:tc>
        <w:tc>
          <w:tcPr>
            <w:tcW w:w="1800" w:type="dxa"/>
            <w:shd w:val="clear" w:color="auto" w:fill="auto"/>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6</w:t>
            </w:r>
          </w:p>
        </w:tc>
      </w:tr>
      <w:tr w:rsidR="001320FE" w:rsidRPr="00C724EC" w:rsidTr="001320FE">
        <w:trPr>
          <w:trHeight w:val="293"/>
        </w:trPr>
        <w:tc>
          <w:tcPr>
            <w:tcW w:w="5220" w:type="dxa"/>
            <w:shd w:val="clear" w:color="auto" w:fill="DBE5F1"/>
          </w:tcPr>
          <w:p w:rsidR="001320FE" w:rsidRPr="004760E1" w:rsidRDefault="001320FE" w:rsidP="001320FE">
            <w:pPr>
              <w:spacing w:after="0" w:line="240" w:lineRule="auto"/>
              <w:rPr>
                <w:rFonts w:ascii="Calibri" w:eastAsia="Times New Roman" w:hAnsi="Calibri" w:cs="Arial"/>
                <w:b/>
                <w:color w:val="013161"/>
                <w:sz w:val="20"/>
              </w:rPr>
            </w:pPr>
            <w:r w:rsidRPr="004C6FE7">
              <w:rPr>
                <w:rFonts w:ascii="Calibri" w:eastAsia="Calibri" w:hAnsi="Calibri"/>
                <w:b/>
                <w:color w:val="013161"/>
                <w:szCs w:val="22"/>
              </w:rPr>
              <w:t>Asian</w:t>
            </w:r>
          </w:p>
        </w:tc>
        <w:tc>
          <w:tcPr>
            <w:tcW w:w="1800" w:type="dxa"/>
            <w:shd w:val="clear" w:color="auto" w:fill="DBE5F1"/>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69</w:t>
            </w:r>
          </w:p>
        </w:tc>
      </w:tr>
      <w:tr w:rsidR="001320FE" w:rsidRPr="00C724EC" w:rsidTr="001320FE">
        <w:trPr>
          <w:trHeight w:val="293"/>
        </w:trPr>
        <w:tc>
          <w:tcPr>
            <w:tcW w:w="5220" w:type="dxa"/>
            <w:shd w:val="clear" w:color="auto" w:fill="auto"/>
          </w:tcPr>
          <w:p w:rsidR="001320FE" w:rsidRPr="004760E1" w:rsidRDefault="001320FE" w:rsidP="001320FE">
            <w:pPr>
              <w:spacing w:after="0" w:line="240" w:lineRule="auto"/>
              <w:rPr>
                <w:rFonts w:ascii="Calibri" w:eastAsia="Times New Roman" w:hAnsi="Calibri" w:cs="Arial"/>
                <w:b/>
                <w:color w:val="013161"/>
                <w:sz w:val="20"/>
              </w:rPr>
            </w:pPr>
            <w:r w:rsidRPr="004C6FE7">
              <w:rPr>
                <w:rFonts w:ascii="Calibri" w:eastAsia="Calibri" w:hAnsi="Calibri"/>
                <w:b/>
                <w:color w:val="013161"/>
                <w:szCs w:val="22"/>
              </w:rPr>
              <w:t>Black</w:t>
            </w:r>
          </w:p>
        </w:tc>
        <w:tc>
          <w:tcPr>
            <w:tcW w:w="1800" w:type="dxa"/>
            <w:shd w:val="clear" w:color="auto" w:fill="auto"/>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116</w:t>
            </w:r>
          </w:p>
        </w:tc>
      </w:tr>
      <w:tr w:rsidR="001320FE" w:rsidRPr="00C724EC" w:rsidTr="001320FE">
        <w:trPr>
          <w:trHeight w:val="293"/>
        </w:trPr>
        <w:tc>
          <w:tcPr>
            <w:tcW w:w="5220" w:type="dxa"/>
            <w:shd w:val="clear" w:color="auto" w:fill="DBE5F1"/>
          </w:tcPr>
          <w:p w:rsidR="001320FE" w:rsidRPr="004C6FE7" w:rsidRDefault="001320FE" w:rsidP="001320FE">
            <w:pPr>
              <w:spacing w:after="0" w:line="240" w:lineRule="auto"/>
              <w:rPr>
                <w:rFonts w:ascii="Calibri" w:eastAsia="Calibri" w:hAnsi="Calibri"/>
                <w:b/>
                <w:color w:val="013161"/>
                <w:szCs w:val="22"/>
              </w:rPr>
            </w:pPr>
            <w:r w:rsidRPr="004C6FE7">
              <w:rPr>
                <w:rFonts w:ascii="Calibri" w:eastAsia="Calibri" w:hAnsi="Calibri"/>
                <w:b/>
                <w:color w:val="013161"/>
                <w:szCs w:val="22"/>
              </w:rPr>
              <w:t>Hispanic</w:t>
            </w:r>
          </w:p>
        </w:tc>
        <w:tc>
          <w:tcPr>
            <w:tcW w:w="1800" w:type="dxa"/>
            <w:shd w:val="clear" w:color="auto" w:fill="DBE5F1"/>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337</w:t>
            </w:r>
          </w:p>
        </w:tc>
      </w:tr>
      <w:tr w:rsidR="001320FE" w:rsidRPr="00C724EC" w:rsidTr="001320FE">
        <w:trPr>
          <w:trHeight w:val="293"/>
        </w:trPr>
        <w:tc>
          <w:tcPr>
            <w:tcW w:w="5220" w:type="dxa"/>
            <w:shd w:val="clear" w:color="auto" w:fill="FFFFFF"/>
          </w:tcPr>
          <w:p w:rsidR="001320FE" w:rsidRPr="004C6FE7" w:rsidRDefault="001320FE" w:rsidP="001320FE">
            <w:pPr>
              <w:spacing w:after="0" w:line="240" w:lineRule="auto"/>
              <w:rPr>
                <w:rFonts w:ascii="Calibri" w:eastAsia="Calibri" w:hAnsi="Calibri"/>
                <w:b/>
                <w:color w:val="013161"/>
                <w:szCs w:val="22"/>
              </w:rPr>
            </w:pPr>
            <w:r w:rsidRPr="004C6FE7">
              <w:rPr>
                <w:rFonts w:ascii="Calibri" w:eastAsia="Calibri" w:hAnsi="Calibri"/>
                <w:b/>
                <w:color w:val="013161"/>
                <w:szCs w:val="22"/>
              </w:rPr>
              <w:t>Pacific Islander</w:t>
            </w:r>
          </w:p>
        </w:tc>
        <w:tc>
          <w:tcPr>
            <w:tcW w:w="1800" w:type="dxa"/>
            <w:shd w:val="clear" w:color="auto" w:fill="FFFFFF"/>
            <w:vAlign w:val="center"/>
          </w:tcPr>
          <w:p w:rsidR="001320FE" w:rsidRPr="004C6FE7" w:rsidRDefault="001320FE" w:rsidP="001320FE">
            <w:pPr>
              <w:spacing w:after="0" w:line="240" w:lineRule="auto"/>
              <w:jc w:val="center"/>
              <w:rPr>
                <w:rFonts w:ascii="Calibri" w:eastAsia="Calibri" w:hAnsi="Calibri"/>
                <w:b/>
                <w:color w:val="013161"/>
                <w:spacing w:val="20"/>
                <w:szCs w:val="28"/>
              </w:rPr>
            </w:pPr>
            <w:r w:rsidRPr="004C6FE7">
              <w:rPr>
                <w:rFonts w:ascii="Calibri" w:eastAsia="Calibri" w:hAnsi="Calibri"/>
                <w:b/>
                <w:color w:val="013161"/>
                <w:spacing w:val="20"/>
                <w:szCs w:val="28"/>
              </w:rPr>
              <w:t>5</w:t>
            </w:r>
          </w:p>
        </w:tc>
      </w:tr>
      <w:tr w:rsidR="001320FE" w:rsidRPr="00C724EC" w:rsidTr="001320FE">
        <w:trPr>
          <w:trHeight w:val="293"/>
        </w:trPr>
        <w:tc>
          <w:tcPr>
            <w:tcW w:w="5220" w:type="dxa"/>
            <w:shd w:val="clear" w:color="auto" w:fill="DBE5F1"/>
          </w:tcPr>
          <w:p w:rsidR="001320FE" w:rsidRPr="004760E1" w:rsidRDefault="001320FE" w:rsidP="001320FE">
            <w:pPr>
              <w:spacing w:after="0" w:line="240" w:lineRule="auto"/>
              <w:rPr>
                <w:rFonts w:ascii="Calibri" w:eastAsia="Times New Roman" w:hAnsi="Calibri" w:cs="Arial"/>
                <w:b/>
                <w:color w:val="013161"/>
                <w:sz w:val="20"/>
              </w:rPr>
            </w:pPr>
            <w:r w:rsidRPr="004C6FE7">
              <w:rPr>
                <w:rFonts w:ascii="Calibri" w:eastAsia="Calibri" w:hAnsi="Calibri"/>
                <w:b/>
                <w:color w:val="013161"/>
                <w:szCs w:val="22"/>
              </w:rPr>
              <w:t>White</w:t>
            </w:r>
          </w:p>
        </w:tc>
        <w:tc>
          <w:tcPr>
            <w:tcW w:w="1800" w:type="dxa"/>
            <w:shd w:val="clear" w:color="auto" w:fill="DBE5F1"/>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312</w:t>
            </w:r>
          </w:p>
        </w:tc>
      </w:tr>
    </w:tbl>
    <w:tbl>
      <w:tblPr>
        <w:tblpPr w:leftFromText="180" w:rightFromText="180" w:vertAnchor="page" w:horzAnchor="margin" w:tblpXSpec="right" w:tblpY="8911"/>
        <w:tblW w:w="7020" w:type="dxa"/>
        <w:tblBorders>
          <w:top w:val="single" w:sz="18" w:space="0" w:color="F6872B"/>
          <w:bottom w:val="single" w:sz="18" w:space="0" w:color="F6872B"/>
        </w:tblBorders>
        <w:tblLook w:val="04A0" w:firstRow="1" w:lastRow="0" w:firstColumn="1" w:lastColumn="0" w:noHBand="0" w:noVBand="1"/>
      </w:tblPr>
      <w:tblGrid>
        <w:gridCol w:w="5310"/>
        <w:gridCol w:w="1710"/>
      </w:tblGrid>
      <w:tr w:rsidR="001320FE" w:rsidRPr="00C724EC" w:rsidTr="001320FE">
        <w:trPr>
          <w:trHeight w:val="441"/>
        </w:trPr>
        <w:tc>
          <w:tcPr>
            <w:tcW w:w="7020" w:type="dxa"/>
            <w:gridSpan w:val="2"/>
            <w:shd w:val="clear" w:color="auto" w:fill="013161"/>
          </w:tcPr>
          <w:p w:rsidR="001320FE" w:rsidRPr="000055D1" w:rsidRDefault="001320FE" w:rsidP="001320FE">
            <w:pPr>
              <w:spacing w:after="0" w:line="240" w:lineRule="auto"/>
              <w:jc w:val="center"/>
              <w:rPr>
                <w:rFonts w:ascii="Calibri" w:eastAsia="Times New Roman" w:hAnsi="Calibri" w:cs="Arial"/>
                <w:b/>
                <w:bCs/>
              </w:rPr>
            </w:pPr>
            <w:r>
              <w:rPr>
                <w:rFonts w:ascii="Calibri" w:hAnsi="Calibri"/>
                <w:b/>
                <w:color w:val="FFFFFF"/>
                <w:sz w:val="24"/>
              </w:rPr>
              <w:t>Exhibit 42. County of San Diego</w:t>
            </w:r>
            <w:r w:rsidRPr="00C51904">
              <w:rPr>
                <w:rFonts w:ascii="Calibri" w:hAnsi="Calibri"/>
                <w:b/>
                <w:color w:val="FFFFFF"/>
                <w:sz w:val="24"/>
              </w:rPr>
              <w:t xml:space="preserve"> </w:t>
            </w:r>
            <w:r>
              <w:rPr>
                <w:rFonts w:ascii="Calibri" w:hAnsi="Calibri"/>
                <w:b/>
                <w:color w:val="FFFFFF"/>
                <w:sz w:val="24"/>
              </w:rPr>
              <w:t xml:space="preserve">CWS: Staff  Educational Attainment   </w:t>
            </w:r>
          </w:p>
        </w:tc>
      </w:tr>
      <w:tr w:rsidR="001320FE" w:rsidRPr="00C724EC" w:rsidTr="001320FE">
        <w:trPr>
          <w:trHeight w:val="293"/>
        </w:trPr>
        <w:tc>
          <w:tcPr>
            <w:tcW w:w="5310" w:type="dxa"/>
            <w:shd w:val="clear" w:color="auto" w:fill="013161"/>
          </w:tcPr>
          <w:p w:rsidR="001320FE" w:rsidRPr="00721EF1" w:rsidRDefault="001320FE" w:rsidP="001320FE">
            <w:pPr>
              <w:spacing w:after="0" w:line="240" w:lineRule="auto"/>
              <w:rPr>
                <w:rFonts w:ascii="Calibri" w:eastAsia="Times New Roman" w:hAnsi="Calibri" w:cs="Arial"/>
                <w:b/>
                <w:bCs/>
                <w:color w:val="FFFFFF"/>
              </w:rPr>
            </w:pPr>
            <w:r>
              <w:rPr>
                <w:rFonts w:ascii="Calibri" w:eastAsia="Calibri" w:hAnsi="Calibri"/>
                <w:b/>
                <w:color w:val="auto"/>
                <w:szCs w:val="22"/>
              </w:rPr>
              <w:t>Educational Attainment</w:t>
            </w:r>
          </w:p>
        </w:tc>
        <w:tc>
          <w:tcPr>
            <w:tcW w:w="1710" w:type="dxa"/>
            <w:shd w:val="clear" w:color="auto" w:fill="013161"/>
          </w:tcPr>
          <w:p w:rsidR="001320FE" w:rsidRPr="00721EF1" w:rsidRDefault="001320FE" w:rsidP="001320FE">
            <w:pPr>
              <w:spacing w:after="0" w:line="240" w:lineRule="auto"/>
              <w:jc w:val="center"/>
              <w:rPr>
                <w:rFonts w:ascii="Calibri" w:eastAsia="Times New Roman" w:hAnsi="Calibri" w:cs="Arial"/>
                <w:b/>
                <w:bCs/>
                <w:color w:val="FFFFFF"/>
              </w:rPr>
            </w:pPr>
            <w:r w:rsidRPr="00594103">
              <w:rPr>
                <w:rFonts w:ascii="Calibri" w:eastAsia="Calibri" w:hAnsi="Calibri"/>
                <w:b/>
                <w:color w:val="auto"/>
                <w:szCs w:val="22"/>
              </w:rPr>
              <w:t xml:space="preserve">Number of  Staff </w:t>
            </w:r>
          </w:p>
        </w:tc>
      </w:tr>
      <w:tr w:rsidR="001320FE" w:rsidRPr="00C724EC" w:rsidTr="001320FE">
        <w:trPr>
          <w:trHeight w:val="293"/>
        </w:trPr>
        <w:tc>
          <w:tcPr>
            <w:tcW w:w="5310" w:type="dxa"/>
            <w:shd w:val="clear" w:color="auto" w:fill="auto"/>
          </w:tcPr>
          <w:p w:rsidR="001320FE" w:rsidRPr="004760E1" w:rsidRDefault="001320FE" w:rsidP="001320FE">
            <w:pPr>
              <w:spacing w:after="0" w:line="240" w:lineRule="auto"/>
              <w:rPr>
                <w:rFonts w:ascii="Calibri" w:eastAsia="Times New Roman" w:hAnsi="Calibri" w:cs="Arial"/>
                <w:b/>
                <w:color w:val="013161"/>
                <w:sz w:val="20"/>
              </w:rPr>
            </w:pPr>
            <w:r w:rsidRPr="004C6FE7">
              <w:rPr>
                <w:rFonts w:ascii="Calibri" w:eastAsia="Calibri" w:hAnsi="Calibri"/>
                <w:b/>
                <w:color w:val="013161"/>
                <w:szCs w:val="22"/>
              </w:rPr>
              <w:t>Master’s in Social Work</w:t>
            </w:r>
          </w:p>
        </w:tc>
        <w:tc>
          <w:tcPr>
            <w:tcW w:w="1710" w:type="dxa"/>
            <w:shd w:val="clear" w:color="auto" w:fill="auto"/>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273</w:t>
            </w:r>
          </w:p>
        </w:tc>
      </w:tr>
      <w:tr w:rsidR="001320FE" w:rsidRPr="00C724EC" w:rsidTr="001320FE">
        <w:trPr>
          <w:trHeight w:val="293"/>
        </w:trPr>
        <w:tc>
          <w:tcPr>
            <w:tcW w:w="5310" w:type="dxa"/>
            <w:shd w:val="clear" w:color="auto" w:fill="DBE5F1"/>
          </w:tcPr>
          <w:p w:rsidR="001320FE" w:rsidRPr="004760E1" w:rsidRDefault="001320FE" w:rsidP="001320FE">
            <w:pPr>
              <w:spacing w:after="0" w:line="240" w:lineRule="auto"/>
              <w:rPr>
                <w:rFonts w:ascii="Calibri" w:eastAsia="Times New Roman" w:hAnsi="Calibri" w:cs="Arial"/>
                <w:b/>
                <w:color w:val="013161"/>
                <w:sz w:val="20"/>
              </w:rPr>
            </w:pPr>
            <w:r w:rsidRPr="004C6FE7">
              <w:rPr>
                <w:rFonts w:ascii="Calibri" w:eastAsia="Calibri" w:hAnsi="Calibri"/>
                <w:b/>
                <w:color w:val="013161"/>
                <w:szCs w:val="22"/>
              </w:rPr>
              <w:t>Bachelor’s in Social Work</w:t>
            </w:r>
          </w:p>
        </w:tc>
        <w:tc>
          <w:tcPr>
            <w:tcW w:w="1710" w:type="dxa"/>
            <w:shd w:val="clear" w:color="auto" w:fill="DBE5F1"/>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100</w:t>
            </w:r>
          </w:p>
        </w:tc>
      </w:tr>
      <w:tr w:rsidR="001320FE" w:rsidRPr="00C724EC" w:rsidTr="001320FE">
        <w:trPr>
          <w:trHeight w:val="293"/>
        </w:trPr>
        <w:tc>
          <w:tcPr>
            <w:tcW w:w="5310" w:type="dxa"/>
            <w:shd w:val="clear" w:color="auto" w:fill="auto"/>
          </w:tcPr>
          <w:p w:rsidR="001320FE" w:rsidRPr="004760E1" w:rsidRDefault="001320FE" w:rsidP="001320FE">
            <w:pPr>
              <w:spacing w:after="0" w:line="240" w:lineRule="auto"/>
              <w:rPr>
                <w:rFonts w:ascii="Calibri" w:eastAsia="Times New Roman" w:hAnsi="Calibri" w:cs="Arial"/>
                <w:b/>
                <w:color w:val="013161"/>
                <w:sz w:val="20"/>
              </w:rPr>
            </w:pPr>
            <w:r w:rsidRPr="004C6FE7">
              <w:rPr>
                <w:rFonts w:ascii="Calibri" w:eastAsia="Calibri" w:hAnsi="Calibri"/>
                <w:b/>
                <w:color w:val="013161"/>
                <w:szCs w:val="22"/>
              </w:rPr>
              <w:t>Other degree</w:t>
            </w:r>
          </w:p>
        </w:tc>
        <w:tc>
          <w:tcPr>
            <w:tcW w:w="1710" w:type="dxa"/>
            <w:shd w:val="clear" w:color="auto" w:fill="auto"/>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451</w:t>
            </w:r>
          </w:p>
        </w:tc>
      </w:tr>
      <w:tr w:rsidR="001320FE" w:rsidRPr="00C724EC" w:rsidTr="001320FE">
        <w:trPr>
          <w:trHeight w:val="293"/>
        </w:trPr>
        <w:tc>
          <w:tcPr>
            <w:tcW w:w="5310" w:type="dxa"/>
            <w:shd w:val="clear" w:color="auto" w:fill="DBE5F1"/>
          </w:tcPr>
          <w:p w:rsidR="001320FE" w:rsidRPr="004760E1" w:rsidRDefault="001320FE" w:rsidP="001320FE">
            <w:pPr>
              <w:spacing w:after="0" w:line="240" w:lineRule="auto"/>
              <w:rPr>
                <w:rFonts w:ascii="Calibri" w:eastAsia="Times New Roman" w:hAnsi="Calibri" w:cs="Arial"/>
                <w:b/>
                <w:color w:val="013161"/>
                <w:sz w:val="20"/>
              </w:rPr>
            </w:pPr>
            <w:r w:rsidRPr="004C6FE7">
              <w:rPr>
                <w:rFonts w:ascii="Calibri" w:eastAsia="Calibri" w:hAnsi="Calibri"/>
                <w:b/>
                <w:color w:val="013161"/>
                <w:szCs w:val="22"/>
              </w:rPr>
              <w:t>Degree unknown</w:t>
            </w:r>
          </w:p>
        </w:tc>
        <w:tc>
          <w:tcPr>
            <w:tcW w:w="1710" w:type="dxa"/>
            <w:shd w:val="clear" w:color="auto" w:fill="DBE5F1"/>
            <w:vAlign w:val="center"/>
          </w:tcPr>
          <w:p w:rsidR="001320FE" w:rsidRPr="004C6FE7" w:rsidRDefault="001320FE" w:rsidP="001320FE">
            <w:pPr>
              <w:spacing w:after="0" w:line="240" w:lineRule="auto"/>
              <w:jc w:val="center"/>
              <w:rPr>
                <w:rFonts w:ascii="Calibri" w:eastAsia="Calibri" w:hAnsi="Calibri"/>
                <w:b/>
                <w:color w:val="013161"/>
                <w:szCs w:val="22"/>
              </w:rPr>
            </w:pPr>
            <w:r>
              <w:rPr>
                <w:rFonts w:ascii="Calibri" w:eastAsia="Calibri" w:hAnsi="Calibri"/>
                <w:b/>
                <w:color w:val="013161"/>
                <w:szCs w:val="22"/>
              </w:rPr>
              <w:t>2</w:t>
            </w:r>
            <w:r w:rsidRPr="004C6FE7">
              <w:rPr>
                <w:rFonts w:ascii="Calibri" w:eastAsia="Calibri" w:hAnsi="Calibri"/>
                <w:b/>
                <w:color w:val="013161"/>
                <w:szCs w:val="22"/>
              </w:rPr>
              <w:t>1</w:t>
            </w:r>
          </w:p>
        </w:tc>
      </w:tr>
    </w:tbl>
    <w:tbl>
      <w:tblPr>
        <w:tblpPr w:leftFromText="180" w:rightFromText="180" w:vertAnchor="text" w:horzAnchor="margin" w:tblpXSpec="right" w:tblpY="9041"/>
        <w:tblW w:w="7128" w:type="dxa"/>
        <w:tblBorders>
          <w:top w:val="single" w:sz="18" w:space="0" w:color="F6872B"/>
          <w:bottom w:val="single" w:sz="18" w:space="0" w:color="F6872B"/>
        </w:tblBorders>
        <w:tblLook w:val="04A0" w:firstRow="1" w:lastRow="0" w:firstColumn="1" w:lastColumn="0" w:noHBand="0" w:noVBand="1"/>
      </w:tblPr>
      <w:tblGrid>
        <w:gridCol w:w="3528"/>
        <w:gridCol w:w="3600"/>
      </w:tblGrid>
      <w:tr w:rsidR="001320FE" w:rsidRPr="00ED1D85" w:rsidTr="001320FE">
        <w:trPr>
          <w:trHeight w:val="405"/>
        </w:trPr>
        <w:tc>
          <w:tcPr>
            <w:tcW w:w="7128" w:type="dxa"/>
            <w:gridSpan w:val="2"/>
            <w:shd w:val="clear" w:color="auto" w:fill="013161"/>
          </w:tcPr>
          <w:p w:rsidR="001320FE" w:rsidRPr="000055D1" w:rsidRDefault="001320FE" w:rsidP="001320FE">
            <w:pPr>
              <w:spacing w:after="0" w:line="240" w:lineRule="auto"/>
              <w:jc w:val="center"/>
              <w:rPr>
                <w:rFonts w:ascii="Calibri" w:eastAsia="Times New Roman" w:hAnsi="Calibri" w:cs="Arial"/>
                <w:b/>
                <w:bCs/>
              </w:rPr>
            </w:pPr>
            <w:r>
              <w:rPr>
                <w:rFonts w:ascii="Calibri" w:hAnsi="Calibri"/>
                <w:b/>
                <w:color w:val="FFFFFF"/>
                <w:sz w:val="24"/>
              </w:rPr>
              <w:t>Exhibit 43. County of San Diego</w:t>
            </w:r>
            <w:r w:rsidRPr="00C51904">
              <w:rPr>
                <w:rFonts w:ascii="Calibri" w:hAnsi="Calibri"/>
                <w:b/>
                <w:color w:val="FFFFFF"/>
                <w:sz w:val="24"/>
              </w:rPr>
              <w:t xml:space="preserve"> </w:t>
            </w:r>
            <w:r>
              <w:rPr>
                <w:rFonts w:ascii="Calibri" w:hAnsi="Calibri"/>
                <w:b/>
                <w:color w:val="FFFFFF"/>
                <w:sz w:val="24"/>
              </w:rPr>
              <w:t>CWS: Salary by Position</w:t>
            </w:r>
          </w:p>
        </w:tc>
      </w:tr>
      <w:tr w:rsidR="001320FE" w:rsidRPr="00ED1D85" w:rsidTr="001320FE">
        <w:trPr>
          <w:trHeight w:val="304"/>
        </w:trPr>
        <w:tc>
          <w:tcPr>
            <w:tcW w:w="3528" w:type="dxa"/>
            <w:shd w:val="clear" w:color="auto" w:fill="013161"/>
          </w:tcPr>
          <w:p w:rsidR="001320FE" w:rsidRPr="00721EF1" w:rsidRDefault="001320FE" w:rsidP="001320FE">
            <w:pPr>
              <w:spacing w:after="0" w:line="240" w:lineRule="auto"/>
              <w:rPr>
                <w:rFonts w:ascii="Calibri" w:eastAsia="Times New Roman" w:hAnsi="Calibri" w:cs="Arial"/>
                <w:b/>
                <w:bCs/>
                <w:color w:val="FFFFFF"/>
              </w:rPr>
            </w:pPr>
            <w:r>
              <w:rPr>
                <w:rFonts w:ascii="Calibri" w:eastAsia="Times New Roman" w:hAnsi="Calibri" w:cs="Arial"/>
                <w:b/>
                <w:bCs/>
                <w:color w:val="FFFFFF"/>
              </w:rPr>
              <w:t>Position</w:t>
            </w:r>
          </w:p>
        </w:tc>
        <w:tc>
          <w:tcPr>
            <w:tcW w:w="3600" w:type="dxa"/>
            <w:shd w:val="clear" w:color="auto" w:fill="013161"/>
          </w:tcPr>
          <w:p w:rsidR="001320FE" w:rsidRPr="00721EF1" w:rsidRDefault="001320FE" w:rsidP="001320FE">
            <w:pPr>
              <w:spacing w:after="0" w:line="240" w:lineRule="auto"/>
              <w:jc w:val="center"/>
              <w:rPr>
                <w:rFonts w:ascii="Calibri" w:eastAsia="Times New Roman" w:hAnsi="Calibri" w:cs="Arial"/>
                <w:b/>
                <w:bCs/>
                <w:color w:val="FFFFFF"/>
              </w:rPr>
            </w:pPr>
            <w:r>
              <w:rPr>
                <w:rFonts w:ascii="Calibri" w:eastAsia="Times New Roman" w:hAnsi="Calibri" w:cs="Arial"/>
                <w:b/>
                <w:bCs/>
                <w:color w:val="FFFFFF"/>
              </w:rPr>
              <w:t>Salary Range</w:t>
            </w:r>
          </w:p>
        </w:tc>
      </w:tr>
      <w:tr w:rsidR="001320FE" w:rsidRPr="00ED1D85" w:rsidTr="001320FE">
        <w:trPr>
          <w:trHeight w:val="304"/>
        </w:trPr>
        <w:tc>
          <w:tcPr>
            <w:tcW w:w="3528" w:type="dxa"/>
            <w:shd w:val="clear" w:color="auto" w:fill="auto"/>
          </w:tcPr>
          <w:p w:rsidR="001320FE" w:rsidRPr="004C6FE7" w:rsidRDefault="001320FE" w:rsidP="001320FE">
            <w:pPr>
              <w:spacing w:after="0" w:line="240" w:lineRule="auto"/>
              <w:rPr>
                <w:rFonts w:ascii="Calibri" w:eastAsia="Calibri" w:hAnsi="Calibri"/>
                <w:b/>
                <w:color w:val="013161"/>
                <w:szCs w:val="22"/>
              </w:rPr>
            </w:pPr>
            <w:r w:rsidRPr="004C6FE7">
              <w:rPr>
                <w:rFonts w:ascii="Calibri" w:eastAsia="Calibri" w:hAnsi="Calibri"/>
                <w:b/>
                <w:color w:val="013161"/>
                <w:szCs w:val="22"/>
              </w:rPr>
              <w:t>Social Worker II</w:t>
            </w:r>
          </w:p>
        </w:tc>
        <w:tc>
          <w:tcPr>
            <w:tcW w:w="3600" w:type="dxa"/>
            <w:shd w:val="clear" w:color="auto" w:fill="auto"/>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$39,395.20-$48,505.60</w:t>
            </w:r>
          </w:p>
        </w:tc>
      </w:tr>
      <w:tr w:rsidR="001320FE" w:rsidRPr="00ED1D85" w:rsidTr="001320FE">
        <w:trPr>
          <w:trHeight w:val="304"/>
        </w:trPr>
        <w:tc>
          <w:tcPr>
            <w:tcW w:w="3528" w:type="dxa"/>
            <w:shd w:val="clear" w:color="auto" w:fill="DBE5F1"/>
          </w:tcPr>
          <w:p w:rsidR="001320FE" w:rsidRPr="004C6FE7" w:rsidRDefault="001320FE" w:rsidP="001320FE">
            <w:pPr>
              <w:spacing w:after="0" w:line="240" w:lineRule="auto"/>
              <w:rPr>
                <w:rFonts w:ascii="Calibri" w:eastAsia="Calibri" w:hAnsi="Calibri"/>
                <w:b/>
                <w:color w:val="013161"/>
                <w:szCs w:val="22"/>
              </w:rPr>
            </w:pPr>
            <w:r w:rsidRPr="004C6FE7">
              <w:rPr>
                <w:rFonts w:ascii="Calibri" w:eastAsia="Calibri" w:hAnsi="Calibri"/>
                <w:b/>
                <w:color w:val="013161"/>
                <w:szCs w:val="22"/>
              </w:rPr>
              <w:t>Social Worker III</w:t>
            </w:r>
          </w:p>
        </w:tc>
        <w:tc>
          <w:tcPr>
            <w:tcW w:w="3600" w:type="dxa"/>
            <w:shd w:val="clear" w:color="auto" w:fill="DBE5F1"/>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$45,676.80-$56,160.00</w:t>
            </w:r>
          </w:p>
        </w:tc>
      </w:tr>
      <w:tr w:rsidR="001320FE" w:rsidRPr="00ED1D85" w:rsidTr="001320FE">
        <w:trPr>
          <w:trHeight w:val="304"/>
        </w:trPr>
        <w:tc>
          <w:tcPr>
            <w:tcW w:w="3528" w:type="dxa"/>
            <w:shd w:val="clear" w:color="auto" w:fill="auto"/>
          </w:tcPr>
          <w:p w:rsidR="001320FE" w:rsidRPr="004C6FE7" w:rsidRDefault="001320FE" w:rsidP="001320FE">
            <w:pPr>
              <w:spacing w:after="0" w:line="240" w:lineRule="auto"/>
              <w:rPr>
                <w:rFonts w:ascii="Calibri" w:eastAsia="Calibri" w:hAnsi="Calibri"/>
                <w:b/>
                <w:color w:val="013161"/>
                <w:szCs w:val="22"/>
              </w:rPr>
            </w:pPr>
            <w:r w:rsidRPr="004C6FE7">
              <w:rPr>
                <w:rFonts w:ascii="Calibri" w:eastAsia="Calibri" w:hAnsi="Calibri"/>
                <w:b/>
                <w:color w:val="013161"/>
                <w:szCs w:val="22"/>
              </w:rPr>
              <w:t>Social Worker Supervisor</w:t>
            </w:r>
          </w:p>
        </w:tc>
        <w:tc>
          <w:tcPr>
            <w:tcW w:w="3600" w:type="dxa"/>
            <w:shd w:val="clear" w:color="auto" w:fill="auto"/>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$53,580.80-$65,811.20</w:t>
            </w:r>
          </w:p>
        </w:tc>
      </w:tr>
      <w:tr w:rsidR="001320FE" w:rsidRPr="00ED1D85" w:rsidTr="001320FE">
        <w:trPr>
          <w:trHeight w:val="304"/>
        </w:trPr>
        <w:tc>
          <w:tcPr>
            <w:tcW w:w="3528" w:type="dxa"/>
            <w:shd w:val="clear" w:color="auto" w:fill="DBE5F1"/>
          </w:tcPr>
          <w:p w:rsidR="001320FE" w:rsidRPr="004C6FE7" w:rsidRDefault="001320FE" w:rsidP="001320FE">
            <w:pPr>
              <w:spacing w:after="0" w:line="240" w:lineRule="auto"/>
              <w:rPr>
                <w:rFonts w:ascii="Calibri" w:eastAsia="Calibri" w:hAnsi="Calibri"/>
                <w:b/>
                <w:color w:val="013161"/>
                <w:szCs w:val="22"/>
              </w:rPr>
            </w:pPr>
            <w:r w:rsidRPr="004C6FE7">
              <w:rPr>
                <w:rFonts w:ascii="Calibri" w:eastAsia="Calibri" w:hAnsi="Calibri"/>
                <w:b/>
                <w:color w:val="013161"/>
                <w:szCs w:val="22"/>
              </w:rPr>
              <w:t>Protective Services Worker</w:t>
            </w:r>
          </w:p>
        </w:tc>
        <w:tc>
          <w:tcPr>
            <w:tcW w:w="3600" w:type="dxa"/>
            <w:shd w:val="clear" w:color="auto" w:fill="DBE5F1"/>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$49,316.80-$63,627.20</w:t>
            </w:r>
          </w:p>
        </w:tc>
      </w:tr>
      <w:tr w:rsidR="001320FE" w:rsidRPr="00ED1D85" w:rsidTr="001320FE">
        <w:trPr>
          <w:trHeight w:val="304"/>
        </w:trPr>
        <w:tc>
          <w:tcPr>
            <w:tcW w:w="3528" w:type="dxa"/>
            <w:shd w:val="clear" w:color="auto" w:fill="auto"/>
          </w:tcPr>
          <w:p w:rsidR="001320FE" w:rsidRPr="004C6FE7" w:rsidRDefault="001320FE" w:rsidP="001320FE">
            <w:pPr>
              <w:spacing w:after="0" w:line="240" w:lineRule="auto"/>
              <w:rPr>
                <w:rFonts w:ascii="Calibri" w:eastAsia="Calibri" w:hAnsi="Calibri"/>
                <w:b/>
                <w:color w:val="013161"/>
                <w:szCs w:val="22"/>
              </w:rPr>
            </w:pPr>
            <w:r w:rsidRPr="004C6FE7">
              <w:rPr>
                <w:rFonts w:ascii="Calibri" w:eastAsia="Calibri" w:hAnsi="Calibri"/>
                <w:b/>
                <w:color w:val="013161"/>
                <w:szCs w:val="22"/>
              </w:rPr>
              <w:t>Sr. Protective Services Worker</w:t>
            </w:r>
          </w:p>
        </w:tc>
        <w:tc>
          <w:tcPr>
            <w:tcW w:w="3600" w:type="dxa"/>
            <w:shd w:val="clear" w:color="auto" w:fill="auto"/>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$55,390.40-$68,099.20</w:t>
            </w:r>
          </w:p>
        </w:tc>
      </w:tr>
      <w:tr w:rsidR="001320FE" w:rsidRPr="00ED1D85" w:rsidTr="001320FE">
        <w:trPr>
          <w:trHeight w:val="304"/>
        </w:trPr>
        <w:tc>
          <w:tcPr>
            <w:tcW w:w="3528" w:type="dxa"/>
            <w:shd w:val="clear" w:color="auto" w:fill="DBE5F1"/>
          </w:tcPr>
          <w:p w:rsidR="001320FE" w:rsidRPr="00DF7471" w:rsidRDefault="001320FE" w:rsidP="001320FE">
            <w:pPr>
              <w:spacing w:after="0" w:line="240" w:lineRule="auto"/>
              <w:rPr>
                <w:rFonts w:ascii="Calibri" w:eastAsia="Times New Roman" w:hAnsi="Calibri" w:cs="Arial"/>
                <w:b/>
                <w:color w:val="013161"/>
                <w:sz w:val="20"/>
              </w:rPr>
            </w:pPr>
            <w:r w:rsidRPr="004C6FE7">
              <w:rPr>
                <w:rFonts w:ascii="Calibri" w:eastAsia="Calibri" w:hAnsi="Calibri"/>
                <w:b/>
                <w:color w:val="013161"/>
                <w:szCs w:val="22"/>
              </w:rPr>
              <w:t>Protective Services Supervisor</w:t>
            </w:r>
          </w:p>
        </w:tc>
        <w:tc>
          <w:tcPr>
            <w:tcW w:w="3600" w:type="dxa"/>
            <w:shd w:val="clear" w:color="auto" w:fill="DBE5F1"/>
            <w:vAlign w:val="center"/>
          </w:tcPr>
          <w:p w:rsidR="001320FE" w:rsidRPr="004C6FE7" w:rsidRDefault="001320FE" w:rsidP="001320FE">
            <w:pPr>
              <w:spacing w:after="0" w:line="240" w:lineRule="auto"/>
              <w:jc w:val="center"/>
              <w:rPr>
                <w:rFonts w:ascii="Calibri" w:eastAsia="Calibri" w:hAnsi="Calibri"/>
                <w:b/>
                <w:color w:val="013161"/>
                <w:szCs w:val="22"/>
              </w:rPr>
            </w:pPr>
            <w:r w:rsidRPr="004C6FE7">
              <w:rPr>
                <w:rFonts w:ascii="Calibri" w:eastAsia="Calibri" w:hAnsi="Calibri"/>
                <w:b/>
                <w:color w:val="013161"/>
                <w:szCs w:val="22"/>
              </w:rPr>
              <w:t>$63,897.60-$78,540.80</w:t>
            </w:r>
          </w:p>
        </w:tc>
      </w:tr>
    </w:tbl>
    <w:p w:rsidR="001320FE" w:rsidRDefault="00D86A11" w:rsidP="001320FE">
      <w:pPr>
        <w:pStyle w:val="NormalWeb"/>
        <w:spacing w:line="276" w:lineRule="auto"/>
        <w:rPr>
          <w:rFonts w:ascii="Franklin Gothic Book" w:eastAsia="Perpetua" w:hAnsi="Franklin Gothic Book"/>
          <w:spacing w:val="20"/>
          <w:sz w:val="22"/>
          <w:szCs w:val="28"/>
        </w:rPr>
      </w:pPr>
      <w:r>
        <w:rPr>
          <w:rFonts w:ascii="Franklin Gothic Book" w:eastAsia="Perpetua" w:hAnsi="Franklin Gothic Book"/>
          <w:spacing w:val="20"/>
          <w:sz w:val="22"/>
          <w:szCs w:val="28"/>
        </w:rPr>
        <w:t xml:space="preserve">Exhibits 40 to 43 present demographic information for the diverse CWS workforce. </w:t>
      </w:r>
      <w:r w:rsidRPr="00967BA5">
        <w:rPr>
          <w:rFonts w:ascii="Franklin Gothic Book" w:eastAsia="Perpetua" w:hAnsi="Franklin Gothic Book"/>
          <w:spacing w:val="20"/>
          <w:sz w:val="22"/>
          <w:szCs w:val="28"/>
        </w:rPr>
        <w:t xml:space="preserve">The current staffing includes Social Worker II, Social Worker III, Social Work Supervisor, Protective Services Worker and Protective Services Supervisor, non-case carrying workers, workers on leave or in Social Worker Initial Training (SWIT) and case carrying workers. </w:t>
      </w:r>
      <w:r w:rsidRPr="00AB4AE4">
        <w:rPr>
          <w:rFonts w:ascii="Franklin Gothic Book" w:eastAsia="Perpetua" w:hAnsi="Franklin Gothic Book"/>
          <w:spacing w:val="20"/>
          <w:sz w:val="22"/>
          <w:szCs w:val="28"/>
        </w:rPr>
        <w:t xml:space="preserve">CWS staff is comprised of 845 members, 722 females and 123 males. 394 staff members have more than six months experience, while 28 members have less than seven months experience. On average, staff members are employed with CWS for nine </w:t>
      </w:r>
      <w:r w:rsidRPr="001C2274">
        <w:rPr>
          <w:rFonts w:ascii="Franklin Gothic Book" w:eastAsia="Perpetua" w:hAnsi="Franklin Gothic Book"/>
          <w:spacing w:val="20"/>
          <w:sz w:val="22"/>
          <w:szCs w:val="28"/>
        </w:rPr>
        <w:t xml:space="preserve">years. The current vacancy rate is 3% with a turnover rate of 5.5-6 staff per month. Current staffing numbers represent an increase from what was reported in the 2011 CSA report and has contributed to the </w:t>
      </w:r>
      <w:r w:rsidRPr="001C2274">
        <w:rPr>
          <w:rFonts w:ascii="Franklin Gothic Book" w:eastAsia="Perpetua" w:hAnsi="Franklin Gothic Book"/>
          <w:spacing w:val="20"/>
          <w:sz w:val="22"/>
          <w:szCs w:val="28"/>
        </w:rPr>
        <w:lastRenderedPageBreak/>
        <w:t>agency’s ability to reduce the average caseload of workers.</w:t>
      </w:r>
      <w:r w:rsidR="0030733F">
        <w:rPr>
          <w:rFonts w:ascii="Franklin Gothic Book" w:eastAsia="Perpetua" w:hAnsi="Franklin Gothic Book"/>
          <w:spacing w:val="20"/>
          <w:sz w:val="22"/>
          <w:szCs w:val="28"/>
        </w:rPr>
        <w:t xml:space="preserve"> </w:t>
      </w:r>
      <w:r w:rsidR="001320FE">
        <w:rPr>
          <w:rFonts w:ascii="Franklin Gothic Book" w:eastAsia="Perpetua" w:hAnsi="Franklin Gothic Book"/>
          <w:spacing w:val="20"/>
          <w:sz w:val="22"/>
          <w:szCs w:val="28"/>
        </w:rPr>
        <w:t>The salaries of CWS workers are dependent upon position and experience. Exhibit 43 provides breakdown of position and salary range.</w:t>
      </w:r>
    </w:p>
    <w:p w:rsidR="001320FE" w:rsidRPr="00B41CF8" w:rsidRDefault="00763E81" w:rsidP="00D86A11">
      <w:pPr>
        <w:pStyle w:val="NormalWeb"/>
        <w:spacing w:line="276" w:lineRule="auto"/>
        <w:rPr>
          <w:rFonts w:ascii="Franklin Gothic Book" w:eastAsia="Perpetua" w:hAnsi="Franklin Gothic Book"/>
          <w:spacing w:val="20"/>
          <w:sz w:val="6"/>
          <w:szCs w:val="28"/>
        </w:rPr>
      </w:pPr>
      <w:r>
        <w:rPr>
          <w:rFonts w:ascii="Franklin Gothic Book" w:hAnsi="Franklin Gothic Book"/>
          <w:noProof/>
          <w:spacing w:val="20"/>
          <w:sz w:val="8"/>
          <w:szCs w:val="28"/>
          <w:lang w:eastAsia="en-US"/>
        </w:rPr>
        <mc:AlternateContent>
          <mc:Choice Requires="wps">
            <w:drawing>
              <wp:anchor distT="91440" distB="91440" distL="182880" distR="182880" simplePos="0" relativeHeight="251664384" behindDoc="1" locked="0" layoutInCell="0" allowOverlap="1">
                <wp:simplePos x="0" y="0"/>
                <wp:positionH relativeFrom="margin">
                  <wp:posOffset>47625</wp:posOffset>
                </wp:positionH>
                <wp:positionV relativeFrom="margin">
                  <wp:posOffset>845185</wp:posOffset>
                </wp:positionV>
                <wp:extent cx="5676900" cy="1094105"/>
                <wp:effectExtent l="0" t="0" r="0" b="0"/>
                <wp:wrapSquare wrapText="bothSides"/>
                <wp:docPr id="26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0941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103E6" w:rsidRPr="0048437F" w:rsidRDefault="009103E6" w:rsidP="00D86A11">
                            <w:pPr>
                              <w:pBdr>
                                <w:top w:val="single" w:sz="4" w:space="0" w:color="A7BFDE"/>
                                <w:bottom w:val="single" w:sz="4" w:space="10" w:color="A7BFDE"/>
                              </w:pBdr>
                              <w:spacing w:after="0"/>
                              <w:jc w:val="center"/>
                              <w:rPr>
                                <w:b/>
                                <w:i/>
                                <w:iCs/>
                                <w:color w:val="2E7029"/>
                                <w:sz w:val="10"/>
                                <w:szCs w:val="28"/>
                              </w:rPr>
                            </w:pPr>
                          </w:p>
                          <w:p w:rsidR="009103E6" w:rsidRPr="00AC7BEA" w:rsidRDefault="009103E6" w:rsidP="00D86A11">
                            <w:pPr>
                              <w:pBdr>
                                <w:top w:val="single" w:sz="4" w:space="0" w:color="A7BFDE"/>
                                <w:bottom w:val="single" w:sz="4" w:space="10" w:color="A7BFDE"/>
                              </w:pBdr>
                              <w:spacing w:after="0"/>
                              <w:jc w:val="center"/>
                              <w:rPr>
                                <w:b/>
                                <w:i/>
                                <w:iCs/>
                                <w:color w:val="2E7029"/>
                                <w:sz w:val="8"/>
                                <w:szCs w:val="18"/>
                              </w:rPr>
                            </w:pPr>
                          </w:p>
                          <w:p w:rsidR="009103E6" w:rsidRDefault="009103E6" w:rsidP="00D86A11">
                            <w:pPr>
                              <w:pBdr>
                                <w:top w:val="single" w:sz="4" w:space="0" w:color="A7BFDE"/>
                                <w:bottom w:val="single" w:sz="4" w:space="10" w:color="A7BFDE"/>
                              </w:pBdr>
                              <w:spacing w:after="0"/>
                              <w:jc w:val="center"/>
                              <w:rPr>
                                <w:b/>
                                <w:i/>
                                <w:iCs/>
                                <w:color w:val="2E7029"/>
                                <w:sz w:val="28"/>
                                <w:szCs w:val="28"/>
                              </w:rPr>
                            </w:pPr>
                            <w:r>
                              <w:rPr>
                                <w:b/>
                                <w:i/>
                                <w:iCs/>
                                <w:color w:val="2E7029"/>
                                <w:sz w:val="28"/>
                                <w:szCs w:val="28"/>
                              </w:rPr>
                              <w:t>“I have an understanding of what needs to get done to support families and my level of education makes a difference”</w:t>
                            </w:r>
                          </w:p>
                          <w:p w:rsidR="009103E6" w:rsidRPr="00E22A7C" w:rsidRDefault="009103E6" w:rsidP="00D86A11">
                            <w:pPr>
                              <w:pBdr>
                                <w:top w:val="single" w:sz="4" w:space="0" w:color="A7BFDE"/>
                                <w:bottom w:val="single" w:sz="4" w:space="10" w:color="A7BFDE"/>
                              </w:pBdr>
                              <w:spacing w:after="0"/>
                              <w:jc w:val="center"/>
                              <w:rPr>
                                <w:b/>
                                <w:i/>
                                <w:iCs/>
                                <w:color w:val="2E7029"/>
                                <w:sz w:val="28"/>
                                <w:szCs w:val="28"/>
                              </w:rPr>
                            </w:pPr>
                            <w:r w:rsidRPr="004D2A28">
                              <w:rPr>
                                <w:b/>
                                <w:i/>
                                <w:iCs/>
                                <w:color w:val="F6872B"/>
                                <w:sz w:val="28"/>
                                <w:szCs w:val="28"/>
                              </w:rPr>
                              <w:t xml:space="preserve">- </w:t>
                            </w:r>
                            <w:r>
                              <w:rPr>
                                <w:b/>
                                <w:i/>
                                <w:iCs/>
                                <w:color w:val="F6872B"/>
                                <w:sz w:val="28"/>
                                <w:szCs w:val="28"/>
                              </w:rPr>
                              <w:t>Peer Review participant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0" o:spid="_x0000_s1065" style="position:absolute;margin-left:3.75pt;margin-top:66.55pt;width:447pt;height:86.15pt;z-index:-251652096;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" o:allowincell="f" filled="f" stroked="f" strokecolor="#90b5e3" strokeweight="6pt">
                <v:textbox inset="0,0,0,0">
                  <w:txbxContent>
                    <w:p w:rsidR="009103E6" w:rsidRPr="0048437F" w:rsidRDefault="009103E6" w:rsidP="00D86A11">
                      <w:pPr>
                        <w:pBdr>
                          <w:top w:val="single" w:sz="4" w:space="0" w:color="A7BFDE"/>
                          <w:bottom w:val="single" w:sz="4" w:space="10" w:color="A7BFDE"/>
                        </w:pBdr>
                        <w:spacing w:after="0"/>
                        <w:jc w:val="center"/>
                        <w:rPr>
                          <w:b/>
                          <w:i/>
                          <w:iCs/>
                          <w:color w:val="2E7029"/>
                          <w:sz w:val="10"/>
                          <w:szCs w:val="28"/>
                        </w:rPr>
                      </w:pPr>
                    </w:p>
                    <w:p w:rsidR="009103E6" w:rsidRPr="00AC7BEA" w:rsidRDefault="009103E6" w:rsidP="00D86A11">
                      <w:pPr>
                        <w:pBdr>
                          <w:top w:val="single" w:sz="4" w:space="0" w:color="A7BFDE"/>
                          <w:bottom w:val="single" w:sz="4" w:space="10" w:color="A7BFDE"/>
                        </w:pBdr>
                        <w:spacing w:after="0"/>
                        <w:jc w:val="center"/>
                        <w:rPr>
                          <w:b/>
                          <w:i/>
                          <w:iCs/>
                          <w:color w:val="2E7029"/>
                          <w:sz w:val="8"/>
                          <w:szCs w:val="18"/>
                        </w:rPr>
                      </w:pPr>
                    </w:p>
                    <w:p w:rsidR="009103E6" w:rsidRDefault="009103E6" w:rsidP="00D86A11">
                      <w:pPr>
                        <w:pBdr>
                          <w:top w:val="single" w:sz="4" w:space="0" w:color="A7BFDE"/>
                          <w:bottom w:val="single" w:sz="4" w:space="10" w:color="A7BFDE"/>
                        </w:pBdr>
                        <w:spacing w:after="0"/>
                        <w:jc w:val="center"/>
                        <w:rPr>
                          <w:b/>
                          <w:i/>
                          <w:iCs/>
                          <w:color w:val="2E7029"/>
                          <w:sz w:val="28"/>
                          <w:szCs w:val="28"/>
                        </w:rPr>
                      </w:pPr>
                      <w:r>
                        <w:rPr>
                          <w:b/>
                          <w:i/>
                          <w:iCs/>
                          <w:color w:val="2E7029"/>
                          <w:sz w:val="28"/>
                          <w:szCs w:val="28"/>
                        </w:rPr>
                        <w:t>“I have an understanding of what needs to get done to support families and my level of education makes a difference”</w:t>
                      </w:r>
                    </w:p>
                    <w:p w:rsidR="009103E6" w:rsidRPr="00E22A7C" w:rsidRDefault="009103E6" w:rsidP="00D86A11">
                      <w:pPr>
                        <w:pBdr>
                          <w:top w:val="single" w:sz="4" w:space="0" w:color="A7BFDE"/>
                          <w:bottom w:val="single" w:sz="4" w:space="10" w:color="A7BFDE"/>
                        </w:pBdr>
                        <w:spacing w:after="0"/>
                        <w:jc w:val="center"/>
                        <w:rPr>
                          <w:b/>
                          <w:i/>
                          <w:iCs/>
                          <w:color w:val="2E7029"/>
                          <w:sz w:val="28"/>
                          <w:szCs w:val="28"/>
                        </w:rPr>
                      </w:pPr>
                      <w:r w:rsidRPr="004D2A28">
                        <w:rPr>
                          <w:b/>
                          <w:i/>
                          <w:iCs/>
                          <w:color w:val="F6872B"/>
                          <w:sz w:val="28"/>
                          <w:szCs w:val="28"/>
                        </w:rPr>
                        <w:t xml:space="preserve">- </w:t>
                      </w:r>
                      <w:r>
                        <w:rPr>
                          <w:b/>
                          <w:i/>
                          <w:iCs/>
                          <w:color w:val="F6872B"/>
                          <w:sz w:val="28"/>
                          <w:szCs w:val="28"/>
                        </w:rPr>
                        <w:t>Peer Review participant</w:t>
                      </w:r>
                    </w:p>
                  </w:txbxContent>
                </v:textbox>
                <w10:wrap type="square" anchorx="margin" anchory="margin"/>
              </v:rect>
            </w:pict>
          </mc:Fallback>
        </mc:AlternateContent>
      </w:r>
    </w:p>
    <w:p w:rsidR="00D86A11" w:rsidRPr="005D5CBA" w:rsidRDefault="00D86A11" w:rsidP="00BA6A61">
      <w:pPr>
        <w:spacing w:after="0"/>
        <w:rPr>
          <w:vanish/>
        </w:rPr>
      </w:pPr>
    </w:p>
    <w:p w:rsidR="00D86A11" w:rsidRPr="00352E56" w:rsidRDefault="00D86A11" w:rsidP="00BA6A61">
      <w:pPr>
        <w:spacing w:after="0"/>
        <w:rPr>
          <w:vanish/>
        </w:rPr>
      </w:pPr>
    </w:p>
    <w:p w:rsidR="00D86A11" w:rsidRDefault="00D86A11" w:rsidP="00BA6A61">
      <w:pPr>
        <w:rPr>
          <w:rFonts w:ascii="Franklin Gothic Book" w:hAnsi="Franklin Gothic Book"/>
          <w:color w:val="auto"/>
          <w:spacing w:val="20"/>
          <w:szCs w:val="28"/>
        </w:rPr>
      </w:pPr>
      <w:r w:rsidRPr="002C76A1">
        <w:rPr>
          <w:rFonts w:ascii="Franklin Gothic Book" w:hAnsi="Franklin Gothic Book"/>
          <w:color w:val="auto"/>
          <w:spacing w:val="20"/>
          <w:szCs w:val="28"/>
        </w:rPr>
        <w:t>The average wor</w:t>
      </w:r>
      <w:r>
        <w:rPr>
          <w:rFonts w:ascii="Franklin Gothic Book" w:hAnsi="Franklin Gothic Book"/>
          <w:color w:val="auto"/>
          <w:spacing w:val="20"/>
          <w:szCs w:val="28"/>
        </w:rPr>
        <w:t>ker caseload for investigations, court intervention worker, and ongoing</w:t>
      </w:r>
      <w:r w:rsidRPr="002C76A1">
        <w:rPr>
          <w:rFonts w:ascii="Franklin Gothic Book" w:hAnsi="Franklin Gothic Book"/>
          <w:color w:val="auto"/>
          <w:spacing w:val="20"/>
          <w:szCs w:val="28"/>
        </w:rPr>
        <w:t xml:space="preserve"> case carrying workers providing </w:t>
      </w:r>
      <w:r>
        <w:rPr>
          <w:rFonts w:ascii="Franklin Gothic Book" w:hAnsi="Franklin Gothic Book"/>
          <w:color w:val="auto"/>
          <w:spacing w:val="20"/>
          <w:szCs w:val="28"/>
        </w:rPr>
        <w:t>continuing services to families vary greatly. Exhibit 44 provides the average caseload based on position.</w:t>
      </w:r>
    </w:p>
    <w:p w:rsidR="000B1863" w:rsidRDefault="00D86A11" w:rsidP="00B41CF8">
      <w:pPr>
        <w:pStyle w:val="ColorfulList-Accent11"/>
        <w:spacing w:line="276" w:lineRule="auto"/>
        <w:ind w:left="0"/>
        <w:jc w:val="center"/>
        <w:rPr>
          <w:rFonts w:ascii="Calibri" w:hAnsi="Calibri"/>
          <w:b/>
          <w:color w:val="17365D"/>
          <w:spacing w:val="20"/>
          <w:sz w:val="24"/>
          <w:szCs w:val="22"/>
        </w:rPr>
      </w:pPr>
      <w:r w:rsidRPr="006040F3">
        <w:rPr>
          <w:rFonts w:ascii="Calibri" w:hAnsi="Calibri"/>
          <w:b/>
          <w:color w:val="17365D"/>
          <w:spacing w:val="20"/>
          <w:sz w:val="24"/>
          <w:szCs w:val="22"/>
        </w:rPr>
        <w:t xml:space="preserve">Exhibit </w:t>
      </w:r>
      <w:r>
        <w:rPr>
          <w:rFonts w:ascii="Calibri" w:hAnsi="Calibri"/>
          <w:b/>
          <w:color w:val="17365D"/>
          <w:spacing w:val="20"/>
          <w:sz w:val="24"/>
          <w:szCs w:val="22"/>
        </w:rPr>
        <w:t>44</w:t>
      </w:r>
      <w:r w:rsidRPr="006040F3">
        <w:rPr>
          <w:rFonts w:ascii="Calibri" w:hAnsi="Calibri"/>
          <w:b/>
          <w:color w:val="17365D"/>
          <w:spacing w:val="20"/>
          <w:sz w:val="24"/>
          <w:szCs w:val="22"/>
        </w:rPr>
        <w:t xml:space="preserve">. </w:t>
      </w:r>
      <w:r>
        <w:rPr>
          <w:rFonts w:ascii="Calibri" w:hAnsi="Calibri"/>
          <w:b/>
          <w:color w:val="17365D"/>
          <w:spacing w:val="20"/>
          <w:sz w:val="24"/>
          <w:szCs w:val="22"/>
        </w:rPr>
        <w:t>County of San Diego Child Welfare Services Staffing</w:t>
      </w:r>
    </w:p>
    <w:p w:rsidR="00B41CF8" w:rsidRPr="00B41CF8" w:rsidRDefault="00B41CF8">
      <w:pPr>
        <w:pStyle w:val="ColorfulList-Accent11"/>
        <w:spacing w:line="276" w:lineRule="auto"/>
        <w:ind w:left="0"/>
        <w:rPr>
          <w:rFonts w:ascii="Calibri" w:hAnsi="Calibri"/>
          <w:b/>
          <w:color w:val="17365D"/>
          <w:spacing w:val="20"/>
          <w:sz w:val="10"/>
          <w:szCs w:val="22"/>
        </w:rPr>
      </w:pPr>
    </w:p>
    <w:p w:rsidR="00D86A11" w:rsidRDefault="000B1863" w:rsidP="00D86A11">
      <w:pPr>
        <w:rPr>
          <w:rFonts w:ascii="Franklin Gothic Book" w:hAnsi="Franklin Gothic Book"/>
          <w:color w:val="auto"/>
          <w:spacing w:val="20"/>
          <w:szCs w:val="28"/>
        </w:rPr>
      </w:pPr>
      <w:r>
        <w:rPr>
          <w:noProof/>
        </w:rPr>
        <w:drawing>
          <wp:inline distT="0" distB="0" distL="0" distR="0">
            <wp:extent cx="5799933" cy="3237142"/>
            <wp:effectExtent l="0" t="0" r="0" b="190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srcRect l="27243" t="40768" r="21973" b="13846"/>
                    <a:stretch/>
                  </pic:blipFill>
                  <pic:spPr bwMode="auto">
                    <a:xfrm>
                      <a:off x="0" y="0"/>
                      <a:ext cx="5796578" cy="3235270"/>
                    </a:xfrm>
                    <a:prstGeom prst="rect">
                      <a:avLst/>
                    </a:prstGeom>
                    <a:noFill/>
                    <a:ln>
                      <a:noFill/>
                    </a:ln>
                    <a:extLst>
                      <a:ext uri="{53640926-AAD7-44D8-BBD7-CCE9431645EC}">
                        <a14:shadowObscured xmlns:a14="http://schemas.microsoft.com/office/drawing/2010/main"/>
                      </a:ext>
                    </a:extLst>
                  </pic:spPr>
                </pic:pic>
              </a:graphicData>
            </a:graphic>
          </wp:inline>
        </w:drawing>
      </w:r>
    </w:p>
    <w:p w:rsidR="00D86A11" w:rsidRPr="00BA6A61" w:rsidRDefault="00D86A11" w:rsidP="00BA6A61">
      <w:pPr>
        <w:pStyle w:val="Heading1"/>
        <w:spacing w:line="276" w:lineRule="auto"/>
        <w:rPr>
          <w:b w:val="0"/>
          <w:color w:val="auto"/>
          <w:sz w:val="22"/>
          <w:szCs w:val="28"/>
        </w:rPr>
      </w:pPr>
      <w:r w:rsidRPr="00BA6A61">
        <w:rPr>
          <w:b w:val="0"/>
          <w:color w:val="auto"/>
          <w:sz w:val="22"/>
          <w:szCs w:val="28"/>
        </w:rPr>
        <w:t>The local bargaining unit for CWS social workers is the Local Service Employees International Union (SEIU 221). CWS management has monthly meetings with SEIU Union Representatives and staff. During the past twelve months union issues have involved statistical measurements and out of County travel.</w:t>
      </w:r>
    </w:p>
    <w:p w:rsidR="008A14CF" w:rsidRDefault="008A14CF" w:rsidP="00D86A11">
      <w:pPr>
        <w:pStyle w:val="Heading2"/>
        <w:rPr>
          <w:rStyle w:val="Heading1Char"/>
          <w:b/>
          <w:color w:val="F6872B"/>
          <w:sz w:val="24"/>
        </w:rPr>
      </w:pPr>
    </w:p>
    <w:p w:rsidR="008A14CF" w:rsidRDefault="008A14CF">
      <w:pPr>
        <w:spacing w:after="0" w:line="240" w:lineRule="auto"/>
        <w:rPr>
          <w:rStyle w:val="Heading1Char"/>
          <w:color w:val="F6872B"/>
          <w:sz w:val="24"/>
        </w:rPr>
      </w:pPr>
      <w:r>
        <w:rPr>
          <w:rStyle w:val="Heading1Char"/>
          <w:b w:val="0"/>
          <w:color w:val="F6872B"/>
          <w:sz w:val="24"/>
        </w:rPr>
        <w:br w:type="page"/>
      </w:r>
    </w:p>
    <w:p w:rsidR="00D86A11" w:rsidRPr="00BA6A61" w:rsidRDefault="00D86A11" w:rsidP="00BA6A61">
      <w:pPr>
        <w:pStyle w:val="Heading2"/>
        <w:spacing w:line="360" w:lineRule="auto"/>
        <w:rPr>
          <w:rStyle w:val="Heading1Char"/>
          <w:b/>
          <w:color w:val="F6872B"/>
          <w:sz w:val="24"/>
        </w:rPr>
      </w:pPr>
      <w:r w:rsidRPr="00BA6A61">
        <w:rPr>
          <w:rStyle w:val="Heading1Char"/>
          <w:b/>
          <w:color w:val="F6872B"/>
          <w:sz w:val="24"/>
        </w:rPr>
        <w:lastRenderedPageBreak/>
        <w:t>County of San Diego Probation Department (SDCPD) Staffing</w:t>
      </w:r>
    </w:p>
    <w:tbl>
      <w:tblPr>
        <w:tblpPr w:leftFromText="180" w:rightFromText="180" w:vertAnchor="text" w:horzAnchor="margin" w:tblpXSpec="right" w:tblpY="796"/>
        <w:tblW w:w="6858" w:type="dxa"/>
        <w:tblBorders>
          <w:top w:val="single" w:sz="18" w:space="0" w:color="F6872B"/>
          <w:bottom w:val="single" w:sz="18" w:space="0" w:color="F6872B"/>
        </w:tblBorders>
        <w:tblLook w:val="0620" w:firstRow="1" w:lastRow="0" w:firstColumn="0" w:lastColumn="0" w:noHBand="1" w:noVBand="1"/>
      </w:tblPr>
      <w:tblGrid>
        <w:gridCol w:w="4698"/>
        <w:gridCol w:w="2160"/>
      </w:tblGrid>
      <w:tr w:rsidR="00280BAF" w:rsidRPr="00947703" w:rsidTr="00BA6A61">
        <w:trPr>
          <w:trHeight w:val="549"/>
        </w:trPr>
        <w:tc>
          <w:tcPr>
            <w:tcW w:w="6858" w:type="dxa"/>
            <w:gridSpan w:val="2"/>
            <w:shd w:val="clear" w:color="auto" w:fill="013161"/>
            <w:vAlign w:val="center"/>
          </w:tcPr>
          <w:p w:rsidR="00280BAF" w:rsidRPr="00947703" w:rsidRDefault="00280BAF" w:rsidP="00280BAF">
            <w:pPr>
              <w:spacing w:after="0" w:line="240" w:lineRule="auto"/>
              <w:jc w:val="center"/>
              <w:rPr>
                <w:rFonts w:ascii="Calibri" w:eastAsia="Calibri" w:hAnsi="Calibri"/>
                <w:b/>
                <w:bCs/>
                <w:color w:val="FFFFFF"/>
                <w:sz w:val="24"/>
                <w:szCs w:val="24"/>
              </w:rPr>
            </w:pPr>
            <w:r w:rsidRPr="00947703">
              <w:rPr>
                <w:rFonts w:ascii="Calibri" w:eastAsia="Calibri" w:hAnsi="Calibri"/>
                <w:b/>
                <w:bCs/>
                <w:color w:val="FFFFFF"/>
                <w:sz w:val="24"/>
                <w:szCs w:val="24"/>
              </w:rPr>
              <w:t xml:space="preserve">Exhibit </w:t>
            </w:r>
            <w:r>
              <w:rPr>
                <w:rFonts w:ascii="Calibri" w:eastAsia="Calibri" w:hAnsi="Calibri"/>
                <w:b/>
                <w:bCs/>
                <w:color w:val="FFFFFF"/>
                <w:sz w:val="24"/>
                <w:szCs w:val="24"/>
              </w:rPr>
              <w:t>45</w:t>
            </w:r>
            <w:r w:rsidRPr="00947703">
              <w:rPr>
                <w:rFonts w:ascii="Calibri" w:eastAsia="Calibri" w:hAnsi="Calibri"/>
                <w:b/>
                <w:bCs/>
                <w:color w:val="FFFFFF"/>
                <w:sz w:val="24"/>
                <w:szCs w:val="24"/>
              </w:rPr>
              <w:t>.</w:t>
            </w:r>
            <w:r>
              <w:rPr>
                <w:rFonts w:ascii="Calibri" w:eastAsia="Calibri" w:hAnsi="Calibri"/>
                <w:b/>
                <w:bCs/>
                <w:color w:val="FFFFFF"/>
                <w:sz w:val="24"/>
                <w:szCs w:val="24"/>
              </w:rPr>
              <w:t xml:space="preserve"> County of San Diego</w:t>
            </w:r>
            <w:r w:rsidRPr="00947703">
              <w:rPr>
                <w:rFonts w:ascii="Calibri" w:eastAsia="Calibri" w:hAnsi="Calibri"/>
                <w:b/>
                <w:bCs/>
                <w:color w:val="FFFFFF"/>
                <w:sz w:val="24"/>
                <w:szCs w:val="24"/>
              </w:rPr>
              <w:t xml:space="preserve"> Probation: Staffing Numbers</w:t>
            </w:r>
          </w:p>
        </w:tc>
      </w:tr>
      <w:tr w:rsidR="00280BAF" w:rsidRPr="00947703" w:rsidTr="00BA6A61">
        <w:trPr>
          <w:trHeight w:val="270"/>
        </w:trPr>
        <w:tc>
          <w:tcPr>
            <w:tcW w:w="4698" w:type="dxa"/>
            <w:shd w:val="clear" w:color="auto" w:fill="013161"/>
          </w:tcPr>
          <w:p w:rsidR="00280BAF" w:rsidRPr="00947703" w:rsidRDefault="00280BAF" w:rsidP="00280BAF">
            <w:pPr>
              <w:spacing w:after="0" w:line="240" w:lineRule="auto"/>
              <w:rPr>
                <w:rFonts w:ascii="Calibri" w:eastAsia="Calibri" w:hAnsi="Calibri"/>
                <w:b/>
                <w:bCs/>
                <w:color w:val="FFFFFF"/>
                <w:szCs w:val="22"/>
              </w:rPr>
            </w:pPr>
            <w:r w:rsidRPr="00947703">
              <w:rPr>
                <w:rFonts w:ascii="Calibri" w:eastAsia="Calibri" w:hAnsi="Calibri"/>
                <w:b/>
                <w:bCs/>
                <w:color w:val="FFFFFF"/>
                <w:szCs w:val="22"/>
              </w:rPr>
              <w:t>Position</w:t>
            </w:r>
          </w:p>
        </w:tc>
        <w:tc>
          <w:tcPr>
            <w:tcW w:w="2160" w:type="dxa"/>
            <w:shd w:val="clear" w:color="auto" w:fill="013161"/>
          </w:tcPr>
          <w:p w:rsidR="00280BAF" w:rsidRPr="00947703" w:rsidRDefault="00280BAF" w:rsidP="00280BAF">
            <w:pPr>
              <w:spacing w:after="0" w:line="240" w:lineRule="auto"/>
              <w:jc w:val="center"/>
              <w:rPr>
                <w:rFonts w:ascii="Calibri" w:eastAsia="Calibri" w:hAnsi="Calibri"/>
                <w:b/>
                <w:bCs/>
                <w:color w:val="FFFFFF"/>
                <w:szCs w:val="22"/>
              </w:rPr>
            </w:pPr>
            <w:r w:rsidRPr="00947703">
              <w:rPr>
                <w:rFonts w:ascii="Calibri" w:eastAsia="Calibri" w:hAnsi="Calibri"/>
                <w:b/>
                <w:bCs/>
                <w:color w:val="FFFFFF"/>
                <w:szCs w:val="22"/>
              </w:rPr>
              <w:t>Number of Staff</w:t>
            </w:r>
          </w:p>
        </w:tc>
      </w:tr>
      <w:tr w:rsidR="00280BAF" w:rsidRPr="00947703" w:rsidTr="00BA6A61">
        <w:trPr>
          <w:trHeight w:val="254"/>
        </w:trPr>
        <w:tc>
          <w:tcPr>
            <w:tcW w:w="4698" w:type="dxa"/>
            <w:shd w:val="clear" w:color="auto" w:fill="auto"/>
          </w:tcPr>
          <w:p w:rsidR="00280BAF" w:rsidRPr="00947703" w:rsidRDefault="00280BAF" w:rsidP="00280BAF">
            <w:pPr>
              <w:spacing w:after="0" w:line="240" w:lineRule="auto"/>
              <w:rPr>
                <w:rFonts w:ascii="Calibri" w:eastAsia="Calibri" w:hAnsi="Calibri"/>
                <w:b/>
                <w:color w:val="013161"/>
                <w:szCs w:val="22"/>
              </w:rPr>
            </w:pPr>
            <w:r w:rsidRPr="00947703">
              <w:rPr>
                <w:rFonts w:ascii="Calibri" w:eastAsia="Calibri" w:hAnsi="Calibri"/>
                <w:b/>
                <w:color w:val="013161"/>
                <w:szCs w:val="22"/>
              </w:rPr>
              <w:t>Supervising Probation Officer</w:t>
            </w:r>
          </w:p>
        </w:tc>
        <w:tc>
          <w:tcPr>
            <w:tcW w:w="2160" w:type="dxa"/>
            <w:shd w:val="clear" w:color="auto" w:fill="auto"/>
          </w:tcPr>
          <w:p w:rsidR="00280BAF" w:rsidRPr="00947703" w:rsidRDefault="00280BAF" w:rsidP="00280BAF">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5</w:t>
            </w:r>
          </w:p>
        </w:tc>
      </w:tr>
      <w:tr w:rsidR="00280BAF" w:rsidRPr="00947703" w:rsidTr="00BA6A61">
        <w:trPr>
          <w:trHeight w:val="270"/>
        </w:trPr>
        <w:tc>
          <w:tcPr>
            <w:tcW w:w="4698" w:type="dxa"/>
            <w:shd w:val="clear" w:color="auto" w:fill="DBE5F1"/>
          </w:tcPr>
          <w:p w:rsidR="00280BAF" w:rsidRPr="00947703" w:rsidRDefault="00280BAF" w:rsidP="00280BAF">
            <w:pPr>
              <w:spacing w:after="0" w:line="240" w:lineRule="auto"/>
              <w:rPr>
                <w:rFonts w:ascii="Calibri" w:eastAsia="Calibri" w:hAnsi="Calibri"/>
                <w:b/>
                <w:color w:val="013161"/>
                <w:szCs w:val="22"/>
              </w:rPr>
            </w:pPr>
            <w:r w:rsidRPr="00947703">
              <w:rPr>
                <w:rFonts w:ascii="Calibri" w:eastAsia="Calibri" w:hAnsi="Calibri"/>
                <w:b/>
                <w:color w:val="013161"/>
                <w:szCs w:val="22"/>
              </w:rPr>
              <w:t>Senior Probation Officer (non-case carrying)</w:t>
            </w:r>
          </w:p>
        </w:tc>
        <w:tc>
          <w:tcPr>
            <w:tcW w:w="2160" w:type="dxa"/>
            <w:shd w:val="clear" w:color="auto" w:fill="DBE5F1"/>
          </w:tcPr>
          <w:p w:rsidR="00280BAF" w:rsidRPr="00947703" w:rsidRDefault="00280BAF" w:rsidP="00280BAF">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5</w:t>
            </w:r>
          </w:p>
        </w:tc>
      </w:tr>
      <w:tr w:rsidR="00280BAF" w:rsidRPr="00947703" w:rsidTr="00BA6A61">
        <w:trPr>
          <w:trHeight w:val="270"/>
        </w:trPr>
        <w:tc>
          <w:tcPr>
            <w:tcW w:w="4698" w:type="dxa"/>
            <w:shd w:val="clear" w:color="auto" w:fill="auto"/>
          </w:tcPr>
          <w:p w:rsidR="00280BAF" w:rsidRPr="00947703" w:rsidRDefault="00280BAF" w:rsidP="00280BAF">
            <w:pPr>
              <w:spacing w:after="0" w:line="240" w:lineRule="auto"/>
              <w:rPr>
                <w:rFonts w:ascii="Calibri" w:eastAsia="Calibri" w:hAnsi="Calibri"/>
                <w:b/>
                <w:color w:val="013161"/>
                <w:szCs w:val="22"/>
              </w:rPr>
            </w:pPr>
            <w:r w:rsidRPr="00947703">
              <w:rPr>
                <w:rFonts w:ascii="Calibri" w:eastAsia="Calibri" w:hAnsi="Calibri"/>
                <w:b/>
                <w:color w:val="013161"/>
                <w:szCs w:val="22"/>
              </w:rPr>
              <w:t>Deputy Probation Officer (case carrying)</w:t>
            </w:r>
          </w:p>
        </w:tc>
        <w:tc>
          <w:tcPr>
            <w:tcW w:w="2160" w:type="dxa"/>
            <w:shd w:val="clear" w:color="auto" w:fill="auto"/>
          </w:tcPr>
          <w:p w:rsidR="00280BAF" w:rsidRPr="00947703" w:rsidRDefault="00280BAF" w:rsidP="00280BAF">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12</w:t>
            </w:r>
          </w:p>
        </w:tc>
      </w:tr>
      <w:tr w:rsidR="00280BAF" w:rsidRPr="00947703" w:rsidTr="00BA6A61">
        <w:trPr>
          <w:trHeight w:val="270"/>
        </w:trPr>
        <w:tc>
          <w:tcPr>
            <w:tcW w:w="4698" w:type="dxa"/>
            <w:shd w:val="clear" w:color="auto" w:fill="DBE5F1"/>
          </w:tcPr>
          <w:p w:rsidR="00280BAF" w:rsidRPr="00947703" w:rsidRDefault="00280BAF" w:rsidP="00280BAF">
            <w:pPr>
              <w:spacing w:after="0" w:line="240" w:lineRule="auto"/>
              <w:rPr>
                <w:rFonts w:ascii="Calibri" w:eastAsia="Calibri" w:hAnsi="Calibri"/>
                <w:b/>
                <w:color w:val="013161"/>
                <w:szCs w:val="22"/>
              </w:rPr>
            </w:pPr>
            <w:r w:rsidRPr="00947703">
              <w:rPr>
                <w:rFonts w:ascii="Calibri" w:eastAsia="Calibri" w:hAnsi="Calibri"/>
                <w:b/>
                <w:color w:val="013161"/>
                <w:szCs w:val="22"/>
              </w:rPr>
              <w:t>Deputy Probation Officer (non-case carrying)</w:t>
            </w:r>
          </w:p>
        </w:tc>
        <w:tc>
          <w:tcPr>
            <w:tcW w:w="2160" w:type="dxa"/>
            <w:shd w:val="clear" w:color="auto" w:fill="DBE5F1"/>
          </w:tcPr>
          <w:p w:rsidR="00280BAF" w:rsidRPr="00947703" w:rsidRDefault="00280BAF" w:rsidP="00280BAF">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5</w:t>
            </w:r>
          </w:p>
        </w:tc>
      </w:tr>
      <w:tr w:rsidR="00280BAF" w:rsidRPr="00947703" w:rsidTr="00BA6A61">
        <w:trPr>
          <w:trHeight w:val="270"/>
        </w:trPr>
        <w:tc>
          <w:tcPr>
            <w:tcW w:w="4698" w:type="dxa"/>
            <w:shd w:val="clear" w:color="auto" w:fill="auto"/>
          </w:tcPr>
          <w:p w:rsidR="00280BAF" w:rsidRPr="00947703" w:rsidRDefault="00280BAF" w:rsidP="00280BAF">
            <w:pPr>
              <w:spacing w:after="0" w:line="240" w:lineRule="auto"/>
              <w:rPr>
                <w:rFonts w:ascii="Calibri" w:eastAsia="Calibri" w:hAnsi="Calibri"/>
                <w:b/>
                <w:color w:val="013161"/>
                <w:szCs w:val="22"/>
              </w:rPr>
            </w:pPr>
            <w:r w:rsidRPr="00947703">
              <w:rPr>
                <w:rFonts w:ascii="Calibri" w:eastAsia="Calibri" w:hAnsi="Calibri"/>
                <w:b/>
                <w:color w:val="013161"/>
                <w:szCs w:val="22"/>
              </w:rPr>
              <w:t>Probation Aide</w:t>
            </w:r>
          </w:p>
        </w:tc>
        <w:tc>
          <w:tcPr>
            <w:tcW w:w="2160" w:type="dxa"/>
            <w:shd w:val="clear" w:color="auto" w:fill="auto"/>
          </w:tcPr>
          <w:p w:rsidR="00280BAF" w:rsidRPr="00947703" w:rsidRDefault="00280BAF" w:rsidP="00280BAF">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4</w:t>
            </w:r>
          </w:p>
        </w:tc>
      </w:tr>
      <w:tr w:rsidR="00280BAF" w:rsidRPr="00947703" w:rsidTr="00BA6A61">
        <w:trPr>
          <w:trHeight w:val="270"/>
        </w:trPr>
        <w:tc>
          <w:tcPr>
            <w:tcW w:w="4698" w:type="dxa"/>
            <w:shd w:val="clear" w:color="auto" w:fill="DBE5F1"/>
          </w:tcPr>
          <w:p w:rsidR="00280BAF" w:rsidRPr="00947703" w:rsidRDefault="00280BAF" w:rsidP="00280BAF">
            <w:pPr>
              <w:spacing w:after="0" w:line="240" w:lineRule="auto"/>
              <w:rPr>
                <w:rFonts w:ascii="Calibri" w:eastAsia="Calibri" w:hAnsi="Calibri"/>
                <w:b/>
                <w:color w:val="013161"/>
                <w:szCs w:val="22"/>
              </w:rPr>
            </w:pPr>
            <w:r w:rsidRPr="00947703">
              <w:rPr>
                <w:rFonts w:ascii="Calibri" w:eastAsia="Calibri" w:hAnsi="Calibri"/>
                <w:b/>
                <w:color w:val="013161"/>
                <w:szCs w:val="22"/>
              </w:rPr>
              <w:t>Retired Probation Officer</w:t>
            </w:r>
          </w:p>
        </w:tc>
        <w:tc>
          <w:tcPr>
            <w:tcW w:w="2160" w:type="dxa"/>
            <w:shd w:val="clear" w:color="auto" w:fill="DBE5F1"/>
          </w:tcPr>
          <w:p w:rsidR="00280BAF" w:rsidRPr="00947703" w:rsidRDefault="00280BAF" w:rsidP="00280BAF">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1</w:t>
            </w:r>
          </w:p>
        </w:tc>
      </w:tr>
      <w:tr w:rsidR="00280BAF" w:rsidRPr="00947703" w:rsidTr="00BA6A61">
        <w:trPr>
          <w:trHeight w:val="270"/>
        </w:trPr>
        <w:tc>
          <w:tcPr>
            <w:tcW w:w="4698" w:type="dxa"/>
            <w:shd w:val="clear" w:color="auto" w:fill="auto"/>
          </w:tcPr>
          <w:p w:rsidR="00280BAF" w:rsidRPr="00947703" w:rsidRDefault="00280BAF" w:rsidP="00280BAF">
            <w:pPr>
              <w:spacing w:after="0" w:line="240" w:lineRule="auto"/>
              <w:rPr>
                <w:rFonts w:ascii="Calibri" w:eastAsia="Calibri" w:hAnsi="Calibri"/>
                <w:b/>
                <w:color w:val="013161"/>
                <w:szCs w:val="22"/>
              </w:rPr>
            </w:pPr>
            <w:r w:rsidRPr="00947703">
              <w:rPr>
                <w:rFonts w:ascii="Calibri" w:eastAsia="Calibri" w:hAnsi="Calibri"/>
                <w:b/>
                <w:color w:val="013161"/>
                <w:szCs w:val="22"/>
              </w:rPr>
              <w:t>Public Health Nurse</w:t>
            </w:r>
          </w:p>
        </w:tc>
        <w:tc>
          <w:tcPr>
            <w:tcW w:w="2160" w:type="dxa"/>
            <w:shd w:val="clear" w:color="auto" w:fill="auto"/>
          </w:tcPr>
          <w:p w:rsidR="00280BAF" w:rsidRPr="00947703" w:rsidRDefault="00280BAF" w:rsidP="00280BAF">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2</w:t>
            </w:r>
          </w:p>
        </w:tc>
      </w:tr>
      <w:tr w:rsidR="00280BAF" w:rsidRPr="00947703" w:rsidTr="00BA6A61">
        <w:trPr>
          <w:trHeight w:val="270"/>
        </w:trPr>
        <w:tc>
          <w:tcPr>
            <w:tcW w:w="4698" w:type="dxa"/>
            <w:shd w:val="clear" w:color="auto" w:fill="DBE5F1"/>
          </w:tcPr>
          <w:p w:rsidR="00280BAF" w:rsidRPr="00947703" w:rsidRDefault="00280BAF" w:rsidP="00280BAF">
            <w:pPr>
              <w:spacing w:after="0" w:line="240" w:lineRule="auto"/>
              <w:rPr>
                <w:rFonts w:ascii="Calibri" w:eastAsia="Calibri" w:hAnsi="Calibri"/>
                <w:b/>
                <w:color w:val="013161"/>
                <w:szCs w:val="22"/>
              </w:rPr>
            </w:pPr>
            <w:r w:rsidRPr="00947703">
              <w:rPr>
                <w:rFonts w:ascii="Calibri" w:eastAsia="Calibri" w:hAnsi="Calibri"/>
                <w:b/>
                <w:color w:val="013161"/>
                <w:szCs w:val="22"/>
              </w:rPr>
              <w:t>Vacancies</w:t>
            </w:r>
          </w:p>
        </w:tc>
        <w:tc>
          <w:tcPr>
            <w:tcW w:w="2160" w:type="dxa"/>
            <w:shd w:val="clear" w:color="auto" w:fill="DBE5F1"/>
          </w:tcPr>
          <w:p w:rsidR="00280BAF" w:rsidRPr="00947703" w:rsidRDefault="00280BAF" w:rsidP="00280BAF">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2</w:t>
            </w:r>
          </w:p>
        </w:tc>
      </w:tr>
      <w:tr w:rsidR="00280BAF" w:rsidRPr="00947703" w:rsidTr="00BA6A61">
        <w:trPr>
          <w:trHeight w:val="270"/>
        </w:trPr>
        <w:tc>
          <w:tcPr>
            <w:tcW w:w="4698" w:type="dxa"/>
            <w:shd w:val="clear" w:color="auto" w:fill="auto"/>
          </w:tcPr>
          <w:p w:rsidR="00280BAF" w:rsidRPr="00947703" w:rsidRDefault="00280BAF" w:rsidP="00280BAF">
            <w:pPr>
              <w:spacing w:after="0" w:line="240" w:lineRule="auto"/>
              <w:rPr>
                <w:rFonts w:ascii="Calibri" w:eastAsia="Calibri" w:hAnsi="Calibri"/>
                <w:b/>
                <w:color w:val="013161"/>
                <w:szCs w:val="22"/>
              </w:rPr>
            </w:pPr>
            <w:r w:rsidRPr="00947703">
              <w:rPr>
                <w:rFonts w:ascii="Calibri" w:eastAsia="Calibri" w:hAnsi="Calibri"/>
                <w:b/>
                <w:color w:val="013161"/>
                <w:szCs w:val="22"/>
              </w:rPr>
              <w:t>Total</w:t>
            </w:r>
          </w:p>
        </w:tc>
        <w:tc>
          <w:tcPr>
            <w:tcW w:w="2160" w:type="dxa"/>
            <w:shd w:val="clear" w:color="auto" w:fill="auto"/>
          </w:tcPr>
          <w:p w:rsidR="00280BAF" w:rsidRPr="00947703" w:rsidRDefault="00280BAF" w:rsidP="00280BAF">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36</w:t>
            </w:r>
          </w:p>
        </w:tc>
      </w:tr>
    </w:tbl>
    <w:tbl>
      <w:tblPr>
        <w:tblpPr w:leftFromText="180" w:rightFromText="180" w:vertAnchor="text" w:horzAnchor="margin" w:tblpXSpec="right" w:tblpY="4501"/>
        <w:tblW w:w="6840" w:type="dxa"/>
        <w:tblBorders>
          <w:top w:val="single" w:sz="18" w:space="0" w:color="F6872B"/>
          <w:bottom w:val="single" w:sz="18" w:space="0" w:color="F6872B"/>
        </w:tblBorders>
        <w:tblLook w:val="0620" w:firstRow="1" w:lastRow="0" w:firstColumn="0" w:lastColumn="0" w:noHBand="1" w:noVBand="1"/>
      </w:tblPr>
      <w:tblGrid>
        <w:gridCol w:w="3510"/>
        <w:gridCol w:w="3330"/>
      </w:tblGrid>
      <w:tr w:rsidR="00BA6A61" w:rsidRPr="00947703" w:rsidTr="00BA6A61">
        <w:trPr>
          <w:trHeight w:val="604"/>
        </w:trPr>
        <w:tc>
          <w:tcPr>
            <w:tcW w:w="6840" w:type="dxa"/>
            <w:gridSpan w:val="2"/>
            <w:shd w:val="clear" w:color="auto" w:fill="013161"/>
            <w:vAlign w:val="center"/>
          </w:tcPr>
          <w:p w:rsidR="00BA6A61" w:rsidRPr="00947703" w:rsidRDefault="00BA6A61" w:rsidP="00BA6A61">
            <w:pPr>
              <w:spacing w:after="0" w:line="240" w:lineRule="auto"/>
              <w:jc w:val="center"/>
              <w:rPr>
                <w:rFonts w:ascii="Calibri" w:eastAsia="Calibri" w:hAnsi="Calibri"/>
                <w:b/>
                <w:bCs/>
                <w:sz w:val="24"/>
                <w:szCs w:val="24"/>
              </w:rPr>
            </w:pPr>
            <w:r w:rsidRPr="00947703">
              <w:rPr>
                <w:rFonts w:ascii="Calibri" w:eastAsia="Calibri" w:hAnsi="Calibri"/>
                <w:b/>
                <w:bCs/>
                <w:color w:val="FFFFFF"/>
                <w:sz w:val="24"/>
                <w:szCs w:val="24"/>
              </w:rPr>
              <w:t xml:space="preserve">Exhibit </w:t>
            </w:r>
            <w:r>
              <w:rPr>
                <w:rFonts w:ascii="Calibri" w:eastAsia="Calibri" w:hAnsi="Calibri"/>
                <w:b/>
                <w:bCs/>
                <w:color w:val="FFFFFF"/>
                <w:sz w:val="24"/>
                <w:szCs w:val="24"/>
              </w:rPr>
              <w:t>46</w:t>
            </w:r>
            <w:r w:rsidRPr="00947703">
              <w:rPr>
                <w:rFonts w:ascii="Calibri" w:eastAsia="Calibri" w:hAnsi="Calibri"/>
                <w:b/>
                <w:bCs/>
                <w:color w:val="FFFFFF"/>
                <w:sz w:val="24"/>
                <w:szCs w:val="24"/>
              </w:rPr>
              <w:t xml:space="preserve">. </w:t>
            </w:r>
            <w:r>
              <w:rPr>
                <w:rFonts w:ascii="Calibri" w:eastAsia="Calibri" w:hAnsi="Calibri"/>
                <w:b/>
                <w:bCs/>
                <w:color w:val="FFFFFF"/>
                <w:sz w:val="24"/>
                <w:szCs w:val="24"/>
              </w:rPr>
              <w:t>County of San Diego</w:t>
            </w:r>
            <w:r w:rsidRPr="00947703">
              <w:rPr>
                <w:rFonts w:ascii="Calibri" w:eastAsia="Calibri" w:hAnsi="Calibri"/>
                <w:b/>
                <w:bCs/>
                <w:color w:val="FFFFFF"/>
                <w:sz w:val="24"/>
                <w:szCs w:val="24"/>
              </w:rPr>
              <w:t xml:space="preserve"> Probation:</w:t>
            </w:r>
            <w:r>
              <w:rPr>
                <w:rFonts w:ascii="Calibri" w:eastAsia="Calibri" w:hAnsi="Calibri"/>
                <w:b/>
                <w:bCs/>
                <w:color w:val="FFFFFF"/>
                <w:sz w:val="24"/>
                <w:szCs w:val="24"/>
              </w:rPr>
              <w:t xml:space="preserve"> </w:t>
            </w:r>
            <w:r w:rsidRPr="00947703">
              <w:rPr>
                <w:rFonts w:ascii="Calibri" w:eastAsia="Calibri" w:hAnsi="Calibri"/>
                <w:b/>
                <w:bCs/>
                <w:color w:val="FFFFFF"/>
                <w:sz w:val="24"/>
                <w:szCs w:val="24"/>
              </w:rPr>
              <w:t>Staffing Race and Ethnicity</w:t>
            </w:r>
          </w:p>
        </w:tc>
      </w:tr>
      <w:tr w:rsidR="00BA6A61" w:rsidRPr="00947703" w:rsidTr="00BA6A61">
        <w:trPr>
          <w:trHeight w:val="279"/>
        </w:trPr>
        <w:tc>
          <w:tcPr>
            <w:tcW w:w="3510" w:type="dxa"/>
            <w:shd w:val="clear" w:color="auto" w:fill="013161"/>
          </w:tcPr>
          <w:p w:rsidR="00BA6A61" w:rsidRPr="00947703" w:rsidRDefault="00BA6A61" w:rsidP="00BA6A61">
            <w:pPr>
              <w:spacing w:after="0" w:line="240" w:lineRule="auto"/>
              <w:rPr>
                <w:rFonts w:ascii="Calibri" w:eastAsia="Calibri" w:hAnsi="Calibri"/>
                <w:b/>
                <w:bCs/>
                <w:color w:val="FFFFFF"/>
                <w:szCs w:val="22"/>
              </w:rPr>
            </w:pPr>
            <w:r w:rsidRPr="00947703">
              <w:rPr>
                <w:rFonts w:ascii="Calibri" w:eastAsia="Calibri" w:hAnsi="Calibri"/>
                <w:b/>
                <w:bCs/>
                <w:color w:val="FFFFFF"/>
                <w:szCs w:val="22"/>
              </w:rPr>
              <w:t>Race/Ethnicity</w:t>
            </w:r>
          </w:p>
        </w:tc>
        <w:tc>
          <w:tcPr>
            <w:tcW w:w="3330" w:type="dxa"/>
            <w:shd w:val="clear" w:color="auto" w:fill="013161"/>
          </w:tcPr>
          <w:p w:rsidR="00BA6A61" w:rsidRPr="00947703" w:rsidRDefault="00BA6A61" w:rsidP="00BA6A61">
            <w:pPr>
              <w:spacing w:after="0" w:line="240" w:lineRule="auto"/>
              <w:jc w:val="center"/>
              <w:rPr>
                <w:rFonts w:ascii="Calibri" w:eastAsia="Calibri" w:hAnsi="Calibri"/>
                <w:b/>
                <w:bCs/>
                <w:color w:val="FFFFFF"/>
                <w:szCs w:val="22"/>
              </w:rPr>
            </w:pPr>
            <w:r w:rsidRPr="00947703">
              <w:rPr>
                <w:rFonts w:ascii="Calibri" w:eastAsia="Calibri" w:hAnsi="Calibri"/>
                <w:b/>
                <w:bCs/>
                <w:color w:val="FFFFFF"/>
                <w:szCs w:val="22"/>
              </w:rPr>
              <w:t>Number of Staff</w:t>
            </w:r>
          </w:p>
        </w:tc>
      </w:tr>
      <w:tr w:rsidR="00BA6A61" w:rsidRPr="00947703" w:rsidTr="00BA6A61">
        <w:trPr>
          <w:trHeight w:val="279"/>
        </w:trPr>
        <w:tc>
          <w:tcPr>
            <w:tcW w:w="3510" w:type="dxa"/>
            <w:shd w:val="clear" w:color="auto" w:fill="auto"/>
          </w:tcPr>
          <w:p w:rsidR="00BA6A61" w:rsidRPr="00947703" w:rsidRDefault="00BA6A61" w:rsidP="00BA6A61">
            <w:pPr>
              <w:spacing w:after="0" w:line="240" w:lineRule="auto"/>
              <w:rPr>
                <w:rFonts w:ascii="Calibri" w:eastAsia="Calibri" w:hAnsi="Calibri"/>
                <w:b/>
                <w:color w:val="013161"/>
                <w:szCs w:val="22"/>
              </w:rPr>
            </w:pPr>
            <w:r w:rsidRPr="00947703">
              <w:rPr>
                <w:rFonts w:ascii="Calibri" w:eastAsia="Calibri" w:hAnsi="Calibri"/>
                <w:b/>
                <w:color w:val="013161"/>
                <w:szCs w:val="22"/>
              </w:rPr>
              <w:t>Black</w:t>
            </w:r>
          </w:p>
        </w:tc>
        <w:tc>
          <w:tcPr>
            <w:tcW w:w="3330" w:type="dxa"/>
            <w:shd w:val="clear" w:color="auto" w:fill="auto"/>
          </w:tcPr>
          <w:p w:rsidR="00BA6A61" w:rsidRPr="00947703" w:rsidRDefault="00BA6A61" w:rsidP="00BA6A61">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6</w:t>
            </w:r>
          </w:p>
        </w:tc>
      </w:tr>
      <w:tr w:rsidR="00BA6A61" w:rsidRPr="00947703" w:rsidTr="00BA6A61">
        <w:trPr>
          <w:trHeight w:val="263"/>
        </w:trPr>
        <w:tc>
          <w:tcPr>
            <w:tcW w:w="3510" w:type="dxa"/>
            <w:shd w:val="clear" w:color="auto" w:fill="DBE5F1"/>
          </w:tcPr>
          <w:p w:rsidR="00BA6A61" w:rsidRPr="00947703" w:rsidRDefault="00BA6A61" w:rsidP="00BA6A61">
            <w:pPr>
              <w:spacing w:after="0" w:line="240" w:lineRule="auto"/>
              <w:rPr>
                <w:rFonts w:ascii="Calibri" w:eastAsia="Calibri" w:hAnsi="Calibri"/>
                <w:b/>
                <w:color w:val="013161"/>
                <w:szCs w:val="22"/>
              </w:rPr>
            </w:pPr>
            <w:r w:rsidRPr="00947703">
              <w:rPr>
                <w:rFonts w:ascii="Calibri" w:eastAsia="Calibri" w:hAnsi="Calibri"/>
                <w:b/>
                <w:color w:val="013161"/>
                <w:szCs w:val="22"/>
              </w:rPr>
              <w:t>Hispanic</w:t>
            </w:r>
          </w:p>
        </w:tc>
        <w:tc>
          <w:tcPr>
            <w:tcW w:w="3330" w:type="dxa"/>
            <w:shd w:val="clear" w:color="auto" w:fill="DBE5F1"/>
          </w:tcPr>
          <w:p w:rsidR="00BA6A61" w:rsidRPr="00947703" w:rsidRDefault="00BA6A61" w:rsidP="00BA6A61">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11</w:t>
            </w:r>
          </w:p>
        </w:tc>
      </w:tr>
      <w:tr w:rsidR="00BA6A61" w:rsidRPr="00947703" w:rsidTr="00BA6A61">
        <w:trPr>
          <w:trHeight w:val="279"/>
        </w:trPr>
        <w:tc>
          <w:tcPr>
            <w:tcW w:w="3510" w:type="dxa"/>
            <w:shd w:val="clear" w:color="auto" w:fill="auto"/>
          </w:tcPr>
          <w:p w:rsidR="00BA6A61" w:rsidRPr="00947703" w:rsidRDefault="00BA6A61" w:rsidP="00BA6A61">
            <w:pPr>
              <w:spacing w:after="0" w:line="240" w:lineRule="auto"/>
              <w:rPr>
                <w:rFonts w:ascii="Calibri" w:eastAsia="Calibri" w:hAnsi="Calibri"/>
                <w:b/>
                <w:color w:val="013161"/>
                <w:szCs w:val="22"/>
              </w:rPr>
            </w:pPr>
            <w:r w:rsidRPr="00947703">
              <w:rPr>
                <w:rFonts w:ascii="Calibri" w:eastAsia="Calibri" w:hAnsi="Calibri"/>
                <w:b/>
                <w:color w:val="013161"/>
                <w:szCs w:val="22"/>
              </w:rPr>
              <w:t>White</w:t>
            </w:r>
          </w:p>
        </w:tc>
        <w:tc>
          <w:tcPr>
            <w:tcW w:w="3330" w:type="dxa"/>
            <w:shd w:val="clear" w:color="auto" w:fill="auto"/>
          </w:tcPr>
          <w:p w:rsidR="00BA6A61" w:rsidRPr="00947703" w:rsidRDefault="00BA6A61" w:rsidP="00BA6A61">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14</w:t>
            </w:r>
          </w:p>
        </w:tc>
      </w:tr>
      <w:tr w:rsidR="00BA6A61" w:rsidRPr="00947703" w:rsidTr="00BA6A61">
        <w:trPr>
          <w:trHeight w:val="279"/>
        </w:trPr>
        <w:tc>
          <w:tcPr>
            <w:tcW w:w="3510" w:type="dxa"/>
            <w:shd w:val="clear" w:color="auto" w:fill="DBE5F1"/>
          </w:tcPr>
          <w:p w:rsidR="00BA6A61" w:rsidRPr="00947703" w:rsidRDefault="00BA6A61" w:rsidP="00BA6A61">
            <w:pPr>
              <w:spacing w:after="0" w:line="240" w:lineRule="auto"/>
              <w:rPr>
                <w:rFonts w:ascii="Calibri" w:eastAsia="Calibri" w:hAnsi="Calibri"/>
                <w:b/>
                <w:color w:val="013161"/>
                <w:szCs w:val="22"/>
              </w:rPr>
            </w:pPr>
            <w:r w:rsidRPr="00947703">
              <w:rPr>
                <w:rFonts w:ascii="Calibri" w:eastAsia="Calibri" w:hAnsi="Calibri"/>
                <w:b/>
                <w:color w:val="013161"/>
                <w:szCs w:val="22"/>
              </w:rPr>
              <w:t>Other</w:t>
            </w:r>
          </w:p>
        </w:tc>
        <w:tc>
          <w:tcPr>
            <w:tcW w:w="3330" w:type="dxa"/>
            <w:shd w:val="clear" w:color="auto" w:fill="DBE5F1"/>
          </w:tcPr>
          <w:p w:rsidR="00BA6A61" w:rsidRPr="00947703" w:rsidRDefault="00BA6A61" w:rsidP="00BA6A61">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2</w:t>
            </w:r>
          </w:p>
        </w:tc>
      </w:tr>
      <w:tr w:rsidR="00BA6A61" w:rsidRPr="00947703" w:rsidTr="00BA6A61">
        <w:trPr>
          <w:trHeight w:val="279"/>
        </w:trPr>
        <w:tc>
          <w:tcPr>
            <w:tcW w:w="3510" w:type="dxa"/>
            <w:shd w:val="clear" w:color="auto" w:fill="auto"/>
          </w:tcPr>
          <w:p w:rsidR="00BA6A61" w:rsidRPr="00947703" w:rsidRDefault="00BA6A61" w:rsidP="00BA6A61">
            <w:pPr>
              <w:spacing w:after="0" w:line="240" w:lineRule="auto"/>
              <w:rPr>
                <w:rFonts w:ascii="Calibri" w:eastAsia="Calibri" w:hAnsi="Calibri"/>
                <w:b/>
                <w:color w:val="013161"/>
                <w:szCs w:val="22"/>
              </w:rPr>
            </w:pPr>
            <w:r w:rsidRPr="00947703">
              <w:rPr>
                <w:rFonts w:ascii="Calibri" w:eastAsia="Calibri" w:hAnsi="Calibri"/>
                <w:b/>
                <w:color w:val="013161"/>
                <w:szCs w:val="22"/>
              </w:rPr>
              <w:t>Unknown</w:t>
            </w:r>
          </w:p>
        </w:tc>
        <w:tc>
          <w:tcPr>
            <w:tcW w:w="3330" w:type="dxa"/>
            <w:shd w:val="clear" w:color="auto" w:fill="auto"/>
          </w:tcPr>
          <w:p w:rsidR="00BA6A61" w:rsidRPr="00947703" w:rsidRDefault="00BA6A61" w:rsidP="00BA6A61">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3</w:t>
            </w:r>
          </w:p>
        </w:tc>
      </w:tr>
    </w:tbl>
    <w:tbl>
      <w:tblPr>
        <w:tblpPr w:leftFromText="180" w:rightFromText="180" w:vertAnchor="page" w:horzAnchor="margin" w:tblpXSpec="right" w:tblpY="8581"/>
        <w:tblW w:w="0" w:type="auto"/>
        <w:tblBorders>
          <w:top w:val="single" w:sz="18" w:space="0" w:color="F6872B"/>
          <w:bottom w:val="single" w:sz="18" w:space="0" w:color="F6872B"/>
        </w:tblBorders>
        <w:tblLook w:val="0620" w:firstRow="1" w:lastRow="0" w:firstColumn="0" w:lastColumn="0" w:noHBand="1" w:noVBand="1"/>
      </w:tblPr>
      <w:tblGrid>
        <w:gridCol w:w="4500"/>
        <w:gridCol w:w="2448"/>
      </w:tblGrid>
      <w:tr w:rsidR="00BA6A61" w:rsidRPr="00947703" w:rsidTr="000536EB">
        <w:tc>
          <w:tcPr>
            <w:tcW w:w="6948" w:type="dxa"/>
            <w:gridSpan w:val="2"/>
            <w:shd w:val="clear" w:color="auto" w:fill="013161"/>
            <w:vAlign w:val="center"/>
          </w:tcPr>
          <w:p w:rsidR="00BA6A61" w:rsidRDefault="00BA6A61" w:rsidP="00BA6A61">
            <w:pPr>
              <w:spacing w:after="0" w:line="240" w:lineRule="auto"/>
              <w:jc w:val="center"/>
              <w:rPr>
                <w:rFonts w:ascii="Calibri" w:eastAsia="Calibri" w:hAnsi="Calibri"/>
                <w:b/>
                <w:bCs/>
                <w:color w:val="FFFFFF"/>
                <w:sz w:val="24"/>
                <w:szCs w:val="24"/>
              </w:rPr>
            </w:pPr>
            <w:r w:rsidRPr="00947703">
              <w:rPr>
                <w:rFonts w:ascii="Calibri" w:eastAsia="Calibri" w:hAnsi="Calibri"/>
                <w:b/>
                <w:bCs/>
                <w:color w:val="FFFFFF"/>
                <w:sz w:val="24"/>
                <w:szCs w:val="24"/>
              </w:rPr>
              <w:t xml:space="preserve">Exhibit </w:t>
            </w:r>
            <w:r>
              <w:rPr>
                <w:rFonts w:ascii="Calibri" w:eastAsia="Calibri" w:hAnsi="Calibri"/>
                <w:b/>
                <w:bCs/>
                <w:color w:val="FFFFFF"/>
                <w:sz w:val="24"/>
                <w:szCs w:val="24"/>
              </w:rPr>
              <w:t>47</w:t>
            </w:r>
            <w:r w:rsidRPr="00947703">
              <w:rPr>
                <w:rFonts w:ascii="Calibri" w:eastAsia="Calibri" w:hAnsi="Calibri"/>
                <w:b/>
                <w:bCs/>
                <w:color w:val="FFFFFF"/>
                <w:sz w:val="24"/>
                <w:szCs w:val="24"/>
              </w:rPr>
              <w:t xml:space="preserve">. </w:t>
            </w:r>
            <w:r>
              <w:rPr>
                <w:rFonts w:ascii="Calibri" w:eastAsia="Calibri" w:hAnsi="Calibri"/>
                <w:b/>
                <w:bCs/>
                <w:color w:val="FFFFFF"/>
                <w:sz w:val="24"/>
                <w:szCs w:val="24"/>
              </w:rPr>
              <w:t>County of San Diego</w:t>
            </w:r>
            <w:r w:rsidRPr="00947703">
              <w:rPr>
                <w:rFonts w:ascii="Calibri" w:eastAsia="Calibri" w:hAnsi="Calibri"/>
                <w:b/>
                <w:bCs/>
                <w:color w:val="FFFFFF"/>
                <w:sz w:val="24"/>
                <w:szCs w:val="24"/>
              </w:rPr>
              <w:t xml:space="preserve"> Probation:</w:t>
            </w:r>
            <w:r>
              <w:rPr>
                <w:rFonts w:ascii="Calibri" w:eastAsia="Calibri" w:hAnsi="Calibri"/>
                <w:b/>
                <w:bCs/>
                <w:color w:val="FFFFFF"/>
                <w:sz w:val="24"/>
                <w:szCs w:val="24"/>
              </w:rPr>
              <w:t xml:space="preserve"> </w:t>
            </w:r>
            <w:r w:rsidRPr="00947703">
              <w:rPr>
                <w:rFonts w:ascii="Calibri" w:eastAsia="Calibri" w:hAnsi="Calibri"/>
                <w:b/>
                <w:bCs/>
                <w:color w:val="FFFFFF"/>
                <w:sz w:val="24"/>
                <w:szCs w:val="24"/>
              </w:rPr>
              <w:t>Staff Educational Attainment</w:t>
            </w:r>
          </w:p>
          <w:p w:rsidR="00BA6A61" w:rsidRPr="00107977" w:rsidRDefault="00BA6A61" w:rsidP="00BA6A61">
            <w:pPr>
              <w:spacing w:after="0" w:line="240" w:lineRule="auto"/>
              <w:jc w:val="center"/>
              <w:rPr>
                <w:rFonts w:ascii="Calibri" w:eastAsia="Calibri" w:hAnsi="Calibri"/>
                <w:b/>
                <w:bCs/>
                <w:color w:val="FFFFFF"/>
                <w:sz w:val="6"/>
                <w:szCs w:val="22"/>
              </w:rPr>
            </w:pPr>
          </w:p>
        </w:tc>
      </w:tr>
      <w:tr w:rsidR="00BA6A61" w:rsidRPr="00947703" w:rsidTr="000536EB">
        <w:tc>
          <w:tcPr>
            <w:tcW w:w="4500" w:type="dxa"/>
            <w:shd w:val="clear" w:color="auto" w:fill="013161"/>
          </w:tcPr>
          <w:p w:rsidR="00BA6A61" w:rsidRPr="00947703" w:rsidRDefault="00BA6A61" w:rsidP="00BA6A61">
            <w:pPr>
              <w:spacing w:after="0" w:line="240" w:lineRule="auto"/>
              <w:rPr>
                <w:rFonts w:ascii="Calibri" w:eastAsia="Calibri" w:hAnsi="Calibri"/>
                <w:b/>
                <w:bCs/>
                <w:color w:val="FFFFFF"/>
                <w:szCs w:val="22"/>
              </w:rPr>
            </w:pPr>
            <w:r w:rsidRPr="00947703">
              <w:rPr>
                <w:rFonts w:ascii="Calibri" w:eastAsia="Calibri" w:hAnsi="Calibri"/>
                <w:b/>
                <w:bCs/>
                <w:color w:val="FFFFFF"/>
                <w:szCs w:val="22"/>
              </w:rPr>
              <w:t>Educational Attainment</w:t>
            </w:r>
          </w:p>
        </w:tc>
        <w:tc>
          <w:tcPr>
            <w:tcW w:w="2448" w:type="dxa"/>
            <w:shd w:val="clear" w:color="auto" w:fill="013161"/>
          </w:tcPr>
          <w:p w:rsidR="00BA6A61" w:rsidRPr="00947703" w:rsidRDefault="00BA6A61" w:rsidP="00BA6A61">
            <w:pPr>
              <w:spacing w:after="0" w:line="240" w:lineRule="auto"/>
              <w:jc w:val="center"/>
              <w:rPr>
                <w:rFonts w:ascii="Calibri" w:eastAsia="Calibri" w:hAnsi="Calibri"/>
                <w:b/>
                <w:bCs/>
                <w:color w:val="FFFFFF"/>
                <w:szCs w:val="22"/>
              </w:rPr>
            </w:pPr>
            <w:r w:rsidRPr="00947703">
              <w:rPr>
                <w:rFonts w:ascii="Calibri" w:eastAsia="Calibri" w:hAnsi="Calibri"/>
                <w:b/>
                <w:bCs/>
                <w:color w:val="FFFFFF"/>
                <w:szCs w:val="22"/>
              </w:rPr>
              <w:t>Number of Staff</w:t>
            </w:r>
          </w:p>
        </w:tc>
      </w:tr>
      <w:tr w:rsidR="00BA6A61" w:rsidRPr="00947703" w:rsidTr="000536EB">
        <w:tc>
          <w:tcPr>
            <w:tcW w:w="4500" w:type="dxa"/>
            <w:shd w:val="clear" w:color="auto" w:fill="auto"/>
            <w:vAlign w:val="center"/>
          </w:tcPr>
          <w:p w:rsidR="00BA6A61" w:rsidRPr="00947703" w:rsidRDefault="00BA6A61" w:rsidP="00BA6A61">
            <w:pPr>
              <w:spacing w:after="0" w:line="240" w:lineRule="auto"/>
              <w:rPr>
                <w:rFonts w:ascii="Calibri" w:eastAsia="Calibri" w:hAnsi="Calibri"/>
                <w:b/>
                <w:color w:val="013161"/>
                <w:szCs w:val="22"/>
              </w:rPr>
            </w:pPr>
            <w:r w:rsidRPr="00947703">
              <w:rPr>
                <w:rFonts w:ascii="Calibri" w:eastAsia="Calibri" w:hAnsi="Calibri"/>
                <w:b/>
                <w:color w:val="013161"/>
                <w:szCs w:val="22"/>
              </w:rPr>
              <w:t>Master’s in Social Work</w:t>
            </w:r>
          </w:p>
        </w:tc>
        <w:tc>
          <w:tcPr>
            <w:tcW w:w="2448" w:type="dxa"/>
            <w:shd w:val="clear" w:color="auto" w:fill="auto"/>
            <w:vAlign w:val="center"/>
          </w:tcPr>
          <w:p w:rsidR="00BA6A61" w:rsidRPr="00947703" w:rsidRDefault="00BA6A61" w:rsidP="00BA6A61">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1</w:t>
            </w:r>
          </w:p>
        </w:tc>
      </w:tr>
      <w:tr w:rsidR="00BA6A61" w:rsidRPr="00947703" w:rsidTr="000536EB">
        <w:tc>
          <w:tcPr>
            <w:tcW w:w="4500" w:type="dxa"/>
            <w:shd w:val="clear" w:color="auto" w:fill="DBE5F1"/>
            <w:vAlign w:val="center"/>
          </w:tcPr>
          <w:p w:rsidR="00BA6A61" w:rsidRPr="00947703" w:rsidRDefault="00BA6A61" w:rsidP="00BA6A61">
            <w:pPr>
              <w:spacing w:after="0" w:line="240" w:lineRule="auto"/>
              <w:rPr>
                <w:rFonts w:ascii="Calibri" w:eastAsia="Calibri" w:hAnsi="Calibri"/>
                <w:b/>
                <w:color w:val="013161"/>
                <w:szCs w:val="22"/>
              </w:rPr>
            </w:pPr>
            <w:r w:rsidRPr="00947703">
              <w:rPr>
                <w:rFonts w:ascii="Calibri" w:eastAsia="Calibri" w:hAnsi="Calibri"/>
                <w:b/>
                <w:color w:val="013161"/>
                <w:szCs w:val="22"/>
              </w:rPr>
              <w:t>Master’s in Other</w:t>
            </w:r>
          </w:p>
        </w:tc>
        <w:tc>
          <w:tcPr>
            <w:tcW w:w="2448" w:type="dxa"/>
            <w:shd w:val="clear" w:color="auto" w:fill="DBE5F1"/>
            <w:vAlign w:val="center"/>
          </w:tcPr>
          <w:p w:rsidR="00BA6A61" w:rsidRPr="00947703" w:rsidRDefault="00BA6A61" w:rsidP="00BA6A61">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4</w:t>
            </w:r>
          </w:p>
        </w:tc>
      </w:tr>
      <w:tr w:rsidR="00BA6A61" w:rsidRPr="00947703" w:rsidTr="000536EB">
        <w:tc>
          <w:tcPr>
            <w:tcW w:w="4500" w:type="dxa"/>
            <w:shd w:val="clear" w:color="auto" w:fill="auto"/>
            <w:vAlign w:val="center"/>
          </w:tcPr>
          <w:p w:rsidR="00BA6A61" w:rsidRPr="00947703" w:rsidRDefault="00BA6A61" w:rsidP="00BA6A61">
            <w:pPr>
              <w:spacing w:after="0" w:line="240" w:lineRule="auto"/>
              <w:rPr>
                <w:rFonts w:ascii="Calibri" w:eastAsia="Calibri" w:hAnsi="Calibri"/>
                <w:b/>
                <w:color w:val="013161"/>
                <w:szCs w:val="22"/>
              </w:rPr>
            </w:pPr>
            <w:r w:rsidRPr="00947703">
              <w:rPr>
                <w:rFonts w:ascii="Calibri" w:eastAsia="Calibri" w:hAnsi="Calibri"/>
                <w:b/>
                <w:color w:val="013161"/>
                <w:szCs w:val="22"/>
              </w:rPr>
              <w:t>Bachelor’s in Criminal Justice/Social Sciences</w:t>
            </w:r>
          </w:p>
        </w:tc>
        <w:tc>
          <w:tcPr>
            <w:tcW w:w="2448" w:type="dxa"/>
            <w:shd w:val="clear" w:color="auto" w:fill="auto"/>
            <w:vAlign w:val="center"/>
          </w:tcPr>
          <w:p w:rsidR="00BA6A61" w:rsidRPr="00947703" w:rsidRDefault="00BA6A61" w:rsidP="00BA6A61">
            <w:pPr>
              <w:spacing w:after="0" w:line="240" w:lineRule="auto"/>
              <w:jc w:val="center"/>
              <w:rPr>
                <w:rFonts w:ascii="Calibri" w:eastAsia="Calibri" w:hAnsi="Calibri"/>
                <w:b/>
                <w:color w:val="013161"/>
                <w:szCs w:val="22"/>
              </w:rPr>
            </w:pPr>
          </w:p>
        </w:tc>
      </w:tr>
      <w:tr w:rsidR="00BA6A61" w:rsidRPr="00947703" w:rsidTr="000536EB">
        <w:tc>
          <w:tcPr>
            <w:tcW w:w="4500" w:type="dxa"/>
            <w:shd w:val="clear" w:color="auto" w:fill="DBE5F1"/>
            <w:vAlign w:val="center"/>
          </w:tcPr>
          <w:p w:rsidR="00BA6A61" w:rsidRPr="00947703" w:rsidRDefault="00BA6A61" w:rsidP="00BA6A61">
            <w:pPr>
              <w:spacing w:after="0" w:line="240" w:lineRule="auto"/>
              <w:rPr>
                <w:rFonts w:ascii="Calibri" w:eastAsia="Calibri" w:hAnsi="Calibri"/>
                <w:b/>
                <w:color w:val="013161"/>
                <w:szCs w:val="22"/>
              </w:rPr>
            </w:pPr>
            <w:r w:rsidRPr="00947703">
              <w:rPr>
                <w:rFonts w:ascii="Calibri" w:eastAsia="Calibri" w:hAnsi="Calibri"/>
                <w:b/>
                <w:color w:val="013161"/>
                <w:szCs w:val="22"/>
              </w:rPr>
              <w:t>Bachelor’s in Other</w:t>
            </w:r>
          </w:p>
        </w:tc>
        <w:tc>
          <w:tcPr>
            <w:tcW w:w="2448" w:type="dxa"/>
            <w:shd w:val="clear" w:color="auto" w:fill="DBE5F1"/>
            <w:vAlign w:val="center"/>
          </w:tcPr>
          <w:p w:rsidR="00BA6A61" w:rsidRPr="00947703" w:rsidRDefault="00BA6A61" w:rsidP="00BA6A61">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5</w:t>
            </w:r>
          </w:p>
        </w:tc>
      </w:tr>
      <w:tr w:rsidR="00BA6A61" w:rsidRPr="00947703" w:rsidTr="000536EB">
        <w:tc>
          <w:tcPr>
            <w:tcW w:w="4500" w:type="dxa"/>
            <w:shd w:val="clear" w:color="auto" w:fill="auto"/>
            <w:vAlign w:val="center"/>
          </w:tcPr>
          <w:p w:rsidR="00BA6A61" w:rsidRPr="00947703" w:rsidRDefault="00BA6A61" w:rsidP="00BA6A61">
            <w:pPr>
              <w:spacing w:after="0" w:line="240" w:lineRule="auto"/>
              <w:rPr>
                <w:rFonts w:ascii="Calibri" w:eastAsia="Calibri" w:hAnsi="Calibri"/>
                <w:b/>
                <w:color w:val="013161"/>
                <w:szCs w:val="22"/>
              </w:rPr>
            </w:pPr>
            <w:r w:rsidRPr="00947703">
              <w:rPr>
                <w:rFonts w:ascii="Calibri" w:eastAsia="Calibri" w:hAnsi="Calibri"/>
                <w:b/>
                <w:color w:val="013161"/>
                <w:szCs w:val="22"/>
              </w:rPr>
              <w:t>Other degree</w:t>
            </w:r>
          </w:p>
        </w:tc>
        <w:tc>
          <w:tcPr>
            <w:tcW w:w="2448" w:type="dxa"/>
            <w:shd w:val="clear" w:color="auto" w:fill="auto"/>
            <w:vAlign w:val="center"/>
          </w:tcPr>
          <w:p w:rsidR="00BA6A61" w:rsidRPr="00947703" w:rsidRDefault="00BA6A61" w:rsidP="00BA6A61">
            <w:pPr>
              <w:spacing w:after="0" w:line="240" w:lineRule="auto"/>
              <w:jc w:val="center"/>
              <w:rPr>
                <w:rFonts w:ascii="Calibri" w:eastAsia="Calibri" w:hAnsi="Calibri"/>
                <w:b/>
                <w:color w:val="013161"/>
                <w:szCs w:val="22"/>
              </w:rPr>
            </w:pPr>
          </w:p>
        </w:tc>
      </w:tr>
      <w:tr w:rsidR="00BA6A61" w:rsidRPr="00947703" w:rsidTr="000536EB">
        <w:tc>
          <w:tcPr>
            <w:tcW w:w="4500" w:type="dxa"/>
            <w:shd w:val="clear" w:color="auto" w:fill="DBE5F1"/>
            <w:vAlign w:val="center"/>
          </w:tcPr>
          <w:p w:rsidR="00BA6A61" w:rsidRPr="00947703" w:rsidRDefault="00BA6A61" w:rsidP="00BA6A61">
            <w:pPr>
              <w:spacing w:after="0" w:line="240" w:lineRule="auto"/>
              <w:rPr>
                <w:rFonts w:ascii="Calibri" w:eastAsia="Calibri" w:hAnsi="Calibri"/>
                <w:b/>
                <w:color w:val="013161"/>
                <w:szCs w:val="22"/>
              </w:rPr>
            </w:pPr>
            <w:r w:rsidRPr="00947703">
              <w:rPr>
                <w:rFonts w:ascii="Calibri" w:eastAsia="Calibri" w:hAnsi="Calibri"/>
                <w:b/>
                <w:color w:val="013161"/>
                <w:szCs w:val="22"/>
              </w:rPr>
              <w:t>No degree</w:t>
            </w:r>
          </w:p>
        </w:tc>
        <w:tc>
          <w:tcPr>
            <w:tcW w:w="2448" w:type="dxa"/>
            <w:shd w:val="clear" w:color="auto" w:fill="DBE5F1"/>
            <w:vAlign w:val="center"/>
          </w:tcPr>
          <w:p w:rsidR="00BA6A61" w:rsidRPr="00947703" w:rsidRDefault="00BA6A61" w:rsidP="00BA6A61">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3</w:t>
            </w:r>
          </w:p>
        </w:tc>
      </w:tr>
      <w:tr w:rsidR="00BA6A61" w:rsidRPr="00947703" w:rsidTr="000536EB">
        <w:tc>
          <w:tcPr>
            <w:tcW w:w="4500" w:type="dxa"/>
            <w:shd w:val="clear" w:color="auto" w:fill="FFFFFF"/>
            <w:vAlign w:val="center"/>
          </w:tcPr>
          <w:p w:rsidR="00BA6A61" w:rsidRPr="00947703" w:rsidRDefault="00BA6A61" w:rsidP="00BA6A61">
            <w:pPr>
              <w:spacing w:after="0" w:line="240" w:lineRule="auto"/>
              <w:rPr>
                <w:rFonts w:ascii="Calibri" w:eastAsia="Calibri" w:hAnsi="Calibri"/>
                <w:b/>
                <w:color w:val="013161"/>
                <w:szCs w:val="22"/>
              </w:rPr>
            </w:pPr>
            <w:r w:rsidRPr="00947703">
              <w:rPr>
                <w:rFonts w:ascii="Calibri" w:eastAsia="Calibri" w:hAnsi="Calibri"/>
                <w:b/>
                <w:color w:val="013161"/>
                <w:szCs w:val="22"/>
              </w:rPr>
              <w:t>Degree Unknown</w:t>
            </w:r>
          </w:p>
        </w:tc>
        <w:tc>
          <w:tcPr>
            <w:tcW w:w="2448" w:type="dxa"/>
            <w:shd w:val="clear" w:color="auto" w:fill="FFFFFF"/>
            <w:vAlign w:val="center"/>
          </w:tcPr>
          <w:p w:rsidR="00BA6A61" w:rsidRPr="00947703" w:rsidRDefault="00BA6A61" w:rsidP="00BA6A61">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5</w:t>
            </w:r>
          </w:p>
        </w:tc>
      </w:tr>
    </w:tbl>
    <w:p w:rsidR="00D86A11" w:rsidRPr="00BA6A61" w:rsidRDefault="00D86A11" w:rsidP="003049B3">
      <w:pPr>
        <w:pStyle w:val="Heading1"/>
        <w:spacing w:line="276" w:lineRule="auto"/>
        <w:rPr>
          <w:b w:val="0"/>
          <w:color w:val="auto"/>
          <w:sz w:val="22"/>
          <w:szCs w:val="28"/>
        </w:rPr>
      </w:pPr>
      <w:r w:rsidRPr="00BA6A61">
        <w:rPr>
          <w:b w:val="0"/>
          <w:color w:val="auto"/>
          <w:sz w:val="22"/>
          <w:szCs w:val="28"/>
        </w:rPr>
        <w:t>Exhibits 45 to</w:t>
      </w:r>
      <w:r w:rsidR="00196C77" w:rsidRPr="00BA6A61">
        <w:rPr>
          <w:b w:val="0"/>
          <w:color w:val="auto"/>
          <w:sz w:val="22"/>
          <w:szCs w:val="28"/>
        </w:rPr>
        <w:t xml:space="preserve"> </w:t>
      </w:r>
      <w:r w:rsidRPr="00BA6A61">
        <w:rPr>
          <w:b w:val="0"/>
          <w:color w:val="auto"/>
          <w:sz w:val="22"/>
          <w:szCs w:val="28"/>
        </w:rPr>
        <w:t>47</w:t>
      </w:r>
      <w:r w:rsidR="008A14CF" w:rsidRPr="00BA6A61">
        <w:rPr>
          <w:b w:val="0"/>
          <w:color w:val="auto"/>
          <w:sz w:val="22"/>
          <w:szCs w:val="28"/>
        </w:rPr>
        <w:t xml:space="preserve"> </w:t>
      </w:r>
      <w:r w:rsidRPr="00BA6A61">
        <w:rPr>
          <w:b w:val="0"/>
          <w:color w:val="auto"/>
          <w:sz w:val="22"/>
          <w:szCs w:val="28"/>
        </w:rPr>
        <w:t>present demographic inform</w:t>
      </w:r>
      <w:r w:rsidR="00280BAF" w:rsidRPr="00BA6A61">
        <w:rPr>
          <w:b w:val="0"/>
          <w:color w:val="auto"/>
          <w:sz w:val="22"/>
          <w:szCs w:val="28"/>
        </w:rPr>
        <w:t xml:space="preserve">ation for the diverse Probation </w:t>
      </w:r>
      <w:r w:rsidRPr="00BA6A61">
        <w:rPr>
          <w:b w:val="0"/>
          <w:color w:val="auto"/>
          <w:sz w:val="22"/>
          <w:szCs w:val="28"/>
        </w:rPr>
        <w:t>Placement Division workforce.</w:t>
      </w:r>
      <w:r w:rsidR="008A14CF" w:rsidRPr="00BA6A61">
        <w:rPr>
          <w:b w:val="0"/>
          <w:color w:val="auto"/>
          <w:sz w:val="22"/>
          <w:szCs w:val="28"/>
        </w:rPr>
        <w:t xml:space="preserve"> </w:t>
      </w:r>
      <w:r w:rsidRPr="00BA6A61">
        <w:rPr>
          <w:b w:val="0"/>
          <w:color w:val="auto"/>
          <w:sz w:val="22"/>
          <w:szCs w:val="28"/>
        </w:rPr>
        <w:t xml:space="preserve">The current staffing is comprised of 20 Deputy Probation Officers (case carrying and non-case carrying), five (5) Senior Probation Officers (non-case carrying), five (5) Supervising Probation Officers, and additional support staff to include one (1) Public Health Nurse, four (4) Probation Aides, and one (1) Retired Probation Officer.  Of these 36 staff, 24 are female, nine (9) are male, and three (3) positions are currently vacant. Approximately 24% of the division has five (5) years or more experience related to the case management of Probation involved foster care youth.  Approximately 24% have approximately two (2) to five (5) years of experience, and 52% have less than a year of experience related to the case management of Probation involved foster care youth. </w:t>
      </w:r>
    </w:p>
    <w:p w:rsidR="00D86A11" w:rsidRPr="00BA6A61" w:rsidRDefault="00D86A11" w:rsidP="003049B3">
      <w:pPr>
        <w:pStyle w:val="Heading1"/>
        <w:spacing w:line="276" w:lineRule="auto"/>
        <w:rPr>
          <w:b w:val="0"/>
          <w:color w:val="auto"/>
          <w:sz w:val="22"/>
          <w:szCs w:val="28"/>
        </w:rPr>
      </w:pPr>
      <w:r w:rsidRPr="00BA6A61">
        <w:rPr>
          <w:b w:val="0"/>
          <w:color w:val="auto"/>
          <w:sz w:val="22"/>
          <w:szCs w:val="28"/>
        </w:rPr>
        <w:t xml:space="preserve">Staffing within the Placement Division has increased by 53% subsequent to the submission of the 2011 CSA report, expanding from a single unit within the Supervision Division to a separate division comprised of five (5) specialty units dedicated to foster care services. Beyond the staffing changes as a result of the growth of the Division, staff turnover has remained relatively low, with the turnover </w:t>
      </w:r>
      <w:r w:rsidRPr="00BA6A61">
        <w:rPr>
          <w:b w:val="0"/>
          <w:color w:val="auto"/>
          <w:sz w:val="22"/>
          <w:szCs w:val="28"/>
        </w:rPr>
        <w:lastRenderedPageBreak/>
        <w:t>primarily occurring as a result of promotion, retirement</w:t>
      </w:r>
      <w:r w:rsidR="00445D82" w:rsidRPr="00BA6A61">
        <w:rPr>
          <w:b w:val="0"/>
          <w:color w:val="auto"/>
          <w:sz w:val="22"/>
          <w:szCs w:val="28"/>
        </w:rPr>
        <w:t>,</w:t>
      </w:r>
      <w:r w:rsidRPr="00BA6A61">
        <w:rPr>
          <w:b w:val="0"/>
          <w:color w:val="auto"/>
          <w:sz w:val="22"/>
          <w:szCs w:val="28"/>
        </w:rPr>
        <w:t xml:space="preserve"> or placement in a specialty unit.  However, the turnover rate of the Supervising Probation Officers has been slightly higher, with four (4) of the five (5) current Supervising Probation Officers serving in their positon for less than one year.</w:t>
      </w:r>
      <w:r w:rsidR="00A36088" w:rsidRPr="00BA6A61">
        <w:rPr>
          <w:b w:val="0"/>
          <w:color w:val="auto"/>
          <w:sz w:val="22"/>
          <w:szCs w:val="28"/>
        </w:rPr>
        <w:t xml:space="preserve"> </w:t>
      </w:r>
    </w:p>
    <w:p w:rsidR="008A14CF" w:rsidRPr="00BA6A61" w:rsidRDefault="00A36088" w:rsidP="003049B3">
      <w:pPr>
        <w:pStyle w:val="Heading3"/>
        <w:spacing w:line="276" w:lineRule="auto"/>
        <w:rPr>
          <w:b w:val="0"/>
          <w:color w:val="auto"/>
          <w:sz w:val="22"/>
        </w:rPr>
      </w:pPr>
      <w:r w:rsidRPr="00BA6A61">
        <w:rPr>
          <w:b w:val="0"/>
          <w:color w:val="auto"/>
          <w:sz w:val="22"/>
        </w:rPr>
        <w:t>The retention of Supervising Probation Officers has been impacted by several barriers.  Despite the growth of the division from one (1) to five (5) Supervising Probation Officers, the intensity and demands of the workload oversight are significant compared to other supervisory positions in the department.  Supervising Probation Officers in the Placement Division not only</w:t>
      </w:r>
      <w:r w:rsidR="00BA6A61" w:rsidRPr="00BA6A61">
        <w:rPr>
          <w:b w:val="0"/>
          <w:color w:val="auto"/>
          <w:sz w:val="22"/>
        </w:rPr>
        <w:t xml:space="preserve"> have to be knowledgeable and proficient in the juvenile justice mandates, practices, and policies related to the oversight of justice involved youth and programs, but they must also be knowledgeable and proficient in the various child welfare mandates, practices, and policies related to foster care youth.  With this dual role comes a significant level of responsibility and liability, as well as significant administrative demands, beyond those of a typical supervisory role.  This specialized knowledge, dual system responsibilities, and the intensity of the position’s demands are intimidating factors for many, thus contributing to low position desirability. This low desirability has been a factor to recruiting veteran supervisory staff.  Supervising Probation Officers joining the Placement Division have primarily been assigned to the division as a result of promotion, versus voluntary transfer, resulting in 60% of the Placement Division’s supervisory staff being newly promoted supervisors, in addition to newly placed in the Placement Division. However, with the increase to five (5) Supervising Probation Officers and the corresponding adjustment to the workload intensity, the Placement Division has seen an increase in Supervising Probation Officer voluntary transfers to the Placement Division.  Continuing to right-size the Placement Division in relation to the ever changing and growing foster-care initiatives and the associated responsibilities will be critical to staff retention.</w:t>
      </w:r>
      <w:r w:rsidRPr="00BA6A61">
        <w:rPr>
          <w:b w:val="0"/>
          <w:color w:val="auto"/>
          <w:sz w:val="22"/>
        </w:rPr>
        <w:t xml:space="preserve"> </w:t>
      </w:r>
    </w:p>
    <w:tbl>
      <w:tblPr>
        <w:tblpPr w:leftFromText="180" w:rightFromText="180" w:vertAnchor="text" w:horzAnchor="margin" w:tblpXSpec="right" w:tblpY="1974"/>
        <w:tblW w:w="7218" w:type="dxa"/>
        <w:tblBorders>
          <w:top w:val="single" w:sz="18" w:space="0" w:color="F6872B"/>
          <w:bottom w:val="single" w:sz="18" w:space="0" w:color="F6872B"/>
        </w:tblBorders>
        <w:tblLook w:val="0620" w:firstRow="1" w:lastRow="0" w:firstColumn="0" w:lastColumn="0" w:noHBand="1" w:noVBand="1"/>
      </w:tblPr>
      <w:tblGrid>
        <w:gridCol w:w="3528"/>
        <w:gridCol w:w="3690"/>
      </w:tblGrid>
      <w:tr w:rsidR="00545D0F" w:rsidRPr="00947703" w:rsidTr="00545D0F">
        <w:trPr>
          <w:trHeight w:val="639"/>
        </w:trPr>
        <w:tc>
          <w:tcPr>
            <w:tcW w:w="7218" w:type="dxa"/>
            <w:gridSpan w:val="2"/>
            <w:shd w:val="clear" w:color="auto" w:fill="013161"/>
            <w:vAlign w:val="center"/>
          </w:tcPr>
          <w:p w:rsidR="00545D0F" w:rsidRPr="00947703" w:rsidRDefault="00545D0F" w:rsidP="00545D0F">
            <w:pPr>
              <w:spacing w:after="0" w:line="240" w:lineRule="auto"/>
              <w:jc w:val="center"/>
              <w:rPr>
                <w:rFonts w:ascii="Calibri" w:eastAsia="Calibri" w:hAnsi="Calibri"/>
                <w:b/>
                <w:bCs/>
                <w:color w:val="FFFFFF"/>
                <w:sz w:val="24"/>
                <w:szCs w:val="22"/>
              </w:rPr>
            </w:pPr>
            <w:r w:rsidRPr="00947703">
              <w:rPr>
                <w:rFonts w:ascii="Calibri" w:eastAsia="Calibri" w:hAnsi="Calibri"/>
                <w:b/>
                <w:bCs/>
                <w:color w:val="FFFFFF"/>
                <w:sz w:val="24"/>
                <w:szCs w:val="22"/>
              </w:rPr>
              <w:t xml:space="preserve">Exhibit </w:t>
            </w:r>
            <w:r>
              <w:rPr>
                <w:rFonts w:ascii="Calibri" w:eastAsia="Calibri" w:hAnsi="Calibri"/>
                <w:b/>
                <w:bCs/>
                <w:color w:val="FFFFFF"/>
                <w:sz w:val="24"/>
                <w:szCs w:val="22"/>
              </w:rPr>
              <w:t>48</w:t>
            </w:r>
            <w:r w:rsidRPr="00947703">
              <w:rPr>
                <w:rFonts w:ascii="Calibri" w:eastAsia="Calibri" w:hAnsi="Calibri"/>
                <w:b/>
                <w:bCs/>
                <w:color w:val="FFFFFF"/>
                <w:sz w:val="24"/>
                <w:szCs w:val="22"/>
              </w:rPr>
              <w:t xml:space="preserve">. </w:t>
            </w:r>
            <w:r>
              <w:rPr>
                <w:rFonts w:ascii="Calibri" w:eastAsia="Calibri" w:hAnsi="Calibri"/>
                <w:b/>
                <w:bCs/>
                <w:color w:val="FFFFFF"/>
                <w:sz w:val="24"/>
                <w:szCs w:val="22"/>
              </w:rPr>
              <w:t>County of San Diego</w:t>
            </w:r>
            <w:r w:rsidRPr="00947703">
              <w:rPr>
                <w:rFonts w:ascii="Calibri" w:eastAsia="Calibri" w:hAnsi="Calibri"/>
                <w:b/>
                <w:bCs/>
                <w:color w:val="FFFFFF"/>
                <w:sz w:val="24"/>
                <w:szCs w:val="22"/>
              </w:rPr>
              <w:t xml:space="preserve"> Probation:</w:t>
            </w:r>
            <w:r>
              <w:rPr>
                <w:rFonts w:ascii="Calibri" w:eastAsia="Calibri" w:hAnsi="Calibri"/>
                <w:b/>
                <w:bCs/>
                <w:color w:val="FFFFFF"/>
                <w:sz w:val="24"/>
                <w:szCs w:val="22"/>
              </w:rPr>
              <w:t xml:space="preserve"> </w:t>
            </w:r>
            <w:r w:rsidRPr="00947703">
              <w:rPr>
                <w:rFonts w:ascii="Calibri" w:eastAsia="Calibri" w:hAnsi="Calibri"/>
                <w:b/>
                <w:bCs/>
                <w:color w:val="FFFFFF"/>
                <w:sz w:val="24"/>
                <w:szCs w:val="22"/>
              </w:rPr>
              <w:t>Salary by Position</w:t>
            </w:r>
          </w:p>
        </w:tc>
      </w:tr>
      <w:tr w:rsidR="00545D0F" w:rsidRPr="00947703" w:rsidTr="00545D0F">
        <w:trPr>
          <w:trHeight w:val="295"/>
        </w:trPr>
        <w:tc>
          <w:tcPr>
            <w:tcW w:w="3528" w:type="dxa"/>
            <w:shd w:val="clear" w:color="auto" w:fill="013161"/>
          </w:tcPr>
          <w:p w:rsidR="00545D0F" w:rsidRPr="00947703" w:rsidRDefault="00545D0F" w:rsidP="00545D0F">
            <w:pPr>
              <w:spacing w:after="0" w:line="240" w:lineRule="auto"/>
              <w:rPr>
                <w:rFonts w:ascii="Calibri" w:eastAsia="Calibri" w:hAnsi="Calibri"/>
                <w:b/>
                <w:color w:val="FFFFFF"/>
                <w:szCs w:val="22"/>
              </w:rPr>
            </w:pPr>
            <w:r w:rsidRPr="00947703">
              <w:rPr>
                <w:rFonts w:ascii="Calibri" w:eastAsia="Calibri" w:hAnsi="Calibri"/>
                <w:b/>
                <w:color w:val="FFFFFF"/>
                <w:szCs w:val="22"/>
              </w:rPr>
              <w:t>Position</w:t>
            </w:r>
          </w:p>
        </w:tc>
        <w:tc>
          <w:tcPr>
            <w:tcW w:w="3690" w:type="dxa"/>
            <w:shd w:val="clear" w:color="auto" w:fill="013161"/>
            <w:vAlign w:val="center"/>
          </w:tcPr>
          <w:p w:rsidR="00545D0F" w:rsidRPr="00947703" w:rsidRDefault="00545D0F" w:rsidP="00545D0F">
            <w:pPr>
              <w:spacing w:after="0" w:line="240" w:lineRule="auto"/>
              <w:jc w:val="center"/>
              <w:rPr>
                <w:rFonts w:ascii="Calibri" w:eastAsia="Calibri" w:hAnsi="Calibri"/>
                <w:b/>
                <w:color w:val="FFFFFF"/>
                <w:szCs w:val="22"/>
              </w:rPr>
            </w:pPr>
            <w:r w:rsidRPr="00947703">
              <w:rPr>
                <w:rFonts w:ascii="Calibri" w:eastAsia="Calibri" w:hAnsi="Calibri"/>
                <w:b/>
                <w:color w:val="FFFFFF"/>
                <w:szCs w:val="22"/>
              </w:rPr>
              <w:t>Salary Range</w:t>
            </w:r>
          </w:p>
        </w:tc>
      </w:tr>
      <w:tr w:rsidR="00545D0F" w:rsidRPr="00947703" w:rsidTr="00545D0F">
        <w:trPr>
          <w:trHeight w:val="295"/>
        </w:trPr>
        <w:tc>
          <w:tcPr>
            <w:tcW w:w="3528" w:type="dxa"/>
            <w:shd w:val="clear" w:color="auto" w:fill="auto"/>
          </w:tcPr>
          <w:p w:rsidR="00545D0F" w:rsidRPr="00947703" w:rsidRDefault="00545D0F" w:rsidP="00545D0F">
            <w:pPr>
              <w:spacing w:after="0" w:line="240" w:lineRule="auto"/>
              <w:rPr>
                <w:rFonts w:ascii="Calibri" w:eastAsia="Calibri" w:hAnsi="Calibri"/>
                <w:b/>
                <w:color w:val="013161"/>
                <w:szCs w:val="22"/>
              </w:rPr>
            </w:pPr>
            <w:r w:rsidRPr="00947703">
              <w:rPr>
                <w:rFonts w:ascii="Calibri" w:eastAsia="Calibri" w:hAnsi="Calibri"/>
                <w:b/>
                <w:color w:val="013161"/>
                <w:szCs w:val="22"/>
              </w:rPr>
              <w:t>Deputy Probation Officer</w:t>
            </w:r>
          </w:p>
        </w:tc>
        <w:tc>
          <w:tcPr>
            <w:tcW w:w="3690" w:type="dxa"/>
            <w:shd w:val="clear" w:color="auto" w:fill="auto"/>
            <w:vAlign w:val="center"/>
          </w:tcPr>
          <w:p w:rsidR="00545D0F" w:rsidRPr="00947703" w:rsidRDefault="00545D0F" w:rsidP="00545D0F">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$57,304.00 - $69,680.00</w:t>
            </w:r>
          </w:p>
        </w:tc>
      </w:tr>
      <w:tr w:rsidR="00545D0F" w:rsidRPr="00947703" w:rsidTr="00545D0F">
        <w:trPr>
          <w:trHeight w:val="295"/>
        </w:trPr>
        <w:tc>
          <w:tcPr>
            <w:tcW w:w="3528" w:type="dxa"/>
            <w:shd w:val="clear" w:color="auto" w:fill="DBE5F1"/>
          </w:tcPr>
          <w:p w:rsidR="00545D0F" w:rsidRPr="00947703" w:rsidRDefault="00545D0F" w:rsidP="00545D0F">
            <w:pPr>
              <w:spacing w:after="0" w:line="240" w:lineRule="auto"/>
              <w:rPr>
                <w:rFonts w:ascii="Calibri" w:eastAsia="Calibri" w:hAnsi="Calibri"/>
                <w:b/>
                <w:color w:val="013161"/>
                <w:szCs w:val="22"/>
              </w:rPr>
            </w:pPr>
            <w:r w:rsidRPr="00947703">
              <w:rPr>
                <w:rFonts w:ascii="Calibri" w:eastAsia="Calibri" w:hAnsi="Calibri"/>
                <w:b/>
                <w:color w:val="013161"/>
                <w:szCs w:val="22"/>
              </w:rPr>
              <w:t>Senior Probation Officer</w:t>
            </w:r>
          </w:p>
        </w:tc>
        <w:tc>
          <w:tcPr>
            <w:tcW w:w="3690" w:type="dxa"/>
            <w:shd w:val="clear" w:color="auto" w:fill="DBE5F1"/>
            <w:vAlign w:val="center"/>
          </w:tcPr>
          <w:p w:rsidR="00545D0F" w:rsidRPr="00947703" w:rsidRDefault="00545D0F" w:rsidP="00545D0F">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$63,190.40 - $76,793.60</w:t>
            </w:r>
          </w:p>
        </w:tc>
      </w:tr>
      <w:tr w:rsidR="00545D0F" w:rsidRPr="00947703" w:rsidTr="00545D0F">
        <w:trPr>
          <w:trHeight w:val="279"/>
        </w:trPr>
        <w:tc>
          <w:tcPr>
            <w:tcW w:w="3528" w:type="dxa"/>
            <w:shd w:val="clear" w:color="auto" w:fill="auto"/>
          </w:tcPr>
          <w:p w:rsidR="00545D0F" w:rsidRPr="00947703" w:rsidRDefault="00545D0F" w:rsidP="00545D0F">
            <w:pPr>
              <w:spacing w:after="0" w:line="240" w:lineRule="auto"/>
              <w:rPr>
                <w:rFonts w:ascii="Calibri" w:eastAsia="Calibri" w:hAnsi="Calibri"/>
                <w:b/>
                <w:color w:val="013161"/>
                <w:szCs w:val="22"/>
              </w:rPr>
            </w:pPr>
            <w:r w:rsidRPr="00947703">
              <w:rPr>
                <w:rFonts w:ascii="Calibri" w:eastAsia="Calibri" w:hAnsi="Calibri"/>
                <w:b/>
                <w:color w:val="013161"/>
                <w:szCs w:val="22"/>
              </w:rPr>
              <w:t>Supervising Probation Officer</w:t>
            </w:r>
          </w:p>
        </w:tc>
        <w:tc>
          <w:tcPr>
            <w:tcW w:w="3690" w:type="dxa"/>
            <w:shd w:val="clear" w:color="auto" w:fill="auto"/>
            <w:vAlign w:val="center"/>
          </w:tcPr>
          <w:p w:rsidR="00545D0F" w:rsidRPr="00947703" w:rsidRDefault="00545D0F" w:rsidP="00545D0F">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$71,760.00 - $91,582.40</w:t>
            </w:r>
          </w:p>
        </w:tc>
      </w:tr>
      <w:tr w:rsidR="00545D0F" w:rsidRPr="00947703" w:rsidTr="00545D0F">
        <w:trPr>
          <w:trHeight w:val="295"/>
        </w:trPr>
        <w:tc>
          <w:tcPr>
            <w:tcW w:w="3528" w:type="dxa"/>
            <w:shd w:val="clear" w:color="auto" w:fill="DBE5F1"/>
          </w:tcPr>
          <w:p w:rsidR="00545D0F" w:rsidRPr="00947703" w:rsidRDefault="00545D0F" w:rsidP="00545D0F">
            <w:pPr>
              <w:spacing w:after="0" w:line="240" w:lineRule="auto"/>
              <w:rPr>
                <w:rFonts w:ascii="Calibri" w:eastAsia="Calibri" w:hAnsi="Calibri"/>
                <w:b/>
                <w:color w:val="013161"/>
                <w:szCs w:val="22"/>
              </w:rPr>
            </w:pPr>
            <w:r w:rsidRPr="00947703">
              <w:rPr>
                <w:rFonts w:ascii="Calibri" w:eastAsia="Calibri" w:hAnsi="Calibri"/>
                <w:b/>
                <w:color w:val="013161"/>
                <w:szCs w:val="22"/>
              </w:rPr>
              <w:t>Probation Aide</w:t>
            </w:r>
          </w:p>
        </w:tc>
        <w:tc>
          <w:tcPr>
            <w:tcW w:w="3690" w:type="dxa"/>
            <w:shd w:val="clear" w:color="auto" w:fill="DBE5F1"/>
            <w:vAlign w:val="center"/>
          </w:tcPr>
          <w:p w:rsidR="00545D0F" w:rsidRPr="00947703" w:rsidRDefault="00545D0F" w:rsidP="00545D0F">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$38,230.40 - $47,008.00</w:t>
            </w:r>
          </w:p>
        </w:tc>
      </w:tr>
      <w:tr w:rsidR="00545D0F" w:rsidRPr="00947703" w:rsidTr="00545D0F">
        <w:trPr>
          <w:trHeight w:val="295"/>
        </w:trPr>
        <w:tc>
          <w:tcPr>
            <w:tcW w:w="3528" w:type="dxa"/>
            <w:shd w:val="clear" w:color="auto" w:fill="auto"/>
          </w:tcPr>
          <w:p w:rsidR="00545D0F" w:rsidRPr="00947703" w:rsidRDefault="00545D0F" w:rsidP="00545D0F">
            <w:pPr>
              <w:spacing w:after="0" w:line="240" w:lineRule="auto"/>
              <w:rPr>
                <w:rFonts w:ascii="Calibri" w:eastAsia="Calibri" w:hAnsi="Calibri"/>
                <w:b/>
                <w:color w:val="013161"/>
                <w:szCs w:val="22"/>
              </w:rPr>
            </w:pPr>
            <w:r w:rsidRPr="00947703">
              <w:rPr>
                <w:rFonts w:ascii="Calibri" w:eastAsia="Calibri" w:hAnsi="Calibri"/>
                <w:b/>
                <w:color w:val="013161"/>
                <w:szCs w:val="22"/>
              </w:rPr>
              <w:t>Public Health Nurse</w:t>
            </w:r>
          </w:p>
        </w:tc>
        <w:tc>
          <w:tcPr>
            <w:tcW w:w="3690" w:type="dxa"/>
            <w:shd w:val="clear" w:color="auto" w:fill="auto"/>
            <w:vAlign w:val="center"/>
          </w:tcPr>
          <w:p w:rsidR="00545D0F" w:rsidRPr="00947703" w:rsidRDefault="00545D0F" w:rsidP="00545D0F">
            <w:pPr>
              <w:spacing w:after="0" w:line="240" w:lineRule="auto"/>
              <w:jc w:val="center"/>
              <w:rPr>
                <w:rFonts w:ascii="Calibri" w:eastAsia="Calibri" w:hAnsi="Calibri"/>
                <w:b/>
                <w:color w:val="013161"/>
                <w:szCs w:val="22"/>
              </w:rPr>
            </w:pPr>
            <w:r w:rsidRPr="00947703">
              <w:rPr>
                <w:rFonts w:ascii="Calibri" w:eastAsia="Calibri" w:hAnsi="Calibri"/>
                <w:b/>
                <w:color w:val="013161"/>
                <w:szCs w:val="22"/>
              </w:rPr>
              <w:t>$65,020.80 - $79,913.60</w:t>
            </w:r>
          </w:p>
        </w:tc>
      </w:tr>
    </w:tbl>
    <w:p w:rsidR="00D86A11" w:rsidRPr="00BA6A61" w:rsidRDefault="00CB64D5" w:rsidP="003049B3">
      <w:pPr>
        <w:pStyle w:val="Heading3"/>
        <w:spacing w:line="276" w:lineRule="auto"/>
        <w:rPr>
          <w:b w:val="0"/>
          <w:color w:val="auto"/>
          <w:sz w:val="22"/>
        </w:rPr>
      </w:pPr>
      <w:r w:rsidRPr="00BA6A61">
        <w:rPr>
          <w:b w:val="0"/>
          <w:color w:val="auto"/>
          <w:sz w:val="22"/>
        </w:rPr>
        <w:t>I</w:t>
      </w:r>
      <w:r w:rsidR="003F3BD1" w:rsidRPr="00BA6A61">
        <w:rPr>
          <w:b w:val="0"/>
          <w:color w:val="auto"/>
          <w:sz w:val="22"/>
        </w:rPr>
        <w:t xml:space="preserve">ncongruous pay related to the intensity of oversight and responsibility is an additional barrier to retention of supervisors in the Placement Division. Supervising Probation Officers in other areas of the department such as Institutional Services and armed units receive additional </w:t>
      </w:r>
      <w:r w:rsidR="003E50BF">
        <w:rPr>
          <w:b w:val="0"/>
          <w:color w:val="auto"/>
          <w:sz w:val="22"/>
        </w:rPr>
        <w:t xml:space="preserve">differential pay. </w:t>
      </w:r>
      <w:r w:rsidR="00445D82" w:rsidRPr="00BA6A61">
        <w:rPr>
          <w:b w:val="0"/>
          <w:color w:val="auto"/>
          <w:sz w:val="22"/>
        </w:rPr>
        <w:t>As such, those positions can be more desirable. Implementing differential pay for the Placement positions may have a positive impact in the retention of</w:t>
      </w:r>
      <w:r w:rsidRPr="00BA6A61">
        <w:rPr>
          <w:b w:val="0"/>
          <w:color w:val="auto"/>
          <w:sz w:val="22"/>
        </w:rPr>
        <w:t xml:space="preserve"> Supervising Probation Officers.</w:t>
      </w:r>
      <w:r w:rsidR="003E50BF">
        <w:rPr>
          <w:b w:val="0"/>
          <w:color w:val="auto"/>
          <w:sz w:val="22"/>
        </w:rPr>
        <w:t xml:space="preserve"> </w:t>
      </w:r>
      <w:r w:rsidR="00D86A11" w:rsidRPr="00BA6A61">
        <w:rPr>
          <w:b w:val="0"/>
          <w:color w:val="auto"/>
          <w:sz w:val="22"/>
        </w:rPr>
        <w:t>The salaries of the Probation staff are dependent upon position and experience.  Exhibit 48 provides a breakdown of position and salary range.</w:t>
      </w:r>
    </w:p>
    <w:p w:rsidR="00D86A11" w:rsidRPr="00D534DB" w:rsidRDefault="00D86A11" w:rsidP="00D86A11">
      <w:pPr>
        <w:pStyle w:val="FootnoteText"/>
      </w:pPr>
    </w:p>
    <w:p w:rsidR="00D86A11" w:rsidRDefault="00D86A11" w:rsidP="00D86A11">
      <w:pPr>
        <w:pStyle w:val="NormalWeb"/>
        <w:spacing w:line="276" w:lineRule="auto"/>
        <w:rPr>
          <w:rFonts w:ascii="Franklin Gothic Book" w:eastAsia="Perpetua" w:hAnsi="Franklin Gothic Book"/>
          <w:spacing w:val="20"/>
          <w:sz w:val="22"/>
          <w:szCs w:val="28"/>
        </w:rPr>
      </w:pPr>
      <w:r w:rsidRPr="00242891">
        <w:rPr>
          <w:rFonts w:ascii="Franklin Gothic Book" w:eastAsia="Perpetua" w:hAnsi="Franklin Gothic Book"/>
          <w:spacing w:val="20"/>
          <w:sz w:val="22"/>
          <w:szCs w:val="28"/>
        </w:rPr>
        <w:t xml:space="preserve">The average caseload size for officers in the Placement Division varies by assignment.  The average caseload size for officers supervising dual jurisdiction youth is approximately 8.8. The average caseload size for officers supervising youth in an out of home placement to include relative or non-relative care, foster home, or residential treatment is approximately 19.1.  The average caseload size for officers supervising the Extended Foster Care/Non-Minor Dependent youth is approximately 15.5. The division also has two officers responsible for the completion of relative and non-relative home evaluations, two officers responsible for the completion of the Welfare and Institutions Code (WIC) 241.1/Meet and Confer court reports, and one officer who is the Independent Living Skills (ILS) officer, all of whom do not carry caseloads. </w:t>
      </w:r>
    </w:p>
    <w:p w:rsidR="00B602C9" w:rsidRDefault="000B1863">
      <w:pPr>
        <w:pStyle w:val="ColorfulList-Accent11"/>
        <w:spacing w:line="276" w:lineRule="auto"/>
        <w:ind w:left="0"/>
        <w:rPr>
          <w:rFonts w:ascii="Calibri" w:hAnsi="Calibri"/>
          <w:b/>
          <w:color w:val="17365D"/>
          <w:spacing w:val="20"/>
          <w:sz w:val="24"/>
          <w:szCs w:val="22"/>
        </w:rPr>
      </w:pPr>
      <w:r>
        <w:rPr>
          <w:noProof/>
        </w:rPr>
        <w:drawing>
          <wp:anchor distT="0" distB="0" distL="114300" distR="114300" simplePos="0" relativeHeight="251853824" behindDoc="1" locked="0" layoutInCell="1" allowOverlap="1">
            <wp:simplePos x="0" y="0"/>
            <wp:positionH relativeFrom="column">
              <wp:posOffset>-114300</wp:posOffset>
            </wp:positionH>
            <wp:positionV relativeFrom="paragraph">
              <wp:posOffset>197485</wp:posOffset>
            </wp:positionV>
            <wp:extent cx="5674995" cy="3724275"/>
            <wp:effectExtent l="0" t="0" r="1905" b="9525"/>
            <wp:wrapTight wrapText="bothSides">
              <wp:wrapPolygon edited="0">
                <wp:start x="0" y="0"/>
                <wp:lineTo x="0" y="21545"/>
                <wp:lineTo x="21535" y="21545"/>
                <wp:lineTo x="21535" y="0"/>
                <wp:lineTo x="0" y="0"/>
              </wp:wrapPolygon>
            </wp:wrapTight>
            <wp:docPr id="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srcRect l="23520" t="25200" r="23360" b="31226"/>
                    <a:stretch/>
                  </pic:blipFill>
                  <pic:spPr bwMode="auto">
                    <a:xfrm>
                      <a:off x="0" y="0"/>
                      <a:ext cx="5674995" cy="3724275"/>
                    </a:xfrm>
                    <a:prstGeom prst="rect">
                      <a:avLst/>
                    </a:prstGeom>
                    <a:noFill/>
                    <a:ln>
                      <a:noFill/>
                    </a:ln>
                    <a:extLst>
                      <a:ext uri="{53640926-AAD7-44D8-BBD7-CCE9431645EC}">
                        <a14:shadowObscured xmlns:a14="http://schemas.microsoft.com/office/drawing/2010/main"/>
                      </a:ext>
                    </a:extLst>
                  </pic:spPr>
                </pic:pic>
              </a:graphicData>
            </a:graphic>
          </wp:anchor>
        </w:drawing>
      </w:r>
      <w:r w:rsidR="00C17026">
        <w:rPr>
          <w:noProof/>
        </w:rPr>
        <w:drawing>
          <wp:anchor distT="0" distB="0" distL="114300" distR="114300" simplePos="0" relativeHeight="251662336" behindDoc="1" locked="0" layoutInCell="1" allowOverlap="1">
            <wp:simplePos x="0" y="0"/>
            <wp:positionH relativeFrom="column">
              <wp:posOffset>-114300</wp:posOffset>
            </wp:positionH>
            <wp:positionV relativeFrom="paragraph">
              <wp:posOffset>198120</wp:posOffset>
            </wp:positionV>
            <wp:extent cx="5676900" cy="3830320"/>
            <wp:effectExtent l="0" t="0" r="0" b="0"/>
            <wp:wrapTight wrapText="bothSides">
              <wp:wrapPolygon edited="0">
                <wp:start x="0" y="0"/>
                <wp:lineTo x="0" y="21485"/>
                <wp:lineTo x="21528" y="21485"/>
                <wp:lineTo x="21528" y="0"/>
                <wp:lineTo x="0" y="0"/>
              </wp:wrapPolygon>
            </wp:wrapTight>
            <wp:docPr id="2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l="23520" t="25200" r="23360" b="30000"/>
                    <a:stretch>
                      <a:fillRect/>
                    </a:stretch>
                  </pic:blipFill>
                  <pic:spPr bwMode="auto">
                    <a:xfrm>
                      <a:off x="0" y="0"/>
                      <a:ext cx="5676900" cy="3830320"/>
                    </a:xfrm>
                    <a:prstGeom prst="rect">
                      <a:avLst/>
                    </a:prstGeom>
                    <a:noFill/>
                  </pic:spPr>
                </pic:pic>
              </a:graphicData>
            </a:graphic>
          </wp:anchor>
        </w:drawing>
      </w:r>
      <w:r w:rsidR="00D86A11" w:rsidRPr="006040F3">
        <w:rPr>
          <w:rFonts w:ascii="Calibri" w:hAnsi="Calibri"/>
          <w:b/>
          <w:color w:val="17365D"/>
          <w:spacing w:val="20"/>
          <w:sz w:val="24"/>
          <w:szCs w:val="22"/>
        </w:rPr>
        <w:t>Exhibit</w:t>
      </w:r>
      <w:r w:rsidR="00D86A11">
        <w:rPr>
          <w:rFonts w:ascii="Calibri" w:hAnsi="Calibri"/>
          <w:b/>
          <w:color w:val="17365D"/>
          <w:spacing w:val="20"/>
          <w:sz w:val="24"/>
          <w:szCs w:val="22"/>
        </w:rPr>
        <w:t xml:space="preserve"> 49</w:t>
      </w:r>
      <w:r w:rsidR="00D86A11" w:rsidRPr="006040F3">
        <w:rPr>
          <w:rFonts w:ascii="Calibri" w:hAnsi="Calibri"/>
          <w:b/>
          <w:color w:val="17365D"/>
          <w:spacing w:val="20"/>
          <w:sz w:val="24"/>
          <w:szCs w:val="22"/>
        </w:rPr>
        <w:t xml:space="preserve">. </w:t>
      </w:r>
      <w:r w:rsidR="00D86A11">
        <w:rPr>
          <w:rFonts w:ascii="Calibri" w:hAnsi="Calibri"/>
          <w:b/>
          <w:color w:val="17365D"/>
          <w:spacing w:val="20"/>
          <w:sz w:val="24"/>
          <w:szCs w:val="22"/>
        </w:rPr>
        <w:t>County of San Diego Probation Staffing</w:t>
      </w:r>
    </w:p>
    <w:p w:rsidR="00D86A11" w:rsidRPr="00242891" w:rsidRDefault="00D86A11" w:rsidP="00D86A11">
      <w:pPr>
        <w:pStyle w:val="NormalWeb"/>
        <w:spacing w:line="276" w:lineRule="auto"/>
        <w:rPr>
          <w:rFonts w:ascii="Franklin Gothic Book" w:eastAsia="Perpetua" w:hAnsi="Franklin Gothic Book"/>
          <w:spacing w:val="20"/>
          <w:sz w:val="22"/>
          <w:szCs w:val="28"/>
        </w:rPr>
      </w:pPr>
    </w:p>
    <w:p w:rsidR="00D86A11" w:rsidRDefault="00D86A11" w:rsidP="00D86A11"/>
    <w:p w:rsidR="00D86A11" w:rsidRDefault="00D86A11" w:rsidP="00D86A11"/>
    <w:p w:rsidR="00D86A11" w:rsidRPr="00D247FB" w:rsidRDefault="00D86A11" w:rsidP="00D86A11"/>
    <w:p w:rsidR="004407E3" w:rsidRDefault="004407E3" w:rsidP="00D86A11">
      <w:pPr>
        <w:pStyle w:val="Heading1"/>
        <w:rPr>
          <w:color w:val="013161"/>
        </w:rPr>
      </w:pPr>
      <w:r>
        <w:rPr>
          <w:color w:val="013161"/>
        </w:rPr>
        <w:t xml:space="preserve">. </w:t>
      </w:r>
    </w:p>
    <w:p w:rsidR="00D86A11" w:rsidRDefault="004407E3" w:rsidP="00D86A11">
      <w:pPr>
        <w:pStyle w:val="Heading1"/>
        <w:rPr>
          <w:color w:val="013161"/>
        </w:rPr>
      </w:pPr>
      <w:r>
        <w:rPr>
          <w:color w:val="013161"/>
        </w:rPr>
        <w:t xml:space="preserve"> 5c.</w:t>
      </w:r>
      <w:r w:rsidR="00D86A11" w:rsidRPr="00063B02">
        <w:rPr>
          <w:color w:val="013161"/>
        </w:rPr>
        <w:t xml:space="preserve">Financial/Material Resources </w:t>
      </w:r>
    </w:p>
    <w:p w:rsidR="00D86A11" w:rsidRPr="00D41CB0" w:rsidRDefault="00D86A11" w:rsidP="00D86A11">
      <w:pPr>
        <w:pStyle w:val="Heading2"/>
        <w:spacing w:line="276" w:lineRule="auto"/>
      </w:pPr>
      <w:r>
        <w:rPr>
          <w:rStyle w:val="Heading1Char"/>
          <w:b/>
          <w:color w:val="F6872B"/>
          <w:sz w:val="24"/>
        </w:rPr>
        <w:t xml:space="preserve">County of </w:t>
      </w:r>
      <w:r w:rsidRPr="00D41CB0">
        <w:rPr>
          <w:rStyle w:val="Heading1Char"/>
          <w:b/>
          <w:color w:val="F6872B"/>
          <w:sz w:val="24"/>
        </w:rPr>
        <w:t>San Diego</w:t>
      </w:r>
      <w:r>
        <w:rPr>
          <w:rStyle w:val="Heading1Char"/>
          <w:b/>
          <w:color w:val="F6872B"/>
          <w:sz w:val="24"/>
        </w:rPr>
        <w:t xml:space="preserve"> Child Welfare Services</w:t>
      </w:r>
    </w:p>
    <w:p w:rsidR="00D86A11" w:rsidRPr="00672EF4" w:rsidRDefault="00D86A11" w:rsidP="00D86A11">
      <w:p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In the County of S</w:t>
      </w:r>
      <w:r w:rsidRPr="00672EF4">
        <w:rPr>
          <w:rFonts w:ascii="Franklin Gothic Book" w:hAnsi="Franklin Gothic Book"/>
          <w:color w:val="auto"/>
          <w:spacing w:val="20"/>
          <w:szCs w:val="28"/>
        </w:rPr>
        <w:t>an Diego’s previous CSA, we reported the implementation by the State of 2011 Realignment, shifting funding (via sales tax revenue) for Child Welfare Services to the counties.</w:t>
      </w:r>
      <w:r>
        <w:rPr>
          <w:rFonts w:ascii="Franklin Gothic Book" w:hAnsi="Franklin Gothic Book"/>
          <w:color w:val="auto"/>
          <w:spacing w:val="20"/>
          <w:szCs w:val="28"/>
        </w:rPr>
        <w:t xml:space="preserve"> </w:t>
      </w:r>
      <w:r w:rsidRPr="00672EF4">
        <w:rPr>
          <w:rFonts w:ascii="Franklin Gothic Book" w:hAnsi="Franklin Gothic Book"/>
          <w:color w:val="auto"/>
          <w:spacing w:val="20"/>
          <w:szCs w:val="28"/>
        </w:rPr>
        <w:t xml:space="preserve">Sales tax revenue is reliant on the economy, so this shift brought a new risk to the counties. In October, 2014, </w:t>
      </w:r>
      <w:r>
        <w:rPr>
          <w:rFonts w:ascii="Franklin Gothic Book" w:hAnsi="Franklin Gothic Book"/>
          <w:color w:val="auto"/>
          <w:spacing w:val="20"/>
          <w:szCs w:val="28"/>
        </w:rPr>
        <w:t>the County of San Diego</w:t>
      </w:r>
      <w:r w:rsidRPr="00672EF4">
        <w:rPr>
          <w:rFonts w:ascii="Franklin Gothic Book" w:hAnsi="Franklin Gothic Book"/>
          <w:color w:val="auto"/>
          <w:spacing w:val="20"/>
          <w:szCs w:val="28"/>
        </w:rPr>
        <w:t xml:space="preserve"> entered in the Title IV-</w:t>
      </w:r>
      <w:r>
        <w:rPr>
          <w:rFonts w:ascii="Franklin Gothic Book" w:hAnsi="Franklin Gothic Book"/>
          <w:color w:val="auto"/>
          <w:spacing w:val="20"/>
          <w:szCs w:val="28"/>
        </w:rPr>
        <w:t>E Waiver Demonstration Project.</w:t>
      </w:r>
      <w:r w:rsidRPr="00672EF4">
        <w:rPr>
          <w:rFonts w:ascii="Franklin Gothic Book" w:hAnsi="Franklin Gothic Book"/>
          <w:color w:val="auto"/>
          <w:spacing w:val="20"/>
          <w:szCs w:val="28"/>
        </w:rPr>
        <w:t xml:space="preserve"> Our goals included expanding</w:t>
      </w:r>
      <w:r>
        <w:rPr>
          <w:rFonts w:ascii="Franklin Gothic Book" w:hAnsi="Franklin Gothic Book"/>
          <w:color w:val="auto"/>
          <w:spacing w:val="20"/>
          <w:szCs w:val="28"/>
        </w:rPr>
        <w:t xml:space="preserve"> visitation services and permanent connections</w:t>
      </w:r>
      <w:r w:rsidRPr="00672EF4">
        <w:rPr>
          <w:rFonts w:ascii="Franklin Gothic Book" w:hAnsi="Franklin Gothic Book"/>
          <w:color w:val="auto"/>
          <w:spacing w:val="20"/>
          <w:szCs w:val="28"/>
        </w:rPr>
        <w:t xml:space="preserve"> to children in foster </w:t>
      </w:r>
      <w:r w:rsidRPr="00672EF4">
        <w:rPr>
          <w:rFonts w:ascii="Franklin Gothic Book" w:hAnsi="Franklin Gothic Book"/>
          <w:color w:val="auto"/>
          <w:spacing w:val="20"/>
          <w:szCs w:val="28"/>
        </w:rPr>
        <w:lastRenderedPageBreak/>
        <w:t>care and incorporating Safety Organized Practice, a best practice mode</w:t>
      </w:r>
      <w:r>
        <w:rPr>
          <w:rFonts w:ascii="Franklin Gothic Book" w:hAnsi="Franklin Gothic Book"/>
          <w:color w:val="auto"/>
          <w:spacing w:val="20"/>
          <w:szCs w:val="28"/>
        </w:rPr>
        <w:t>l, into our business practices.</w:t>
      </w:r>
      <w:r w:rsidRPr="00672EF4">
        <w:rPr>
          <w:rFonts w:ascii="Franklin Gothic Book" w:hAnsi="Franklin Gothic Book"/>
          <w:color w:val="auto"/>
          <w:spacing w:val="20"/>
          <w:szCs w:val="28"/>
        </w:rPr>
        <w:t xml:space="preserve"> Since the inception of the 5 year Waiver Project, several State and federal mandates have increased costs to the counties, including:</w:t>
      </w:r>
    </w:p>
    <w:p w:rsidR="00D86A11" w:rsidRPr="00672EF4" w:rsidRDefault="00D86A11" w:rsidP="00D86A11">
      <w:pPr>
        <w:numPr>
          <w:ilvl w:val="0"/>
          <w:numId w:val="16"/>
        </w:numPr>
        <w:spacing w:before="120" w:after="0"/>
        <w:ind w:right="130"/>
        <w:rPr>
          <w:rFonts w:ascii="Franklin Gothic Book" w:hAnsi="Franklin Gothic Book"/>
          <w:color w:val="auto"/>
          <w:spacing w:val="20"/>
          <w:szCs w:val="28"/>
        </w:rPr>
      </w:pPr>
      <w:r w:rsidRPr="00672EF4">
        <w:rPr>
          <w:rFonts w:ascii="Franklin Gothic Book" w:hAnsi="Franklin Gothic Book"/>
          <w:color w:val="auto"/>
          <w:spacing w:val="20"/>
          <w:szCs w:val="28"/>
        </w:rPr>
        <w:t>Increased emphasis in permanency for children,</w:t>
      </w:r>
    </w:p>
    <w:p w:rsidR="00D86A11" w:rsidRPr="00672EF4" w:rsidRDefault="00D86A11" w:rsidP="00D86A11">
      <w:pPr>
        <w:numPr>
          <w:ilvl w:val="0"/>
          <w:numId w:val="16"/>
        </w:numPr>
        <w:spacing w:before="120" w:after="0"/>
        <w:ind w:right="130"/>
        <w:rPr>
          <w:rFonts w:ascii="Franklin Gothic Book" w:hAnsi="Franklin Gothic Book"/>
          <w:color w:val="auto"/>
          <w:spacing w:val="20"/>
          <w:szCs w:val="28"/>
        </w:rPr>
      </w:pPr>
      <w:r w:rsidRPr="00672EF4">
        <w:rPr>
          <w:rFonts w:ascii="Franklin Gothic Book" w:hAnsi="Franklin Gothic Book"/>
          <w:color w:val="auto"/>
          <w:spacing w:val="20"/>
          <w:szCs w:val="28"/>
        </w:rPr>
        <w:t>Increased emphasis in placing children with relatives and non-related kin, including the Approved Relative Caregiver Program which provides the foster care aid payment equivalents to State only CWS cases,</w:t>
      </w:r>
    </w:p>
    <w:p w:rsidR="00D86A11" w:rsidRPr="00672EF4" w:rsidRDefault="00D86A11" w:rsidP="00D86A11">
      <w:pPr>
        <w:numPr>
          <w:ilvl w:val="0"/>
          <w:numId w:val="16"/>
        </w:numPr>
        <w:spacing w:before="120" w:after="0"/>
        <w:ind w:right="130"/>
        <w:rPr>
          <w:rFonts w:ascii="Franklin Gothic Book" w:hAnsi="Franklin Gothic Book"/>
          <w:color w:val="auto"/>
          <w:spacing w:val="20"/>
          <w:szCs w:val="28"/>
        </w:rPr>
      </w:pPr>
      <w:r w:rsidRPr="00672EF4">
        <w:rPr>
          <w:rFonts w:ascii="Franklin Gothic Book" w:hAnsi="Franklin Gothic Book"/>
          <w:color w:val="auto"/>
          <w:spacing w:val="20"/>
          <w:szCs w:val="28"/>
        </w:rPr>
        <w:t>Increased awareness and requirements surrounding the Commercial Sexual Exploitation of Children,</w:t>
      </w:r>
    </w:p>
    <w:p w:rsidR="00D86A11" w:rsidRPr="00672EF4" w:rsidRDefault="00D86A11" w:rsidP="00D86A11">
      <w:pPr>
        <w:numPr>
          <w:ilvl w:val="0"/>
          <w:numId w:val="16"/>
        </w:numPr>
        <w:spacing w:before="120" w:after="0"/>
        <w:ind w:right="130"/>
        <w:rPr>
          <w:rFonts w:ascii="Franklin Gothic Book" w:hAnsi="Franklin Gothic Book"/>
          <w:color w:val="auto"/>
          <w:spacing w:val="20"/>
          <w:szCs w:val="28"/>
        </w:rPr>
      </w:pPr>
      <w:r w:rsidRPr="00672EF4">
        <w:rPr>
          <w:rFonts w:ascii="Franklin Gothic Book" w:hAnsi="Franklin Gothic Book"/>
          <w:color w:val="auto"/>
          <w:spacing w:val="20"/>
          <w:szCs w:val="28"/>
        </w:rPr>
        <w:t>Federally</w:t>
      </w:r>
      <w:r>
        <w:rPr>
          <w:rFonts w:ascii="Franklin Gothic Book" w:hAnsi="Franklin Gothic Book"/>
          <w:color w:val="auto"/>
          <w:spacing w:val="20"/>
          <w:szCs w:val="28"/>
        </w:rPr>
        <w:t xml:space="preserve"> mandated expanded case reviews,</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672EF4">
        <w:rPr>
          <w:rFonts w:ascii="Franklin Gothic Book" w:hAnsi="Franklin Gothic Book"/>
          <w:color w:val="auto"/>
          <w:spacing w:val="20"/>
          <w:szCs w:val="28"/>
        </w:rPr>
        <w:t>Implementation of Continuum of Care (CCR)</w:t>
      </w:r>
      <w:r>
        <w:rPr>
          <w:rFonts w:ascii="Franklin Gothic Book" w:hAnsi="Franklin Gothic Book"/>
          <w:color w:val="auto"/>
          <w:spacing w:val="20"/>
          <w:szCs w:val="28"/>
        </w:rPr>
        <w:t xml:space="preserve"> </w:t>
      </w:r>
      <w:r w:rsidRPr="00672EF4">
        <w:rPr>
          <w:rFonts w:ascii="Franklin Gothic Book" w:hAnsi="Franklin Gothic Book"/>
          <w:color w:val="auto"/>
          <w:spacing w:val="20"/>
          <w:szCs w:val="28"/>
        </w:rPr>
        <w:t>components:</w:t>
      </w:r>
    </w:p>
    <w:p w:rsidR="00D86A11" w:rsidRDefault="00D86A11" w:rsidP="00D86A11">
      <w:pPr>
        <w:numPr>
          <w:ilvl w:val="1"/>
          <w:numId w:val="16"/>
        </w:numPr>
        <w:spacing w:before="120" w:after="0"/>
        <w:ind w:right="130"/>
        <w:rPr>
          <w:rFonts w:ascii="Franklin Gothic Book" w:hAnsi="Franklin Gothic Book"/>
          <w:color w:val="auto"/>
          <w:spacing w:val="20"/>
          <w:szCs w:val="28"/>
        </w:rPr>
      </w:pPr>
      <w:r w:rsidRPr="007A2EBE">
        <w:rPr>
          <w:rFonts w:ascii="Franklin Gothic Book" w:hAnsi="Franklin Gothic Book"/>
          <w:color w:val="auto"/>
          <w:spacing w:val="20"/>
          <w:szCs w:val="28"/>
        </w:rPr>
        <w:t>Child and Family Teams</w:t>
      </w:r>
    </w:p>
    <w:p w:rsidR="00D86A11" w:rsidRDefault="00D86A11" w:rsidP="00D86A11">
      <w:pPr>
        <w:numPr>
          <w:ilvl w:val="1"/>
          <w:numId w:val="16"/>
        </w:numPr>
        <w:spacing w:before="120" w:after="0"/>
        <w:ind w:right="130"/>
        <w:rPr>
          <w:rFonts w:ascii="Franklin Gothic Book" w:hAnsi="Franklin Gothic Book"/>
          <w:color w:val="auto"/>
          <w:spacing w:val="20"/>
          <w:szCs w:val="28"/>
        </w:rPr>
      </w:pPr>
      <w:r w:rsidRPr="007A2EBE">
        <w:rPr>
          <w:rFonts w:ascii="Franklin Gothic Book" w:hAnsi="Franklin Gothic Book"/>
          <w:color w:val="auto"/>
          <w:spacing w:val="20"/>
          <w:szCs w:val="28"/>
        </w:rPr>
        <w:t>Case Planning Assessments</w:t>
      </w:r>
    </w:p>
    <w:p w:rsidR="00D86A11" w:rsidRDefault="00D86A11" w:rsidP="00D86A11">
      <w:pPr>
        <w:numPr>
          <w:ilvl w:val="1"/>
          <w:numId w:val="16"/>
        </w:numPr>
        <w:spacing w:before="120" w:after="0"/>
        <w:ind w:right="130"/>
        <w:rPr>
          <w:rFonts w:ascii="Franklin Gothic Book" w:hAnsi="Franklin Gothic Book"/>
          <w:color w:val="auto"/>
          <w:spacing w:val="20"/>
          <w:szCs w:val="28"/>
        </w:rPr>
      </w:pPr>
      <w:r w:rsidRPr="007A2EBE">
        <w:rPr>
          <w:rFonts w:ascii="Franklin Gothic Book" w:hAnsi="Franklin Gothic Book"/>
          <w:color w:val="auto"/>
          <w:spacing w:val="20"/>
          <w:szCs w:val="28"/>
        </w:rPr>
        <w:t>Approval of all homes with a home study, making all homes available to children, including relative and non-related kin, approved for foster care and adoption up front</w:t>
      </w:r>
    </w:p>
    <w:p w:rsidR="00D86A11" w:rsidRPr="00FD75E1" w:rsidRDefault="00D86A11" w:rsidP="00D86A11">
      <w:pPr>
        <w:numPr>
          <w:ilvl w:val="1"/>
          <w:numId w:val="16"/>
        </w:numPr>
        <w:spacing w:before="120" w:after="0"/>
        <w:ind w:right="130"/>
        <w:rPr>
          <w:rFonts w:ascii="Franklin Gothic Book" w:hAnsi="Franklin Gothic Book"/>
          <w:color w:val="auto"/>
          <w:spacing w:val="20"/>
          <w:szCs w:val="28"/>
        </w:rPr>
      </w:pPr>
      <w:r w:rsidRPr="00FD75E1">
        <w:rPr>
          <w:rFonts w:ascii="Franklin Gothic Book" w:hAnsi="Franklin Gothic Book"/>
          <w:color w:val="auto"/>
          <w:spacing w:val="20"/>
          <w:szCs w:val="28"/>
        </w:rPr>
        <w:t>Placement of children in Group Homes for limited stays for problem resolution with subsequent placement in the most appropriate lower level of care with supportive services in place to promote stability in the home</w:t>
      </w:r>
    </w:p>
    <w:p w:rsidR="00D86A11" w:rsidRPr="00672EF4" w:rsidRDefault="00D86A11" w:rsidP="00D86A11">
      <w:pPr>
        <w:spacing w:before="120" w:after="0"/>
        <w:ind w:right="130"/>
        <w:rPr>
          <w:rFonts w:ascii="Franklin Gothic Book" w:hAnsi="Franklin Gothic Book"/>
          <w:color w:val="auto"/>
          <w:spacing w:val="20"/>
          <w:szCs w:val="28"/>
        </w:rPr>
      </w:pPr>
      <w:r w:rsidRPr="00672EF4">
        <w:rPr>
          <w:rFonts w:ascii="Franklin Gothic Book" w:hAnsi="Franklin Gothic Book"/>
          <w:color w:val="auto"/>
          <w:spacing w:val="20"/>
          <w:szCs w:val="28"/>
        </w:rPr>
        <w:t xml:space="preserve">These increased mandates have come with additional funding, but not enough to cover the increased costs and, for Waiver counties such as San Diego, no way to access additional federal match funding. </w:t>
      </w:r>
    </w:p>
    <w:p w:rsidR="00D86A11" w:rsidRDefault="00D86A11" w:rsidP="00D86A11">
      <w:pPr>
        <w:spacing w:before="120" w:after="0"/>
        <w:ind w:right="130"/>
        <w:rPr>
          <w:rFonts w:ascii="Franklin Gothic Book" w:hAnsi="Franklin Gothic Book"/>
          <w:color w:val="auto"/>
          <w:spacing w:val="20"/>
          <w:szCs w:val="28"/>
        </w:rPr>
      </w:pPr>
      <w:r w:rsidRPr="00672EF4">
        <w:rPr>
          <w:rFonts w:ascii="Franklin Gothic Book" w:hAnsi="Franklin Gothic Book"/>
          <w:color w:val="auto"/>
          <w:spacing w:val="20"/>
          <w:szCs w:val="28"/>
        </w:rPr>
        <w:t xml:space="preserve">The implementation of the Waiver Project has allowed </w:t>
      </w:r>
      <w:r>
        <w:rPr>
          <w:rFonts w:ascii="Franklin Gothic Book" w:hAnsi="Franklin Gothic Book"/>
          <w:color w:val="auto"/>
          <w:spacing w:val="20"/>
          <w:szCs w:val="28"/>
        </w:rPr>
        <w:t>the County of San Diego</w:t>
      </w:r>
      <w:r w:rsidRPr="00672EF4">
        <w:rPr>
          <w:rFonts w:ascii="Franklin Gothic Book" w:hAnsi="Franklin Gothic Book"/>
          <w:color w:val="auto"/>
          <w:spacing w:val="20"/>
          <w:szCs w:val="28"/>
        </w:rPr>
        <w:t xml:space="preserve"> to</w:t>
      </w:r>
      <w:r>
        <w:rPr>
          <w:rFonts w:ascii="Franklin Gothic Book" w:hAnsi="Franklin Gothic Book"/>
          <w:color w:val="auto"/>
          <w:spacing w:val="20"/>
          <w:szCs w:val="28"/>
        </w:rPr>
        <w:t xml:space="preserve"> add more prevention and aftercare services</w:t>
      </w:r>
      <w:r w:rsidRPr="00672EF4">
        <w:rPr>
          <w:rFonts w:ascii="Franklin Gothic Book" w:hAnsi="Franklin Gothic Book"/>
          <w:color w:val="auto"/>
          <w:spacing w:val="20"/>
          <w:szCs w:val="28"/>
        </w:rPr>
        <w:t xml:space="preserve"> to meet the goals of the Waiver and provide increased services to the children and families served</w:t>
      </w:r>
      <w:r>
        <w:rPr>
          <w:rFonts w:ascii="Franklin Gothic Book" w:hAnsi="Franklin Gothic Book"/>
          <w:color w:val="auto"/>
          <w:spacing w:val="20"/>
          <w:szCs w:val="28"/>
        </w:rPr>
        <w:t xml:space="preserve">. </w:t>
      </w:r>
      <w:r w:rsidRPr="00672EF4">
        <w:rPr>
          <w:rFonts w:ascii="Franklin Gothic Book" w:hAnsi="Franklin Gothic Book"/>
          <w:color w:val="auto"/>
          <w:spacing w:val="20"/>
          <w:szCs w:val="28"/>
        </w:rPr>
        <w:t>The current economy has provided funding to cover some of the increased costs of the new mandates</w:t>
      </w:r>
      <w:r>
        <w:rPr>
          <w:rFonts w:ascii="Franklin Gothic Book" w:hAnsi="Franklin Gothic Book"/>
          <w:color w:val="auto"/>
          <w:spacing w:val="20"/>
          <w:szCs w:val="28"/>
        </w:rPr>
        <w:t xml:space="preserve">. </w:t>
      </w:r>
      <w:r w:rsidRPr="00672EF4">
        <w:rPr>
          <w:rFonts w:ascii="Franklin Gothic Book" w:hAnsi="Franklin Gothic Book"/>
          <w:color w:val="auto"/>
          <w:spacing w:val="20"/>
          <w:szCs w:val="28"/>
        </w:rPr>
        <w:t>Any decline i</w:t>
      </w:r>
      <w:r>
        <w:rPr>
          <w:rFonts w:ascii="Franklin Gothic Book" w:hAnsi="Franklin Gothic Book"/>
          <w:color w:val="auto"/>
          <w:spacing w:val="20"/>
          <w:szCs w:val="28"/>
        </w:rPr>
        <w:t>n</w:t>
      </w:r>
      <w:r w:rsidRPr="00672EF4">
        <w:rPr>
          <w:rFonts w:ascii="Franklin Gothic Book" w:hAnsi="Franklin Gothic Book"/>
          <w:color w:val="auto"/>
          <w:spacing w:val="20"/>
          <w:szCs w:val="28"/>
        </w:rPr>
        <w:t xml:space="preserve"> economic activity will reduce the county’s ability to continue funding these costs</w:t>
      </w:r>
      <w:r>
        <w:rPr>
          <w:rFonts w:ascii="Franklin Gothic Book" w:hAnsi="Franklin Gothic Book"/>
          <w:color w:val="auto"/>
          <w:spacing w:val="20"/>
          <w:szCs w:val="28"/>
        </w:rPr>
        <w:t xml:space="preserve">. </w:t>
      </w:r>
      <w:r w:rsidRPr="00672EF4">
        <w:rPr>
          <w:rFonts w:ascii="Franklin Gothic Book" w:hAnsi="Franklin Gothic Book"/>
          <w:color w:val="auto"/>
          <w:spacing w:val="20"/>
          <w:szCs w:val="28"/>
        </w:rPr>
        <w:t xml:space="preserve">CWS continues to work diligently to leverage CAPIT, CBCAP, PSSF, and Children’s Trust Fund with funding from internal and external partners, including County Mental Health (CMH), United Way, First 5 Commission of </w:t>
      </w:r>
      <w:r>
        <w:rPr>
          <w:rFonts w:ascii="Franklin Gothic Book" w:hAnsi="Franklin Gothic Book"/>
          <w:color w:val="auto"/>
          <w:spacing w:val="20"/>
          <w:szCs w:val="28"/>
        </w:rPr>
        <w:t>the County of San Diego</w:t>
      </w:r>
      <w:r w:rsidRPr="00672EF4">
        <w:rPr>
          <w:rFonts w:ascii="Franklin Gothic Book" w:hAnsi="Franklin Gothic Book"/>
          <w:color w:val="auto"/>
          <w:spacing w:val="20"/>
          <w:szCs w:val="28"/>
        </w:rPr>
        <w:t xml:space="preserve">, </w:t>
      </w:r>
      <w:r>
        <w:rPr>
          <w:rFonts w:ascii="Franklin Gothic Book" w:hAnsi="Franklin Gothic Book"/>
          <w:color w:val="auto"/>
          <w:spacing w:val="20"/>
          <w:szCs w:val="28"/>
        </w:rPr>
        <w:t>and Behavioral Health Services.</w:t>
      </w:r>
      <w:r w:rsidRPr="00672EF4">
        <w:rPr>
          <w:rFonts w:ascii="Franklin Gothic Book" w:hAnsi="Franklin Gothic Book"/>
          <w:color w:val="auto"/>
          <w:spacing w:val="20"/>
          <w:szCs w:val="28"/>
        </w:rPr>
        <w:t xml:space="preserve"> Continued strategizing to change business practices to meet the current needs of children and families involved with Child Welfare Services has allowed the county to maintain positive outcomes</w:t>
      </w:r>
      <w:r>
        <w:rPr>
          <w:rFonts w:ascii="Franklin Gothic Book" w:hAnsi="Franklin Gothic Book"/>
          <w:color w:val="auto"/>
          <w:spacing w:val="20"/>
          <w:szCs w:val="28"/>
        </w:rPr>
        <w:t xml:space="preserve">. </w:t>
      </w:r>
    </w:p>
    <w:p w:rsidR="00D86A11" w:rsidRDefault="00D86A11" w:rsidP="00D86A11">
      <w:pPr>
        <w:pStyle w:val="Heading2"/>
        <w:rPr>
          <w:rStyle w:val="Heading1Char"/>
          <w:b/>
          <w:color w:val="F6872B"/>
          <w:sz w:val="24"/>
        </w:rPr>
      </w:pPr>
      <w:r>
        <w:rPr>
          <w:rStyle w:val="Heading1Char"/>
          <w:b/>
          <w:color w:val="F6872B"/>
          <w:sz w:val="24"/>
        </w:rPr>
        <w:t xml:space="preserve">County of San Diego </w:t>
      </w:r>
      <w:r w:rsidRPr="00D41CB0">
        <w:rPr>
          <w:rStyle w:val="Heading1Char"/>
          <w:b/>
          <w:color w:val="F6872B"/>
          <w:sz w:val="24"/>
        </w:rPr>
        <w:t xml:space="preserve">Probation Department </w:t>
      </w:r>
      <w:r>
        <w:rPr>
          <w:rStyle w:val="Heading1Char"/>
          <w:b/>
          <w:color w:val="F6872B"/>
          <w:sz w:val="24"/>
        </w:rPr>
        <w:t>(SDCPD)</w:t>
      </w:r>
    </w:p>
    <w:p w:rsidR="00D86A11" w:rsidRPr="00613228" w:rsidRDefault="00D86A11" w:rsidP="00D86A11">
      <w:pPr>
        <w:pStyle w:val="Heading3"/>
        <w:spacing w:line="276" w:lineRule="auto"/>
        <w:rPr>
          <w:b w:val="0"/>
          <w:color w:val="auto"/>
          <w:sz w:val="22"/>
        </w:rPr>
      </w:pPr>
      <w:r w:rsidRPr="00613228">
        <w:rPr>
          <w:b w:val="0"/>
          <w:color w:val="auto"/>
          <w:sz w:val="22"/>
        </w:rPr>
        <w:t>On October 1, 2014, HHSA/Probation entered into the federally approved Title IV-E California Well Being Project (Waiver/Demonstration Project)</w:t>
      </w:r>
      <w:r>
        <w:rPr>
          <w:b w:val="0"/>
          <w:color w:val="auto"/>
          <w:sz w:val="22"/>
        </w:rPr>
        <w:t xml:space="preserve">. </w:t>
      </w:r>
      <w:r w:rsidRPr="00613228">
        <w:rPr>
          <w:b w:val="0"/>
          <w:color w:val="auto"/>
          <w:sz w:val="22"/>
        </w:rPr>
        <w:t xml:space="preserve">For Probation, the Waiver allows more flexible use of federal Title IV-E reimbursement monies, which allows for broader claiming of hours and activities related to youth that would </w:t>
      </w:r>
      <w:r w:rsidRPr="00613228">
        <w:rPr>
          <w:b w:val="0"/>
          <w:color w:val="auto"/>
          <w:sz w:val="22"/>
        </w:rPr>
        <w:lastRenderedPageBreak/>
        <w:t>normally not qualify for claiming under traditional Title IV-E rules (Reasonable Candidates and youth in Foster Care)</w:t>
      </w:r>
      <w:r>
        <w:rPr>
          <w:b w:val="0"/>
          <w:color w:val="auto"/>
          <w:sz w:val="22"/>
        </w:rPr>
        <w:t xml:space="preserve">. </w:t>
      </w:r>
      <w:r w:rsidRPr="00613228">
        <w:rPr>
          <w:b w:val="0"/>
          <w:color w:val="auto"/>
          <w:sz w:val="22"/>
        </w:rPr>
        <w:t xml:space="preserve"> In addition, one of the strategies under the Project, Wraparound Services, allows for SDCPD to re-coop savings for youth who are provided services through a wraparound provider in lieu of a Foster Care Residential Treatment Facility Placement</w:t>
      </w:r>
      <w:r>
        <w:rPr>
          <w:b w:val="0"/>
          <w:color w:val="auto"/>
          <w:sz w:val="22"/>
        </w:rPr>
        <w:t xml:space="preserve">. </w:t>
      </w:r>
    </w:p>
    <w:p w:rsidR="00D86A11" w:rsidRPr="00613228" w:rsidRDefault="00D86A11" w:rsidP="00D86A11">
      <w:pPr>
        <w:pStyle w:val="Heading3"/>
        <w:spacing w:line="276" w:lineRule="auto"/>
        <w:rPr>
          <w:b w:val="0"/>
          <w:color w:val="auto"/>
          <w:sz w:val="22"/>
        </w:rPr>
      </w:pPr>
      <w:r w:rsidRPr="00613228">
        <w:rPr>
          <w:b w:val="0"/>
          <w:color w:val="auto"/>
          <w:sz w:val="22"/>
        </w:rPr>
        <w:t xml:space="preserve">In June of 2015, the </w:t>
      </w:r>
      <w:r>
        <w:rPr>
          <w:b w:val="0"/>
          <w:color w:val="auto"/>
          <w:sz w:val="22"/>
        </w:rPr>
        <w:t xml:space="preserve">County of San Diego </w:t>
      </w:r>
      <w:r w:rsidRPr="00613228">
        <w:rPr>
          <w:b w:val="0"/>
          <w:color w:val="auto"/>
          <w:sz w:val="22"/>
        </w:rPr>
        <w:t xml:space="preserve">Probation Department was awarded a 3-year Mentally </w:t>
      </w:r>
      <w:r w:rsidR="00F1013C" w:rsidRPr="00F1013C">
        <w:rPr>
          <w:b w:val="0"/>
          <w:color w:val="auto"/>
          <w:sz w:val="22"/>
        </w:rPr>
        <w:t xml:space="preserve">Ill Offender Crime Reduction Grant Program for Juveniles. The grant is meant to expand early identification and intervention for high-risk, high –need youth with trauma and broaden the service continuum to reduce recidivism and improve outcomes. </w:t>
      </w:r>
    </w:p>
    <w:p w:rsidR="00D86A11" w:rsidRPr="00063B02" w:rsidRDefault="004407E3" w:rsidP="00D86A11">
      <w:pPr>
        <w:pStyle w:val="Heading1"/>
        <w:rPr>
          <w:color w:val="013161"/>
        </w:rPr>
      </w:pPr>
      <w:r>
        <w:rPr>
          <w:color w:val="013161"/>
        </w:rPr>
        <w:t>5d1</w:t>
      </w:r>
      <w:r w:rsidR="00F1013C" w:rsidRPr="00F1013C">
        <w:rPr>
          <w:color w:val="013161"/>
        </w:rPr>
        <w:t xml:space="preserve">. </w:t>
      </w:r>
      <w:r w:rsidR="00D86A11" w:rsidRPr="00063B02">
        <w:rPr>
          <w:color w:val="013161"/>
        </w:rPr>
        <w:t>C</w:t>
      </w:r>
      <w:r w:rsidR="00D86A11">
        <w:rPr>
          <w:color w:val="013161"/>
        </w:rPr>
        <w:t>hild Welfare</w:t>
      </w:r>
      <w:r w:rsidR="00D86A11" w:rsidRPr="00063B02">
        <w:rPr>
          <w:color w:val="013161"/>
        </w:rPr>
        <w:t xml:space="preserve"> Operated Services</w:t>
      </w:r>
    </w:p>
    <w:p w:rsidR="00D86A11" w:rsidRPr="002C76A1" w:rsidRDefault="00D86A11" w:rsidP="00D86A11">
      <w:pPr>
        <w:pStyle w:val="Heading2"/>
        <w:rPr>
          <w:b w:val="0"/>
        </w:rPr>
      </w:pPr>
      <w:r>
        <w:rPr>
          <w:rStyle w:val="Heading1Char"/>
          <w:b/>
          <w:color w:val="F6872B"/>
          <w:sz w:val="24"/>
        </w:rPr>
        <w:t xml:space="preserve">A.B and </w:t>
      </w:r>
      <w:r w:rsidRPr="002C76A1">
        <w:rPr>
          <w:rStyle w:val="Heading1Char"/>
          <w:b/>
          <w:color w:val="F6872B"/>
          <w:sz w:val="24"/>
          <w:szCs w:val="28"/>
        </w:rPr>
        <w:t>Jessie Polinsky Children’s Center (PCC)</w:t>
      </w:r>
    </w:p>
    <w:p w:rsidR="00D86A11" w:rsidRDefault="00D86A11" w:rsidP="00D86A11">
      <w:pPr>
        <w:pStyle w:val="Heading3"/>
        <w:spacing w:line="276" w:lineRule="auto"/>
        <w:rPr>
          <w:b w:val="0"/>
          <w:color w:val="auto"/>
          <w:sz w:val="22"/>
        </w:rPr>
      </w:pPr>
      <w:r w:rsidRPr="007B1A64">
        <w:rPr>
          <w:b w:val="0"/>
          <w:color w:val="auto"/>
          <w:sz w:val="22"/>
        </w:rPr>
        <w:t>CWS operates the A.B. and Jessie Polinsky Children’s Center (PCC), a 24-hour facility and Assessment Center for the temporary emergency shelter of children, birth up to 18 years, who must be separated from their families for their own safety. PCC is licensed by the California Department of Social Services Community Care Licensing (CCL) division to house up to 204 children. PCC on average, houses 47 children per day and the average length of stay for children is 11 days.</w:t>
      </w:r>
    </w:p>
    <w:p w:rsidR="00D86A11" w:rsidRPr="007B1A64" w:rsidRDefault="00D86A11" w:rsidP="00D86A11">
      <w:pPr>
        <w:pStyle w:val="Heading3"/>
        <w:spacing w:line="276" w:lineRule="auto"/>
        <w:rPr>
          <w:b w:val="0"/>
          <w:color w:val="auto"/>
          <w:sz w:val="22"/>
        </w:rPr>
      </w:pPr>
      <w:r w:rsidRPr="007B1A64">
        <w:rPr>
          <w:b w:val="0"/>
          <w:color w:val="auto"/>
          <w:sz w:val="22"/>
        </w:rPr>
        <w:t xml:space="preserve">The PCC campus includes six residential cottages, an infant nursery, medical clinic, school, library, cafeteria, gymnasium, two swimming pools, two playgrounds and an athletic field. PCC also includes a 23-hour Assessment Center, and a Prevention Pavilion that provides space for Promises2kids and other community child abuse prevention activities. </w:t>
      </w:r>
    </w:p>
    <w:p w:rsidR="00D86A11" w:rsidRPr="006C27E4" w:rsidRDefault="00D86A11" w:rsidP="00D86A11">
      <w:pPr>
        <w:pStyle w:val="Heading3"/>
        <w:spacing w:line="276" w:lineRule="auto"/>
        <w:rPr>
          <w:b w:val="0"/>
          <w:color w:val="auto"/>
          <w:sz w:val="22"/>
        </w:rPr>
      </w:pPr>
      <w:r w:rsidRPr="006C27E4">
        <w:rPr>
          <w:b w:val="0"/>
          <w:color w:val="auto"/>
          <w:sz w:val="22"/>
        </w:rPr>
        <w:t>PCC also offers the following on-site specialized services:</w:t>
      </w:r>
    </w:p>
    <w:p w:rsidR="00D86A11" w:rsidRPr="006C27E4" w:rsidRDefault="00D86A11" w:rsidP="00D86A11">
      <w:pPr>
        <w:numPr>
          <w:ilvl w:val="0"/>
          <w:numId w:val="16"/>
        </w:numPr>
        <w:spacing w:before="120" w:after="0"/>
        <w:ind w:right="130"/>
        <w:rPr>
          <w:rFonts w:ascii="Franklin Gothic Book" w:hAnsi="Franklin Gothic Book"/>
          <w:color w:val="auto"/>
          <w:spacing w:val="20"/>
          <w:szCs w:val="28"/>
        </w:rPr>
      </w:pPr>
      <w:r w:rsidRPr="006C27E4">
        <w:rPr>
          <w:rFonts w:ascii="Franklin Gothic Book" w:hAnsi="Franklin Gothic Book"/>
          <w:i/>
          <w:color w:val="auto"/>
          <w:spacing w:val="20"/>
          <w:szCs w:val="28"/>
        </w:rPr>
        <w:t>Physical Health Clinic</w:t>
      </w:r>
      <w:r w:rsidRPr="006C27E4">
        <w:rPr>
          <w:rFonts w:ascii="Franklin Gothic Book" w:hAnsi="Franklin Gothic Book"/>
          <w:color w:val="auto"/>
          <w:spacing w:val="20"/>
          <w:szCs w:val="28"/>
        </w:rPr>
        <w:t>: A contracted service with Rady Children's Hospital, the Health Clinic ensures that all children receive a th</w:t>
      </w:r>
      <w:r>
        <w:rPr>
          <w:rFonts w:ascii="Franklin Gothic Book" w:hAnsi="Franklin Gothic Book"/>
          <w:color w:val="auto"/>
          <w:spacing w:val="20"/>
          <w:szCs w:val="28"/>
        </w:rPr>
        <w:t>o</w:t>
      </w:r>
      <w:r w:rsidRPr="006C27E4">
        <w:rPr>
          <w:rFonts w:ascii="Franklin Gothic Book" w:hAnsi="Franklin Gothic Book"/>
          <w:color w:val="auto"/>
          <w:spacing w:val="20"/>
          <w:szCs w:val="28"/>
        </w:rPr>
        <w:t xml:space="preserve">rough medical assessment at the time of entry, arranges for specialized services and </w:t>
      </w:r>
      <w:r>
        <w:rPr>
          <w:rFonts w:ascii="Franklin Gothic Book" w:hAnsi="Franklin Gothic Book"/>
          <w:color w:val="auto"/>
          <w:spacing w:val="20"/>
          <w:szCs w:val="28"/>
        </w:rPr>
        <w:t xml:space="preserve">ensures </w:t>
      </w:r>
      <w:r w:rsidRPr="006C27E4">
        <w:rPr>
          <w:rFonts w:ascii="Franklin Gothic Book" w:hAnsi="Franklin Gothic Book"/>
          <w:color w:val="auto"/>
          <w:spacing w:val="20"/>
          <w:szCs w:val="28"/>
        </w:rPr>
        <w:t>that the health and well-being of children are taken care of while in residence at PCC.</w:t>
      </w:r>
    </w:p>
    <w:p w:rsidR="00D86A11" w:rsidRPr="006C27E4" w:rsidRDefault="00D86A11" w:rsidP="00D86A11">
      <w:pPr>
        <w:numPr>
          <w:ilvl w:val="0"/>
          <w:numId w:val="16"/>
        </w:numPr>
        <w:spacing w:before="120" w:after="0"/>
        <w:ind w:right="130"/>
        <w:rPr>
          <w:rFonts w:ascii="Franklin Gothic Book" w:hAnsi="Franklin Gothic Book"/>
          <w:color w:val="auto"/>
          <w:spacing w:val="20"/>
          <w:szCs w:val="28"/>
        </w:rPr>
      </w:pPr>
      <w:r w:rsidRPr="006C27E4">
        <w:rPr>
          <w:rFonts w:ascii="Franklin Gothic Book" w:hAnsi="Franklin Gothic Book"/>
          <w:i/>
          <w:color w:val="auto"/>
          <w:spacing w:val="20"/>
          <w:szCs w:val="28"/>
        </w:rPr>
        <w:t>Mental Health Services</w:t>
      </w:r>
      <w:r w:rsidRPr="006C27E4">
        <w:rPr>
          <w:rFonts w:ascii="Franklin Gothic Book" w:hAnsi="Franklin Gothic Book"/>
          <w:color w:val="auto"/>
          <w:spacing w:val="20"/>
          <w:szCs w:val="28"/>
        </w:rPr>
        <w:t>: A contracted service with Fred Finch Mental Health Program provides crisis intervention, including assessment of mental health needs, resources and conducts follow sessions as needed.</w:t>
      </w:r>
    </w:p>
    <w:p w:rsidR="00D86A11" w:rsidRPr="006C27E4" w:rsidRDefault="00D86A11" w:rsidP="00D86A11">
      <w:pPr>
        <w:numPr>
          <w:ilvl w:val="0"/>
          <w:numId w:val="16"/>
        </w:numPr>
        <w:spacing w:before="120" w:after="0"/>
        <w:ind w:right="130"/>
        <w:rPr>
          <w:rFonts w:ascii="Franklin Gothic Book" w:hAnsi="Franklin Gothic Book"/>
          <w:i/>
          <w:color w:val="auto"/>
          <w:spacing w:val="20"/>
          <w:szCs w:val="28"/>
        </w:rPr>
      </w:pPr>
      <w:r w:rsidRPr="006C27E4">
        <w:rPr>
          <w:rFonts w:ascii="Franklin Gothic Book" w:hAnsi="Franklin Gothic Book"/>
          <w:i/>
          <w:color w:val="auto"/>
          <w:spacing w:val="20"/>
          <w:szCs w:val="28"/>
        </w:rPr>
        <w:t>Developmental Screening and Evaluation Program (DSEP):</w:t>
      </w:r>
      <w:r>
        <w:rPr>
          <w:rFonts w:ascii="Franklin Gothic Book" w:hAnsi="Franklin Gothic Book"/>
          <w:i/>
          <w:color w:val="auto"/>
          <w:spacing w:val="20"/>
          <w:szCs w:val="28"/>
        </w:rPr>
        <w:t xml:space="preserve"> </w:t>
      </w:r>
      <w:r w:rsidRPr="006C27E4">
        <w:rPr>
          <w:rFonts w:ascii="Franklin Gothic Book" w:hAnsi="Franklin Gothic Book"/>
          <w:color w:val="auto"/>
          <w:spacing w:val="20"/>
          <w:szCs w:val="28"/>
        </w:rPr>
        <w:t>A contracted service with Rady Children's Hospital provides developmental and behavioral services to all children under six year</w:t>
      </w:r>
      <w:r>
        <w:rPr>
          <w:rFonts w:ascii="Franklin Gothic Book" w:hAnsi="Franklin Gothic Book"/>
          <w:color w:val="auto"/>
          <w:spacing w:val="20"/>
          <w:szCs w:val="28"/>
        </w:rPr>
        <w:t>s</w:t>
      </w:r>
      <w:r w:rsidRPr="006C27E4">
        <w:rPr>
          <w:rFonts w:ascii="Franklin Gothic Book" w:hAnsi="Franklin Gothic Book"/>
          <w:color w:val="auto"/>
          <w:spacing w:val="20"/>
          <w:szCs w:val="28"/>
        </w:rPr>
        <w:t xml:space="preserve"> of age. DSEP provides coaching and training for workers in the infant and toddler cottages and transitional services for caregivers, including developmental and behavioral coaching, as children transition from PCC to a foster or relative home.</w:t>
      </w:r>
    </w:p>
    <w:p w:rsidR="00D86A11" w:rsidRPr="00C502F1" w:rsidRDefault="00D86A11" w:rsidP="00D86A11">
      <w:pPr>
        <w:numPr>
          <w:ilvl w:val="0"/>
          <w:numId w:val="16"/>
        </w:numPr>
        <w:spacing w:before="120" w:after="0"/>
        <w:ind w:right="130"/>
        <w:rPr>
          <w:rFonts w:ascii="Franklin Gothic Book" w:hAnsi="Franklin Gothic Book"/>
          <w:color w:val="auto"/>
          <w:spacing w:val="20"/>
          <w:szCs w:val="28"/>
        </w:rPr>
      </w:pPr>
      <w:r w:rsidRPr="006C27E4">
        <w:rPr>
          <w:rFonts w:ascii="Franklin Gothic Book" w:hAnsi="Franklin Gothic Book"/>
          <w:i/>
          <w:color w:val="auto"/>
          <w:spacing w:val="20"/>
          <w:szCs w:val="28"/>
        </w:rPr>
        <w:lastRenderedPageBreak/>
        <w:t>Critical Assessment for Release Early (CARE): </w:t>
      </w:r>
      <w:r w:rsidRPr="00C502F1">
        <w:rPr>
          <w:rFonts w:ascii="Franklin Gothic Book" w:hAnsi="Franklin Gothic Book"/>
          <w:color w:val="auto"/>
          <w:spacing w:val="20"/>
          <w:szCs w:val="28"/>
        </w:rPr>
        <w:t xml:space="preserve">A County operated program, where social work staff complete assessments, child abuse investigations and home evaluations to expedite timely return home or arrange for relative placements. CARE program upholds the </w:t>
      </w:r>
      <w:r>
        <w:rPr>
          <w:rFonts w:ascii="Franklin Gothic Book" w:hAnsi="Franklin Gothic Book"/>
          <w:color w:val="auto"/>
          <w:spacing w:val="20"/>
          <w:szCs w:val="28"/>
        </w:rPr>
        <w:t>goals</w:t>
      </w:r>
      <w:r w:rsidRPr="00C502F1">
        <w:rPr>
          <w:rFonts w:ascii="Franklin Gothic Book" w:hAnsi="Franklin Gothic Book"/>
          <w:color w:val="auto"/>
          <w:spacing w:val="20"/>
          <w:szCs w:val="28"/>
        </w:rPr>
        <w:t xml:space="preserve"> of </w:t>
      </w:r>
      <w:r>
        <w:rPr>
          <w:rFonts w:ascii="Franklin Gothic Book" w:hAnsi="Franklin Gothic Book"/>
          <w:color w:val="auto"/>
          <w:spacing w:val="20"/>
          <w:szCs w:val="28"/>
        </w:rPr>
        <w:t>the County of San Diego</w:t>
      </w:r>
      <w:r w:rsidRPr="00C502F1">
        <w:rPr>
          <w:rFonts w:ascii="Franklin Gothic Book" w:hAnsi="Franklin Gothic Book"/>
          <w:color w:val="auto"/>
          <w:spacing w:val="20"/>
          <w:szCs w:val="28"/>
        </w:rPr>
        <w:t xml:space="preserve"> Child Welfare Services of </w:t>
      </w:r>
      <w:r>
        <w:rPr>
          <w:rFonts w:ascii="Franklin Gothic Book" w:hAnsi="Franklin Gothic Book"/>
          <w:color w:val="auto"/>
          <w:spacing w:val="20"/>
          <w:szCs w:val="28"/>
        </w:rPr>
        <w:t>s</w:t>
      </w:r>
      <w:r w:rsidRPr="00C502F1">
        <w:rPr>
          <w:rFonts w:ascii="Franklin Gothic Book" w:hAnsi="Franklin Gothic Book"/>
          <w:color w:val="auto"/>
          <w:spacing w:val="20"/>
          <w:szCs w:val="28"/>
        </w:rPr>
        <w:t xml:space="preserve">afety, </w:t>
      </w:r>
      <w:r>
        <w:rPr>
          <w:rFonts w:ascii="Franklin Gothic Book" w:hAnsi="Franklin Gothic Book"/>
          <w:color w:val="auto"/>
          <w:spacing w:val="20"/>
          <w:szCs w:val="28"/>
        </w:rPr>
        <w:t>p</w:t>
      </w:r>
      <w:r w:rsidRPr="00C502F1">
        <w:rPr>
          <w:rFonts w:ascii="Franklin Gothic Book" w:hAnsi="Franklin Gothic Book"/>
          <w:color w:val="auto"/>
          <w:spacing w:val="20"/>
          <w:szCs w:val="28"/>
        </w:rPr>
        <w:t xml:space="preserve">ermanency, and </w:t>
      </w:r>
      <w:r>
        <w:rPr>
          <w:rFonts w:ascii="Franklin Gothic Book" w:hAnsi="Franklin Gothic Book"/>
          <w:color w:val="auto"/>
          <w:spacing w:val="20"/>
          <w:szCs w:val="28"/>
        </w:rPr>
        <w:t>w</w:t>
      </w:r>
      <w:r w:rsidRPr="00C502F1">
        <w:rPr>
          <w:rFonts w:ascii="Franklin Gothic Book" w:hAnsi="Franklin Gothic Book"/>
          <w:color w:val="auto"/>
          <w:spacing w:val="20"/>
          <w:szCs w:val="28"/>
        </w:rPr>
        <w:t xml:space="preserve">ell </w:t>
      </w:r>
      <w:r>
        <w:rPr>
          <w:rFonts w:ascii="Franklin Gothic Book" w:hAnsi="Franklin Gothic Book"/>
          <w:color w:val="auto"/>
          <w:spacing w:val="20"/>
          <w:szCs w:val="28"/>
        </w:rPr>
        <w:t>-b</w:t>
      </w:r>
      <w:r w:rsidRPr="00C502F1">
        <w:rPr>
          <w:rFonts w:ascii="Franklin Gothic Book" w:hAnsi="Franklin Gothic Book"/>
          <w:color w:val="auto"/>
          <w:spacing w:val="20"/>
          <w:szCs w:val="28"/>
        </w:rPr>
        <w:t>eing through the provisions of specialized serves to families with the long term goal to keep families safe, intact, and thriving in their own environment by safely diverting them f</w:t>
      </w:r>
      <w:r>
        <w:rPr>
          <w:rFonts w:ascii="Franklin Gothic Book" w:hAnsi="Franklin Gothic Book"/>
          <w:color w:val="auto"/>
          <w:spacing w:val="20"/>
          <w:szCs w:val="28"/>
        </w:rPr>
        <w:t>o</w:t>
      </w:r>
      <w:r w:rsidRPr="00C502F1">
        <w:rPr>
          <w:rFonts w:ascii="Franklin Gothic Book" w:hAnsi="Franklin Gothic Book"/>
          <w:color w:val="auto"/>
          <w:spacing w:val="20"/>
          <w:szCs w:val="28"/>
        </w:rPr>
        <w:t xml:space="preserve">rm the Dependency Court System. </w:t>
      </w:r>
    </w:p>
    <w:p w:rsidR="00D86A11" w:rsidRDefault="00D86A11" w:rsidP="00D86A11">
      <w:pPr>
        <w:pStyle w:val="Heading3"/>
        <w:spacing w:line="276" w:lineRule="auto"/>
        <w:rPr>
          <w:b w:val="0"/>
          <w:color w:val="auto"/>
          <w:sz w:val="22"/>
        </w:rPr>
      </w:pPr>
      <w:r w:rsidRPr="00240671">
        <w:rPr>
          <w:b w:val="0"/>
          <w:color w:val="auto"/>
          <w:sz w:val="22"/>
        </w:rPr>
        <w:t xml:space="preserve">Children served at the PCC continue to benefit from the successfully unique public-private partnerships. As a result of public support and private contributions, the </w:t>
      </w:r>
      <w:r>
        <w:rPr>
          <w:b w:val="0"/>
          <w:color w:val="auto"/>
          <w:sz w:val="22"/>
        </w:rPr>
        <w:t>PCC</w:t>
      </w:r>
      <w:r w:rsidRPr="00240671">
        <w:rPr>
          <w:b w:val="0"/>
          <w:color w:val="auto"/>
          <w:sz w:val="22"/>
        </w:rPr>
        <w:t xml:space="preserve"> has been able to offer abused, neglected and abandoned children an environment that is safe, secure and as homelike as possible. </w:t>
      </w:r>
    </w:p>
    <w:p w:rsidR="00D86A11" w:rsidRPr="00344589" w:rsidRDefault="00D86A11" w:rsidP="00D86A11">
      <w:pPr>
        <w:rPr>
          <w:sz w:val="4"/>
        </w:rPr>
      </w:pPr>
    </w:p>
    <w:p w:rsidR="00D86A11" w:rsidRPr="00DF263E" w:rsidRDefault="00D86A11" w:rsidP="00D86A11">
      <w:pPr>
        <w:pStyle w:val="BodyText"/>
        <w:spacing w:after="0"/>
        <w:rPr>
          <w:rFonts w:ascii="Franklin Gothic Book" w:eastAsia="Perpetua" w:hAnsi="Franklin Gothic Book"/>
          <w:b/>
          <w:spacing w:val="20"/>
          <w:szCs w:val="28"/>
        </w:rPr>
      </w:pPr>
      <w:r w:rsidRPr="00DF263E">
        <w:rPr>
          <w:rFonts w:ascii="Franklin Gothic Book" w:eastAsia="Perpetua" w:hAnsi="Franklin Gothic Book"/>
          <w:b/>
          <w:spacing w:val="20"/>
          <w:szCs w:val="28"/>
        </w:rPr>
        <w:t xml:space="preserve">In addition to PCC, the County </w:t>
      </w:r>
      <w:r>
        <w:rPr>
          <w:rFonts w:ascii="Franklin Gothic Book" w:eastAsia="Perpetua" w:hAnsi="Franklin Gothic Book"/>
          <w:b/>
          <w:spacing w:val="20"/>
        </w:rPr>
        <w:t xml:space="preserve"> has</w:t>
      </w:r>
      <w:r w:rsidRPr="00DF263E">
        <w:rPr>
          <w:rFonts w:ascii="Franklin Gothic Book" w:eastAsia="Perpetua" w:hAnsi="Franklin Gothic Book"/>
          <w:b/>
          <w:spacing w:val="20"/>
          <w:szCs w:val="28"/>
        </w:rPr>
        <w:t>:</w:t>
      </w:r>
    </w:p>
    <w:p w:rsidR="00D86A11" w:rsidRPr="00FE2151" w:rsidRDefault="00D86A11" w:rsidP="00D86A11">
      <w:pPr>
        <w:numPr>
          <w:ilvl w:val="0"/>
          <w:numId w:val="16"/>
        </w:numPr>
        <w:spacing w:before="120" w:after="0"/>
        <w:ind w:right="130"/>
        <w:rPr>
          <w:rFonts w:ascii="Franklin Gothic Book" w:hAnsi="Franklin Gothic Book"/>
          <w:color w:val="auto"/>
          <w:spacing w:val="20"/>
          <w:szCs w:val="28"/>
        </w:rPr>
      </w:pPr>
      <w:r w:rsidRPr="00FE2151">
        <w:rPr>
          <w:rFonts w:ascii="Franklin Gothic Book" w:hAnsi="Franklin Gothic Book"/>
          <w:color w:val="auto"/>
          <w:spacing w:val="20"/>
          <w:szCs w:val="28"/>
        </w:rPr>
        <w:t>a 23-hour assessment center in the North Region operated by a non-profit agency, Child Assessment Network North (CANN),</w:t>
      </w:r>
    </w:p>
    <w:p w:rsidR="00D86A11" w:rsidRPr="00FE2151" w:rsidRDefault="00D86A11" w:rsidP="00D86A11">
      <w:pPr>
        <w:numPr>
          <w:ilvl w:val="0"/>
          <w:numId w:val="16"/>
        </w:numPr>
        <w:spacing w:before="120" w:after="0"/>
        <w:ind w:right="130"/>
        <w:rPr>
          <w:rFonts w:ascii="Franklin Gothic Book" w:hAnsi="Franklin Gothic Book"/>
          <w:color w:val="auto"/>
          <w:spacing w:val="20"/>
          <w:szCs w:val="28"/>
        </w:rPr>
      </w:pPr>
      <w:r w:rsidRPr="00FE2151">
        <w:rPr>
          <w:rFonts w:ascii="Franklin Gothic Book" w:hAnsi="Franklin Gothic Book"/>
          <w:color w:val="auto"/>
          <w:spacing w:val="20"/>
          <w:szCs w:val="28"/>
        </w:rPr>
        <w:t xml:space="preserve">Way Station foster homes, short-term foster homes in the East, Central, North Central and South Regions </w:t>
      </w:r>
      <w:r>
        <w:rPr>
          <w:rFonts w:ascii="Franklin Gothic Book" w:hAnsi="Franklin Gothic Book"/>
          <w:color w:val="auto"/>
          <w:spacing w:val="20"/>
          <w:szCs w:val="28"/>
        </w:rPr>
        <w:t xml:space="preserve">that </w:t>
      </w:r>
      <w:r w:rsidRPr="00FE2151">
        <w:rPr>
          <w:rFonts w:ascii="Franklin Gothic Book" w:hAnsi="Franklin Gothic Book"/>
          <w:color w:val="auto"/>
          <w:spacing w:val="20"/>
          <w:szCs w:val="28"/>
        </w:rPr>
        <w:t>are used to di</w:t>
      </w:r>
      <w:r>
        <w:rPr>
          <w:rFonts w:ascii="Franklin Gothic Book" w:hAnsi="Franklin Gothic Book"/>
          <w:color w:val="auto"/>
          <w:spacing w:val="20"/>
          <w:szCs w:val="28"/>
        </w:rPr>
        <w:t>v</w:t>
      </w:r>
      <w:r w:rsidRPr="00FE2151">
        <w:rPr>
          <w:rFonts w:ascii="Franklin Gothic Book" w:hAnsi="Franklin Gothic Book"/>
          <w:color w:val="auto"/>
          <w:spacing w:val="20"/>
          <w:szCs w:val="28"/>
        </w:rPr>
        <w:t>e</w:t>
      </w:r>
      <w:r>
        <w:rPr>
          <w:rFonts w:ascii="Franklin Gothic Book" w:hAnsi="Franklin Gothic Book"/>
          <w:color w:val="auto"/>
          <w:spacing w:val="20"/>
          <w:szCs w:val="28"/>
        </w:rPr>
        <w:t>r</w:t>
      </w:r>
      <w:r w:rsidRPr="00FE2151">
        <w:rPr>
          <w:rFonts w:ascii="Franklin Gothic Book" w:hAnsi="Franklin Gothic Book"/>
          <w:color w:val="auto"/>
          <w:spacing w:val="20"/>
          <w:szCs w:val="28"/>
        </w:rPr>
        <w:t xml:space="preserve">t children from PCC. </w:t>
      </w:r>
    </w:p>
    <w:p w:rsidR="00D86A11" w:rsidRPr="00A3576A" w:rsidRDefault="00D86A11" w:rsidP="00D86A11">
      <w:pPr>
        <w:pStyle w:val="Heading3"/>
        <w:spacing w:line="276" w:lineRule="auto"/>
        <w:rPr>
          <w:b w:val="0"/>
          <w:color w:val="auto"/>
          <w:sz w:val="22"/>
        </w:rPr>
      </w:pPr>
      <w:r w:rsidRPr="00A3576A">
        <w:rPr>
          <w:b w:val="0"/>
          <w:color w:val="auto"/>
          <w:sz w:val="22"/>
        </w:rPr>
        <w:t>These two contracts allow for children in need of emergency foster care to be placed in their communities until more permanent placement decisions are made. These contracts support children from having multiple placements, help to ensure children continue to attend their school of origin when removed from parents and enhance their overall well-being.</w:t>
      </w:r>
    </w:p>
    <w:p w:rsidR="00D86A11" w:rsidRPr="009C699D" w:rsidRDefault="00D86A11" w:rsidP="00D86A11">
      <w:pPr>
        <w:pStyle w:val="Heading2"/>
        <w:rPr>
          <w:rStyle w:val="Heading1Char"/>
          <w:b/>
          <w:color w:val="F6872B"/>
          <w:sz w:val="24"/>
        </w:rPr>
      </w:pPr>
      <w:r w:rsidRPr="00DF263E">
        <w:rPr>
          <w:rStyle w:val="Heading1Char"/>
          <w:b/>
          <w:color w:val="F6872B"/>
          <w:sz w:val="24"/>
          <w:szCs w:val="28"/>
        </w:rPr>
        <w:t>San</w:t>
      </w:r>
      <w:r>
        <w:rPr>
          <w:rStyle w:val="Heading1Char"/>
          <w:b/>
          <w:color w:val="F6872B"/>
          <w:sz w:val="24"/>
          <w:szCs w:val="28"/>
        </w:rPr>
        <w:t xml:space="preserve"> Pasqual Academy (SPA)</w:t>
      </w:r>
    </w:p>
    <w:p w:rsidR="00D86A11" w:rsidRPr="00F02025" w:rsidRDefault="00D86A11" w:rsidP="00D86A11">
      <w:pPr>
        <w:pStyle w:val="Heading3"/>
        <w:spacing w:line="276" w:lineRule="auto"/>
        <w:rPr>
          <w:b w:val="0"/>
          <w:color w:val="auto"/>
          <w:sz w:val="22"/>
        </w:rPr>
      </w:pPr>
      <w:r w:rsidRPr="00F02025">
        <w:rPr>
          <w:b w:val="0"/>
          <w:color w:val="auto"/>
          <w:sz w:val="22"/>
        </w:rPr>
        <w:t xml:space="preserve">San Pasqual Academy is a first-in-the-nation residential education campus designed specifically for foster youth. The Academy offers an alternative placement option to youth 12 to 18 years old, who are dependents of the Juvenile Court. The Academy opened in October 2001 and is currently licensed to serve up to 184 youth. Located in Northern </w:t>
      </w:r>
      <w:r>
        <w:rPr>
          <w:b w:val="0"/>
          <w:color w:val="auto"/>
          <w:sz w:val="22"/>
        </w:rPr>
        <w:t>County of San Diego</w:t>
      </w:r>
      <w:r w:rsidRPr="00F02025">
        <w:rPr>
          <w:b w:val="0"/>
          <w:color w:val="auto"/>
          <w:sz w:val="22"/>
        </w:rPr>
        <w:t>, the Academy provides youth with a stable, caring home, a quality, individualized education and preparation for independent living. The 238-acre campus features 24 individual family-style homes, an on-site high school, a computer for each youth in the homes, a cafeteria, a gymnasium, a health and wellness center, a technology and career information center, an assembly hall, recreation fields and a swimming pool. Teens live and learn as they prepare for college and/or a career path.</w:t>
      </w:r>
    </w:p>
    <w:p w:rsidR="00D86A11" w:rsidRPr="00A91B12" w:rsidRDefault="00D86A11" w:rsidP="00D86A11">
      <w:pPr>
        <w:pStyle w:val="Heading3"/>
        <w:spacing w:line="276" w:lineRule="auto"/>
        <w:rPr>
          <w:b w:val="0"/>
          <w:color w:val="auto"/>
          <w:sz w:val="22"/>
        </w:rPr>
      </w:pPr>
      <w:r w:rsidRPr="00A91B12">
        <w:rPr>
          <w:b w:val="0"/>
          <w:color w:val="auto"/>
          <w:sz w:val="22"/>
        </w:rPr>
        <w:t xml:space="preserve">The Academy is built around a unique partnership of public and private agencies. New Alternatives, Inc., a non-profit agency, provides residential services from a trauma-informed perspective, as well as a day rehabilitation program, a health and wellness center, an intergenerational mentoring program, an independent living skills environment, after-school activities, enrichment programs and alumni support. The </w:t>
      </w:r>
      <w:r>
        <w:rPr>
          <w:b w:val="0"/>
          <w:color w:val="auto"/>
          <w:sz w:val="22"/>
        </w:rPr>
        <w:t xml:space="preserve">County of San Diego </w:t>
      </w:r>
      <w:r w:rsidRPr="00A91B12">
        <w:rPr>
          <w:b w:val="0"/>
          <w:color w:val="auto"/>
          <w:sz w:val="22"/>
        </w:rPr>
        <w:t xml:space="preserve">Office of Education administers the on-site high school program, based on Common Core State Standards, and offers traditional </w:t>
      </w:r>
      <w:r w:rsidRPr="00A91B12">
        <w:rPr>
          <w:b w:val="0"/>
          <w:color w:val="auto"/>
          <w:sz w:val="22"/>
        </w:rPr>
        <w:lastRenderedPageBreak/>
        <w:t xml:space="preserve">high school activities such as yearbook, the Associated Student Body, California Interscholastic Federation (CIF) sports. The school also offers </w:t>
      </w:r>
      <w:r>
        <w:rPr>
          <w:b w:val="0"/>
          <w:color w:val="auto"/>
          <w:sz w:val="22"/>
        </w:rPr>
        <w:t>one</w:t>
      </w:r>
      <w:r w:rsidRPr="00A91B12">
        <w:rPr>
          <w:b w:val="0"/>
          <w:color w:val="auto"/>
          <w:sz w:val="22"/>
        </w:rPr>
        <w:t>-on-</w:t>
      </w:r>
      <w:r>
        <w:rPr>
          <w:b w:val="0"/>
          <w:color w:val="auto"/>
          <w:sz w:val="22"/>
        </w:rPr>
        <w:t>one</w:t>
      </w:r>
      <w:r w:rsidRPr="00A91B12">
        <w:rPr>
          <w:b w:val="0"/>
          <w:color w:val="auto"/>
          <w:sz w:val="22"/>
        </w:rPr>
        <w:t xml:space="preserve"> support and tutoring in core academic areas, as well as math and reading interventions for t</w:t>
      </w:r>
      <w:r w:rsidR="00F1013C" w:rsidRPr="00F1013C">
        <w:rPr>
          <w:b w:val="0"/>
          <w:color w:val="auto"/>
          <w:sz w:val="22"/>
        </w:rPr>
        <w:t>hose below grade level. San Pasqual Union School District educates the middle school youth placed at the Academy. The Youth Empowerment Services (YES) Program, funded by San Diego Workforce Partnership and administered by ACCESS, Inc., features work readiness training, job shadow opportunities, career exploration activities, on- and off-campus internships, financial literacy training, and leadership development activities. A social work unit from CWS manages the youth’s dependency case and advocates for the youth in Juvenile Court. Together, the Academy partners provide a stable, supportive environment which helps youth transition successfully to adulthood.</w:t>
      </w:r>
    </w:p>
    <w:p w:rsidR="00D86A11" w:rsidRPr="00DF263E" w:rsidRDefault="00D86A11" w:rsidP="00D86A11">
      <w:pPr>
        <w:pStyle w:val="Heading2"/>
        <w:rPr>
          <w:rStyle w:val="Heading1Char"/>
          <w:b/>
          <w:color w:val="F6872B"/>
          <w:sz w:val="24"/>
          <w:szCs w:val="28"/>
        </w:rPr>
      </w:pPr>
      <w:r w:rsidRPr="00DF263E">
        <w:rPr>
          <w:rStyle w:val="Heading1Char"/>
          <w:b/>
          <w:color w:val="F6872B"/>
          <w:sz w:val="24"/>
          <w:szCs w:val="28"/>
        </w:rPr>
        <w:t xml:space="preserve">Foster and Adoptive Resource Family Services (FARFS) </w:t>
      </w:r>
    </w:p>
    <w:p w:rsidR="00D86A11" w:rsidRPr="0013336D" w:rsidRDefault="00D86A11" w:rsidP="00D86A11">
      <w:pPr>
        <w:pStyle w:val="Heading3"/>
        <w:spacing w:line="276" w:lineRule="auto"/>
        <w:rPr>
          <w:b w:val="0"/>
          <w:color w:val="auto"/>
          <w:sz w:val="22"/>
        </w:rPr>
      </w:pPr>
      <w:r w:rsidRPr="0013336D">
        <w:rPr>
          <w:b w:val="0"/>
          <w:color w:val="auto"/>
          <w:sz w:val="22"/>
        </w:rPr>
        <w:t>The Adoption Program provides permanency planning</w:t>
      </w:r>
      <w:r>
        <w:rPr>
          <w:b w:val="0"/>
          <w:color w:val="auto"/>
          <w:sz w:val="22"/>
        </w:rPr>
        <w:t xml:space="preserve"> and other services</w:t>
      </w:r>
      <w:r w:rsidRPr="0013336D">
        <w:rPr>
          <w:b w:val="0"/>
          <w:color w:val="auto"/>
          <w:sz w:val="22"/>
        </w:rPr>
        <w:t xml:space="preserve"> for dependent children of the Juvenile Court through finalization of their adoption</w:t>
      </w:r>
      <w:r>
        <w:rPr>
          <w:b w:val="0"/>
          <w:color w:val="auto"/>
          <w:sz w:val="22"/>
        </w:rPr>
        <w:t xml:space="preserve"> for children</w:t>
      </w:r>
      <w:r w:rsidRPr="0013336D">
        <w:rPr>
          <w:b w:val="0"/>
          <w:color w:val="auto"/>
          <w:sz w:val="22"/>
        </w:rPr>
        <w:t xml:space="preserve"> who do not reunify with their parents.</w:t>
      </w:r>
      <w:r>
        <w:rPr>
          <w:b w:val="0"/>
          <w:color w:val="auto"/>
          <w:sz w:val="22"/>
        </w:rPr>
        <w:t xml:space="preserve"> </w:t>
      </w:r>
      <w:r w:rsidRPr="0013336D">
        <w:rPr>
          <w:b w:val="0"/>
          <w:color w:val="auto"/>
          <w:sz w:val="22"/>
        </w:rPr>
        <w:t>Social workers within the program make recommendations regarding the termination of parental rights, assess prospective adoptive parents, assess children for adoption, place children for adoption and supervise adoptive placements. The Adoption Program is co-located within 4 offices throughout the County.</w:t>
      </w:r>
    </w:p>
    <w:p w:rsidR="00D86A11" w:rsidRPr="002D24BA" w:rsidRDefault="00D86A11" w:rsidP="00D86A11">
      <w:pPr>
        <w:pStyle w:val="Heading3"/>
        <w:spacing w:line="276" w:lineRule="auto"/>
        <w:rPr>
          <w:b w:val="0"/>
          <w:color w:val="auto"/>
          <w:sz w:val="22"/>
        </w:rPr>
      </w:pPr>
      <w:r w:rsidRPr="002D24BA">
        <w:rPr>
          <w:b w:val="0"/>
          <w:color w:val="auto"/>
          <w:sz w:val="22"/>
        </w:rPr>
        <w:t xml:space="preserve">The Adoption Program also provides the following specialized services: </w:t>
      </w:r>
    </w:p>
    <w:p w:rsidR="00D86A11" w:rsidRPr="0015159A" w:rsidRDefault="00D86A11" w:rsidP="00D86A11">
      <w:pPr>
        <w:numPr>
          <w:ilvl w:val="0"/>
          <w:numId w:val="16"/>
        </w:numPr>
        <w:spacing w:before="120" w:after="0"/>
        <w:ind w:right="130"/>
        <w:rPr>
          <w:rFonts w:ascii="Franklin Gothic Book" w:hAnsi="Franklin Gothic Book"/>
          <w:color w:val="auto"/>
          <w:spacing w:val="20"/>
          <w:szCs w:val="28"/>
        </w:rPr>
      </w:pPr>
      <w:r w:rsidRPr="0015159A">
        <w:rPr>
          <w:rFonts w:ascii="Franklin Gothic Book" w:hAnsi="Franklin Gothic Book"/>
          <w:i/>
          <w:color w:val="auto"/>
          <w:spacing w:val="20"/>
          <w:szCs w:val="28"/>
        </w:rPr>
        <w:t>Permanency Pla</w:t>
      </w:r>
      <w:r>
        <w:rPr>
          <w:rFonts w:ascii="Franklin Gothic Book" w:hAnsi="Franklin Gothic Book"/>
          <w:i/>
          <w:color w:val="auto"/>
          <w:spacing w:val="20"/>
          <w:szCs w:val="28"/>
        </w:rPr>
        <w:t>nning</w:t>
      </w:r>
      <w:r w:rsidRPr="0015159A">
        <w:rPr>
          <w:rFonts w:ascii="Franklin Gothic Book" w:hAnsi="Franklin Gothic Book"/>
          <w:i/>
          <w:color w:val="auto"/>
          <w:spacing w:val="20"/>
          <w:szCs w:val="28"/>
        </w:rPr>
        <w:t xml:space="preserve"> Assessment Units</w:t>
      </w:r>
      <w:r w:rsidRPr="0015159A">
        <w:rPr>
          <w:rFonts w:ascii="Franklin Gothic Book" w:hAnsi="Franklin Gothic Book"/>
          <w:color w:val="auto"/>
          <w:spacing w:val="20"/>
          <w:szCs w:val="28"/>
        </w:rPr>
        <w:t>: The units screen concurrent planning placement referrals and pre-assess children for permanency prior to the termination of reunification services. These units also handle all of the noticing for termination of parental rights hearings.</w:t>
      </w:r>
    </w:p>
    <w:p w:rsidR="00D86A11" w:rsidRPr="0015159A" w:rsidRDefault="00D86A11" w:rsidP="00D86A11">
      <w:pPr>
        <w:numPr>
          <w:ilvl w:val="0"/>
          <w:numId w:val="16"/>
        </w:numPr>
        <w:spacing w:before="120" w:after="0"/>
        <w:ind w:right="130"/>
        <w:rPr>
          <w:rFonts w:ascii="Franklin Gothic Book" w:hAnsi="Franklin Gothic Book"/>
          <w:color w:val="auto"/>
          <w:spacing w:val="20"/>
          <w:szCs w:val="28"/>
        </w:rPr>
      </w:pPr>
      <w:r w:rsidRPr="0015159A">
        <w:rPr>
          <w:rFonts w:ascii="Franklin Gothic Book" w:hAnsi="Franklin Gothic Book"/>
          <w:i/>
          <w:color w:val="auto"/>
          <w:spacing w:val="20"/>
          <w:szCs w:val="28"/>
        </w:rPr>
        <w:t>Recruitment and Retention</w:t>
      </w:r>
      <w:r w:rsidRPr="0015159A">
        <w:rPr>
          <w:rFonts w:ascii="Franklin Gothic Book" w:hAnsi="Franklin Gothic Book"/>
          <w:color w:val="auto"/>
          <w:spacing w:val="20"/>
          <w:szCs w:val="28"/>
        </w:rPr>
        <w:t>: Recruit foster and adoptive families to assist social workers searching for adoptive homes nationwide for children needing placement. This section also coordinates training for all foster and adoptive resource families and plans and coordinates events to honor the families who care for our children.</w:t>
      </w:r>
    </w:p>
    <w:p w:rsidR="00D86A11" w:rsidRPr="0015159A" w:rsidRDefault="00D86A11" w:rsidP="00D86A11">
      <w:pPr>
        <w:numPr>
          <w:ilvl w:val="0"/>
          <w:numId w:val="16"/>
        </w:numPr>
        <w:spacing w:before="120" w:after="0"/>
        <w:ind w:right="130"/>
        <w:rPr>
          <w:rFonts w:ascii="Franklin Gothic Book" w:hAnsi="Franklin Gothic Book"/>
          <w:color w:val="auto"/>
          <w:spacing w:val="20"/>
          <w:szCs w:val="28"/>
        </w:rPr>
      </w:pPr>
      <w:r w:rsidRPr="0015159A">
        <w:rPr>
          <w:rFonts w:ascii="Franklin Gothic Book" w:hAnsi="Franklin Gothic Book"/>
          <w:i/>
          <w:color w:val="auto"/>
          <w:spacing w:val="20"/>
          <w:szCs w:val="28"/>
        </w:rPr>
        <w:t>Guardianship:</w:t>
      </w:r>
      <w:r w:rsidRPr="0015159A">
        <w:rPr>
          <w:rFonts w:ascii="Franklin Gothic Book" w:hAnsi="Franklin Gothic Book"/>
          <w:color w:val="auto"/>
          <w:spacing w:val="20"/>
          <w:szCs w:val="28"/>
        </w:rPr>
        <w:t xml:space="preserve"> Assess</w:t>
      </w:r>
      <w:r>
        <w:rPr>
          <w:rFonts w:ascii="Franklin Gothic Book" w:hAnsi="Franklin Gothic Book"/>
          <w:color w:val="auto"/>
          <w:spacing w:val="20"/>
          <w:szCs w:val="28"/>
        </w:rPr>
        <w:t>es</w:t>
      </w:r>
      <w:r w:rsidRPr="0015159A">
        <w:rPr>
          <w:rFonts w:ascii="Franklin Gothic Book" w:hAnsi="Franklin Gothic Book"/>
          <w:color w:val="auto"/>
          <w:spacing w:val="20"/>
          <w:szCs w:val="28"/>
        </w:rPr>
        <w:t xml:space="preserve"> families and children for a permanent plan of legal guardianship for both dependent and non-dependent children.</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15159A">
        <w:rPr>
          <w:rFonts w:ascii="Franklin Gothic Book" w:hAnsi="Franklin Gothic Book"/>
          <w:i/>
          <w:color w:val="auto"/>
          <w:spacing w:val="20"/>
          <w:szCs w:val="28"/>
        </w:rPr>
        <w:t>Independent Adoptions:</w:t>
      </w:r>
      <w:r w:rsidRPr="00DF263E">
        <w:rPr>
          <w:rFonts w:ascii="Franklin Gothic Book" w:hAnsi="Franklin Gothic Book"/>
          <w:color w:val="auto"/>
          <w:spacing w:val="20"/>
          <w:szCs w:val="28"/>
        </w:rPr>
        <w:t xml:space="preserve"> Investigate</w:t>
      </w:r>
      <w:r>
        <w:rPr>
          <w:rFonts w:ascii="Franklin Gothic Book" w:hAnsi="Franklin Gothic Book"/>
          <w:color w:val="auto"/>
          <w:spacing w:val="20"/>
          <w:szCs w:val="28"/>
        </w:rPr>
        <w:t>s</w:t>
      </w:r>
      <w:r w:rsidRPr="00DF263E">
        <w:rPr>
          <w:rFonts w:ascii="Franklin Gothic Book" w:hAnsi="Franklin Gothic Book"/>
          <w:color w:val="auto"/>
          <w:spacing w:val="20"/>
          <w:szCs w:val="28"/>
        </w:rPr>
        <w:t xml:space="preserve"> petitions for adoptions filed by independent adoptive parents or their adoption attorneys. The children being adopted through this program are not dependents of the court.</w:t>
      </w:r>
    </w:p>
    <w:p w:rsidR="00D86A11" w:rsidRPr="0015159A" w:rsidRDefault="00D86A11" w:rsidP="00D86A11">
      <w:pPr>
        <w:numPr>
          <w:ilvl w:val="0"/>
          <w:numId w:val="16"/>
        </w:numPr>
        <w:spacing w:before="120" w:after="0"/>
        <w:ind w:right="130"/>
        <w:rPr>
          <w:rFonts w:ascii="Franklin Gothic Book" w:hAnsi="Franklin Gothic Book"/>
          <w:color w:val="auto"/>
          <w:spacing w:val="20"/>
          <w:szCs w:val="28"/>
        </w:rPr>
      </w:pPr>
      <w:r w:rsidRPr="0015159A">
        <w:rPr>
          <w:rFonts w:ascii="Franklin Gothic Book" w:hAnsi="Franklin Gothic Book"/>
          <w:i/>
          <w:color w:val="auto"/>
          <w:spacing w:val="20"/>
          <w:szCs w:val="28"/>
        </w:rPr>
        <w:t>Step Parent Adoptions</w:t>
      </w:r>
      <w:r w:rsidRPr="0015159A">
        <w:rPr>
          <w:rFonts w:ascii="Franklin Gothic Book" w:hAnsi="Franklin Gothic Book"/>
          <w:color w:val="auto"/>
          <w:spacing w:val="20"/>
          <w:szCs w:val="28"/>
        </w:rPr>
        <w:t xml:space="preserve">: Investigates step parent adoption petitions filed within </w:t>
      </w:r>
      <w:r>
        <w:rPr>
          <w:rFonts w:ascii="Franklin Gothic Book" w:hAnsi="Franklin Gothic Book"/>
          <w:color w:val="auto"/>
          <w:spacing w:val="20"/>
          <w:szCs w:val="28"/>
        </w:rPr>
        <w:t>the County of San Diego</w:t>
      </w:r>
      <w:r w:rsidRPr="0015159A">
        <w:rPr>
          <w:rFonts w:ascii="Franklin Gothic Book" w:hAnsi="Franklin Gothic Book"/>
          <w:color w:val="auto"/>
          <w:spacing w:val="20"/>
          <w:szCs w:val="28"/>
        </w:rPr>
        <w:t>.</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4759E5">
        <w:rPr>
          <w:rFonts w:ascii="Franklin Gothic Book" w:hAnsi="Franklin Gothic Book"/>
          <w:i/>
          <w:color w:val="auto"/>
          <w:spacing w:val="20"/>
          <w:szCs w:val="28"/>
        </w:rPr>
        <w:t>Birth Parent Relinquishments:</w:t>
      </w:r>
      <w:r w:rsidRPr="00DF263E">
        <w:rPr>
          <w:rFonts w:ascii="Franklin Gothic Book" w:hAnsi="Franklin Gothic Book"/>
          <w:color w:val="auto"/>
          <w:spacing w:val="20"/>
          <w:szCs w:val="28"/>
        </w:rPr>
        <w:t xml:space="preserve"> Birth parents work with an adoption social worker to relinquish their parental rights and have their child placed in an adoptive home</w:t>
      </w:r>
      <w:r>
        <w:rPr>
          <w:rFonts w:ascii="Franklin Gothic Book" w:hAnsi="Franklin Gothic Book"/>
          <w:color w:val="auto"/>
          <w:spacing w:val="20"/>
          <w:szCs w:val="28"/>
        </w:rPr>
        <w:t xml:space="preserve">. </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4759E5">
        <w:rPr>
          <w:rFonts w:ascii="Franklin Gothic Book" w:hAnsi="Franklin Gothic Book"/>
          <w:i/>
          <w:color w:val="auto"/>
          <w:spacing w:val="20"/>
          <w:szCs w:val="28"/>
        </w:rPr>
        <w:lastRenderedPageBreak/>
        <w:t>Post Adoption Services</w:t>
      </w:r>
      <w:r w:rsidRPr="0015159A">
        <w:rPr>
          <w:rFonts w:ascii="Franklin Gothic Book" w:hAnsi="Franklin Gothic Book"/>
          <w:color w:val="auto"/>
          <w:spacing w:val="20"/>
          <w:szCs w:val="28"/>
        </w:rPr>
        <w:t xml:space="preserve">: </w:t>
      </w:r>
      <w:r w:rsidRPr="00DF263E">
        <w:rPr>
          <w:rFonts w:ascii="Franklin Gothic Book" w:hAnsi="Franklin Gothic Book"/>
          <w:color w:val="auto"/>
          <w:spacing w:val="20"/>
          <w:szCs w:val="28"/>
        </w:rPr>
        <w:t>Process</w:t>
      </w:r>
      <w:r>
        <w:rPr>
          <w:rFonts w:ascii="Franklin Gothic Book" w:hAnsi="Franklin Gothic Book"/>
          <w:color w:val="auto"/>
          <w:spacing w:val="20"/>
          <w:szCs w:val="28"/>
        </w:rPr>
        <w:t>es</w:t>
      </w:r>
      <w:r w:rsidRPr="00DF263E">
        <w:rPr>
          <w:rFonts w:ascii="Franklin Gothic Book" w:hAnsi="Franklin Gothic Book"/>
          <w:color w:val="auto"/>
          <w:spacing w:val="20"/>
          <w:szCs w:val="28"/>
        </w:rPr>
        <w:t xml:space="preserve"> requests for information and make referrals to requested services on finalized adoption cases.</w:t>
      </w:r>
    </w:p>
    <w:p w:rsidR="00D86A11" w:rsidRPr="00DF263E" w:rsidRDefault="00D86A11" w:rsidP="00D86A11">
      <w:pPr>
        <w:numPr>
          <w:ilvl w:val="0"/>
          <w:numId w:val="16"/>
        </w:numPr>
        <w:spacing w:before="120" w:after="0"/>
        <w:ind w:right="130"/>
        <w:rPr>
          <w:rFonts w:ascii="Franklin Gothic Book" w:hAnsi="Franklin Gothic Book"/>
          <w:color w:val="auto"/>
          <w:spacing w:val="20"/>
          <w:szCs w:val="28"/>
        </w:rPr>
      </w:pPr>
      <w:r w:rsidRPr="004759E5">
        <w:rPr>
          <w:rFonts w:ascii="Franklin Gothic Book" w:hAnsi="Franklin Gothic Book"/>
          <w:i/>
          <w:color w:val="auto"/>
          <w:spacing w:val="20"/>
          <w:szCs w:val="28"/>
        </w:rPr>
        <w:t>Adoption Assistance Program</w:t>
      </w:r>
      <w:r w:rsidRPr="0015159A">
        <w:rPr>
          <w:rFonts w:ascii="Franklin Gothic Book" w:hAnsi="Franklin Gothic Book"/>
          <w:color w:val="auto"/>
          <w:spacing w:val="20"/>
          <w:szCs w:val="28"/>
        </w:rPr>
        <w:t>:</w:t>
      </w:r>
      <w:r>
        <w:rPr>
          <w:rFonts w:ascii="Franklin Gothic Book" w:hAnsi="Franklin Gothic Book"/>
          <w:color w:val="auto"/>
          <w:spacing w:val="20"/>
          <w:szCs w:val="28"/>
        </w:rPr>
        <w:t xml:space="preserve"> </w:t>
      </w:r>
      <w:r w:rsidRPr="00DF263E">
        <w:rPr>
          <w:rFonts w:ascii="Franklin Gothic Book" w:hAnsi="Franklin Gothic Book"/>
          <w:color w:val="auto"/>
          <w:spacing w:val="20"/>
          <w:szCs w:val="28"/>
        </w:rPr>
        <w:t>Provide</w:t>
      </w:r>
      <w:r>
        <w:rPr>
          <w:rFonts w:ascii="Franklin Gothic Book" w:hAnsi="Franklin Gothic Book"/>
          <w:color w:val="auto"/>
          <w:spacing w:val="20"/>
          <w:szCs w:val="28"/>
        </w:rPr>
        <w:t>s</w:t>
      </w:r>
      <w:r w:rsidRPr="00DF263E">
        <w:rPr>
          <w:rFonts w:ascii="Franklin Gothic Book" w:hAnsi="Franklin Gothic Book"/>
          <w:color w:val="auto"/>
          <w:spacing w:val="20"/>
          <w:szCs w:val="28"/>
        </w:rPr>
        <w:t xml:space="preserve"> necessary financial and medical insurance assistance to families who are willing and able to assume parental responsibility for children. </w:t>
      </w:r>
    </w:p>
    <w:p w:rsidR="00D86A11" w:rsidRDefault="00D86A11" w:rsidP="00D86A11">
      <w:pPr>
        <w:pStyle w:val="Heading3"/>
        <w:spacing w:line="276" w:lineRule="auto"/>
        <w:rPr>
          <w:b w:val="0"/>
          <w:color w:val="auto"/>
          <w:sz w:val="22"/>
        </w:rPr>
      </w:pPr>
      <w:r w:rsidRPr="00777FDD">
        <w:rPr>
          <w:b w:val="0"/>
          <w:color w:val="auto"/>
          <w:sz w:val="22"/>
        </w:rPr>
        <w:t xml:space="preserve">The Adoption Program supports the belief that all children are adoptable and strives to place all children eligible for adoption in a permanent home, including older children, children with special needs and large sibling groups. The program partners with the San Diego Chargers and KFMB Channel 8 to raise adoption awareness in the community by featuring children awaiting adoption on Channel 8 and in the annual Leap of Faith Calendar. </w:t>
      </w:r>
    </w:p>
    <w:p w:rsidR="00C7479A" w:rsidRPr="00C7479A" w:rsidRDefault="00C7479A" w:rsidP="00176DFC">
      <w:pPr>
        <w:spacing w:before="200" w:afterLines="40" w:after="96"/>
        <w:rPr>
          <w:rFonts w:ascii="Franklin Gothic Book" w:hAnsi="Franklin Gothic Book"/>
          <w:spacing w:val="20"/>
        </w:rPr>
      </w:pPr>
      <w:r>
        <w:rPr>
          <w:rFonts w:ascii="Franklin Gothic Book" w:hAnsi="Franklin Gothic Book"/>
          <w:spacing w:val="20"/>
        </w:rPr>
        <w:t xml:space="preserve">The roles and responsibilities of the social workers who work assist with the licensing of foster homes:  </w:t>
      </w:r>
    </w:p>
    <w:p w:rsidR="00C7479A" w:rsidRPr="00AD50A3" w:rsidRDefault="00F1013C" w:rsidP="00AD50A3">
      <w:pPr>
        <w:numPr>
          <w:ilvl w:val="0"/>
          <w:numId w:val="16"/>
        </w:numPr>
        <w:spacing w:before="120" w:after="0"/>
        <w:ind w:right="130"/>
        <w:rPr>
          <w:rFonts w:ascii="Franklin Gothic Book" w:hAnsi="Franklin Gothic Book"/>
          <w:color w:val="auto"/>
          <w:spacing w:val="20"/>
          <w:szCs w:val="28"/>
        </w:rPr>
      </w:pPr>
      <w:r w:rsidRPr="00AD50A3">
        <w:rPr>
          <w:rFonts w:ascii="Franklin Gothic Book" w:hAnsi="Franklin Gothic Book"/>
          <w:color w:val="auto"/>
          <w:spacing w:val="20"/>
          <w:szCs w:val="28"/>
        </w:rPr>
        <w:t>Providing FHL orientation</w:t>
      </w:r>
    </w:p>
    <w:p w:rsidR="00C7479A" w:rsidRPr="00AD50A3" w:rsidRDefault="00F1013C" w:rsidP="00AD50A3">
      <w:pPr>
        <w:numPr>
          <w:ilvl w:val="0"/>
          <w:numId w:val="16"/>
        </w:numPr>
        <w:spacing w:before="120" w:after="0"/>
        <w:ind w:right="130"/>
        <w:rPr>
          <w:rFonts w:ascii="Franklin Gothic Book" w:hAnsi="Franklin Gothic Book"/>
          <w:color w:val="auto"/>
          <w:spacing w:val="20"/>
          <w:szCs w:val="28"/>
        </w:rPr>
      </w:pPr>
      <w:r w:rsidRPr="00AD50A3">
        <w:rPr>
          <w:rFonts w:ascii="Franklin Gothic Book" w:hAnsi="Franklin Gothic Book"/>
          <w:color w:val="auto"/>
          <w:spacing w:val="20"/>
          <w:szCs w:val="28"/>
        </w:rPr>
        <w:t>Processing applications for licensing, to include site visits</w:t>
      </w:r>
    </w:p>
    <w:p w:rsidR="00C7479A" w:rsidRPr="00AD50A3" w:rsidRDefault="00F1013C" w:rsidP="00AD50A3">
      <w:pPr>
        <w:numPr>
          <w:ilvl w:val="0"/>
          <w:numId w:val="16"/>
        </w:numPr>
        <w:spacing w:before="120" w:after="0"/>
        <w:ind w:right="130"/>
        <w:rPr>
          <w:rFonts w:ascii="Franklin Gothic Book" w:hAnsi="Franklin Gothic Book"/>
          <w:color w:val="auto"/>
          <w:spacing w:val="20"/>
          <w:szCs w:val="28"/>
        </w:rPr>
      </w:pPr>
      <w:r w:rsidRPr="00AD50A3">
        <w:rPr>
          <w:rFonts w:ascii="Franklin Gothic Book" w:hAnsi="Franklin Gothic Book"/>
          <w:color w:val="auto"/>
          <w:spacing w:val="20"/>
          <w:szCs w:val="28"/>
        </w:rPr>
        <w:t xml:space="preserve">Conducting background clearances and exemptions </w:t>
      </w:r>
    </w:p>
    <w:p w:rsidR="00C7479A" w:rsidRPr="00AD50A3" w:rsidRDefault="00F1013C" w:rsidP="00AD50A3">
      <w:pPr>
        <w:numPr>
          <w:ilvl w:val="0"/>
          <w:numId w:val="16"/>
        </w:numPr>
        <w:spacing w:before="120" w:after="0"/>
        <w:ind w:right="130"/>
        <w:rPr>
          <w:rFonts w:ascii="Franklin Gothic Book" w:hAnsi="Franklin Gothic Book"/>
          <w:color w:val="auto"/>
          <w:spacing w:val="20"/>
          <w:szCs w:val="28"/>
        </w:rPr>
      </w:pPr>
      <w:r w:rsidRPr="00AD50A3">
        <w:rPr>
          <w:rFonts w:ascii="Franklin Gothic Book" w:hAnsi="Franklin Gothic Book"/>
          <w:color w:val="auto"/>
          <w:spacing w:val="20"/>
          <w:szCs w:val="28"/>
        </w:rPr>
        <w:t>Providing Training and other resources</w:t>
      </w:r>
    </w:p>
    <w:p w:rsidR="00C7479A" w:rsidRPr="00AD50A3" w:rsidRDefault="00F1013C" w:rsidP="00AD50A3">
      <w:pPr>
        <w:numPr>
          <w:ilvl w:val="0"/>
          <w:numId w:val="16"/>
        </w:numPr>
        <w:spacing w:before="120" w:after="0"/>
        <w:ind w:right="130"/>
        <w:rPr>
          <w:rFonts w:ascii="Franklin Gothic Book" w:hAnsi="Franklin Gothic Book"/>
          <w:color w:val="auto"/>
          <w:spacing w:val="20"/>
          <w:szCs w:val="28"/>
        </w:rPr>
      </w:pPr>
      <w:r w:rsidRPr="00AD50A3">
        <w:rPr>
          <w:rFonts w:ascii="Franklin Gothic Book" w:hAnsi="Franklin Gothic Book"/>
          <w:color w:val="auto"/>
          <w:spacing w:val="20"/>
          <w:szCs w:val="28"/>
        </w:rPr>
        <w:t>Conducting Buildings and Grounds inspections</w:t>
      </w:r>
    </w:p>
    <w:p w:rsidR="00C7479A" w:rsidRPr="00AD50A3" w:rsidRDefault="00F1013C" w:rsidP="00AD50A3">
      <w:pPr>
        <w:numPr>
          <w:ilvl w:val="0"/>
          <w:numId w:val="16"/>
        </w:numPr>
        <w:spacing w:before="120" w:after="0"/>
        <w:ind w:right="130"/>
        <w:rPr>
          <w:rFonts w:ascii="Franklin Gothic Book" w:hAnsi="Franklin Gothic Book"/>
          <w:color w:val="auto"/>
          <w:spacing w:val="20"/>
          <w:szCs w:val="28"/>
        </w:rPr>
      </w:pPr>
      <w:r w:rsidRPr="00AD50A3">
        <w:rPr>
          <w:rFonts w:ascii="Franklin Gothic Book" w:hAnsi="Franklin Gothic Book"/>
          <w:color w:val="auto"/>
          <w:spacing w:val="20"/>
          <w:szCs w:val="28"/>
        </w:rPr>
        <w:t>Monitoring and providing case management services through periodic/biannual on-site visits</w:t>
      </w:r>
    </w:p>
    <w:p w:rsidR="00C7479A" w:rsidRPr="00AD50A3" w:rsidRDefault="00F1013C" w:rsidP="00AD50A3">
      <w:pPr>
        <w:numPr>
          <w:ilvl w:val="0"/>
          <w:numId w:val="16"/>
        </w:numPr>
        <w:spacing w:before="120" w:after="0"/>
        <w:ind w:right="130"/>
        <w:rPr>
          <w:rFonts w:ascii="Franklin Gothic Book" w:hAnsi="Franklin Gothic Book"/>
          <w:color w:val="auto"/>
          <w:spacing w:val="20"/>
          <w:szCs w:val="28"/>
        </w:rPr>
      </w:pPr>
      <w:r w:rsidRPr="00AD50A3">
        <w:rPr>
          <w:rFonts w:ascii="Franklin Gothic Book" w:hAnsi="Franklin Gothic Book"/>
          <w:color w:val="auto"/>
          <w:spacing w:val="20"/>
          <w:szCs w:val="28"/>
        </w:rPr>
        <w:t xml:space="preserve">Processing renewal and/or changes to licenses </w:t>
      </w:r>
    </w:p>
    <w:p w:rsidR="00C7479A" w:rsidRPr="00AD50A3" w:rsidRDefault="00F1013C" w:rsidP="00AD50A3">
      <w:pPr>
        <w:numPr>
          <w:ilvl w:val="0"/>
          <w:numId w:val="16"/>
        </w:numPr>
        <w:spacing w:before="120" w:after="0"/>
        <w:ind w:right="130"/>
        <w:rPr>
          <w:rFonts w:ascii="Franklin Gothic Book" w:hAnsi="Franklin Gothic Book"/>
          <w:color w:val="auto"/>
          <w:spacing w:val="20"/>
          <w:szCs w:val="28"/>
        </w:rPr>
      </w:pPr>
      <w:r w:rsidRPr="00AD50A3">
        <w:rPr>
          <w:rFonts w:ascii="Franklin Gothic Book" w:hAnsi="Franklin Gothic Book"/>
          <w:color w:val="auto"/>
          <w:spacing w:val="20"/>
          <w:szCs w:val="28"/>
        </w:rPr>
        <w:t>Conducting complaint investigations on reports received on licensed families</w:t>
      </w:r>
    </w:p>
    <w:p w:rsidR="00C7479A" w:rsidRPr="00AD50A3" w:rsidRDefault="00F1013C" w:rsidP="00AD50A3">
      <w:pPr>
        <w:numPr>
          <w:ilvl w:val="0"/>
          <w:numId w:val="16"/>
        </w:numPr>
        <w:spacing w:before="120" w:after="0"/>
        <w:ind w:right="130"/>
        <w:rPr>
          <w:rFonts w:ascii="Franklin Gothic Book" w:hAnsi="Franklin Gothic Book"/>
          <w:color w:val="auto"/>
          <w:spacing w:val="20"/>
          <w:szCs w:val="28"/>
        </w:rPr>
      </w:pPr>
      <w:r w:rsidRPr="00AD50A3">
        <w:rPr>
          <w:rFonts w:ascii="Franklin Gothic Book" w:hAnsi="Franklin Gothic Book"/>
          <w:color w:val="auto"/>
          <w:spacing w:val="20"/>
          <w:szCs w:val="28"/>
        </w:rPr>
        <w:t>Perform legal and administrative duties (preparing Statement of Facts and other legal documentation needed for any licensed homes being referred to the State for revocation or due process for denial of license; Testifying at State Legal hearings on cases going through legal administrative actions)</w:t>
      </w:r>
    </w:p>
    <w:p w:rsidR="00C7479A" w:rsidRPr="00AD50A3" w:rsidRDefault="00F1013C" w:rsidP="00AD50A3">
      <w:pPr>
        <w:numPr>
          <w:ilvl w:val="0"/>
          <w:numId w:val="16"/>
        </w:numPr>
        <w:spacing w:before="120" w:after="0"/>
        <w:ind w:right="130"/>
        <w:rPr>
          <w:rFonts w:ascii="Franklin Gothic Book" w:hAnsi="Franklin Gothic Book"/>
          <w:color w:val="auto"/>
          <w:spacing w:val="20"/>
          <w:szCs w:val="28"/>
        </w:rPr>
      </w:pPr>
      <w:r w:rsidRPr="00AD50A3">
        <w:rPr>
          <w:rFonts w:ascii="Franklin Gothic Book" w:hAnsi="Franklin Gothic Book"/>
          <w:color w:val="auto"/>
          <w:spacing w:val="20"/>
          <w:szCs w:val="28"/>
        </w:rPr>
        <w:t>Participation in periodic county reviews with State</w:t>
      </w:r>
    </w:p>
    <w:p w:rsidR="00D86A11" w:rsidRDefault="00D86A11" w:rsidP="00D86A11">
      <w:pPr>
        <w:pStyle w:val="Heading1"/>
        <w:rPr>
          <w:color w:val="013161"/>
        </w:rPr>
      </w:pPr>
      <w:r>
        <w:rPr>
          <w:color w:val="013161"/>
        </w:rPr>
        <w:t xml:space="preserve">5d2. </w:t>
      </w:r>
      <w:r w:rsidRPr="002E7110">
        <w:rPr>
          <w:color w:val="013161"/>
        </w:rPr>
        <w:t xml:space="preserve">Probation Department </w:t>
      </w:r>
      <w:r w:rsidRPr="001D29DF">
        <w:rPr>
          <w:color w:val="013161"/>
        </w:rPr>
        <w:t>Operated Services</w:t>
      </w:r>
    </w:p>
    <w:p w:rsidR="00D86A11" w:rsidRPr="005B000B" w:rsidRDefault="00D86A11" w:rsidP="00D86A11">
      <w:pPr>
        <w:pStyle w:val="Heading3"/>
        <w:spacing w:line="276" w:lineRule="auto"/>
        <w:rPr>
          <w:b w:val="0"/>
          <w:color w:val="auto"/>
          <w:sz w:val="22"/>
        </w:rPr>
      </w:pPr>
      <w:r w:rsidRPr="005B000B">
        <w:rPr>
          <w:b w:val="0"/>
          <w:color w:val="auto"/>
          <w:sz w:val="22"/>
        </w:rPr>
        <w:t xml:space="preserve">The County of San Diego Probation Department operates four 24-hour juvenile facilities: Kearny Mesa Juvenile Detention Facility (KMJDF), East Mesa Juvenile Detention Facility (EMJDF), Girls’ Rehabilitation Facility (GRF), and Camp Barrett. </w:t>
      </w:r>
    </w:p>
    <w:p w:rsidR="00D86A11" w:rsidRDefault="00D86A11" w:rsidP="00D86A11">
      <w:pPr>
        <w:pStyle w:val="Heading2"/>
        <w:rPr>
          <w:rStyle w:val="Heading1Char"/>
          <w:b/>
          <w:color w:val="F6872B"/>
          <w:sz w:val="24"/>
        </w:rPr>
      </w:pPr>
      <w:r w:rsidRPr="003436FC">
        <w:rPr>
          <w:rStyle w:val="Heading1Char"/>
          <w:b/>
          <w:color w:val="F6872B"/>
          <w:sz w:val="24"/>
        </w:rPr>
        <w:t>Kearny Mesa Juvenile Detention Facility (KMJDF)</w:t>
      </w:r>
    </w:p>
    <w:p w:rsidR="00D86A11" w:rsidRPr="002D24BA" w:rsidRDefault="00D86A11" w:rsidP="00D86A11">
      <w:pPr>
        <w:pStyle w:val="Heading3"/>
        <w:spacing w:line="276" w:lineRule="auto"/>
        <w:rPr>
          <w:b w:val="0"/>
          <w:color w:val="auto"/>
          <w:sz w:val="22"/>
        </w:rPr>
      </w:pPr>
      <w:r w:rsidRPr="002D24BA">
        <w:rPr>
          <w:b w:val="0"/>
          <w:color w:val="auto"/>
          <w:sz w:val="22"/>
        </w:rPr>
        <w:t>KMJDF, which opened in 1954, serves both male and female youth and has an operating capacity of 284 youth. Kearny Mesa serves:</w:t>
      </w:r>
    </w:p>
    <w:p w:rsidR="00D86A11" w:rsidRPr="002D083E" w:rsidRDefault="00D86A11" w:rsidP="00D86A11">
      <w:pPr>
        <w:numPr>
          <w:ilvl w:val="0"/>
          <w:numId w:val="16"/>
        </w:numPr>
        <w:spacing w:before="120" w:after="0"/>
        <w:ind w:right="130"/>
        <w:rPr>
          <w:rFonts w:ascii="Franklin Gothic Book" w:hAnsi="Franklin Gothic Book"/>
          <w:color w:val="auto"/>
          <w:spacing w:val="20"/>
          <w:szCs w:val="28"/>
        </w:rPr>
      </w:pPr>
      <w:r w:rsidRPr="002D083E">
        <w:rPr>
          <w:rFonts w:ascii="Franklin Gothic Book" w:hAnsi="Franklin Gothic Book"/>
          <w:color w:val="auto"/>
          <w:spacing w:val="20"/>
          <w:szCs w:val="28"/>
        </w:rPr>
        <w:t>Youth who are committed to the Short Term Offender Program (STOP)</w:t>
      </w:r>
    </w:p>
    <w:p w:rsidR="00D86A11" w:rsidRPr="002D083E" w:rsidRDefault="00D86A11" w:rsidP="00D86A11">
      <w:pPr>
        <w:numPr>
          <w:ilvl w:val="0"/>
          <w:numId w:val="16"/>
        </w:numPr>
        <w:spacing w:before="120" w:after="0"/>
        <w:ind w:right="130"/>
        <w:rPr>
          <w:rFonts w:ascii="Franklin Gothic Book" w:hAnsi="Franklin Gothic Book"/>
          <w:color w:val="auto"/>
          <w:spacing w:val="20"/>
          <w:szCs w:val="28"/>
        </w:rPr>
      </w:pPr>
      <w:r w:rsidRPr="002D083E">
        <w:rPr>
          <w:rFonts w:ascii="Franklin Gothic Book" w:hAnsi="Franklin Gothic Book"/>
          <w:color w:val="auto"/>
          <w:spacing w:val="20"/>
          <w:szCs w:val="28"/>
        </w:rPr>
        <w:lastRenderedPageBreak/>
        <w:t>Youth awaiting placement in a Residential Treatment Facility</w:t>
      </w:r>
    </w:p>
    <w:p w:rsidR="00D86A11" w:rsidRPr="002D083E" w:rsidRDefault="00D86A11" w:rsidP="00D86A11">
      <w:pPr>
        <w:numPr>
          <w:ilvl w:val="0"/>
          <w:numId w:val="16"/>
        </w:numPr>
        <w:spacing w:before="120" w:after="0"/>
        <w:ind w:right="130"/>
        <w:rPr>
          <w:rFonts w:ascii="Franklin Gothic Book" w:hAnsi="Franklin Gothic Book"/>
          <w:color w:val="auto"/>
          <w:spacing w:val="20"/>
          <w:szCs w:val="28"/>
        </w:rPr>
      </w:pPr>
      <w:r w:rsidRPr="002D083E">
        <w:rPr>
          <w:rFonts w:ascii="Franklin Gothic Book" w:hAnsi="Franklin Gothic Book"/>
          <w:color w:val="auto"/>
          <w:spacing w:val="20"/>
          <w:szCs w:val="28"/>
        </w:rPr>
        <w:t xml:space="preserve">Girls committed to the Youthful Offender Program (YOU) </w:t>
      </w:r>
    </w:p>
    <w:p w:rsidR="00D86A11" w:rsidRPr="002D083E" w:rsidRDefault="00D86A11" w:rsidP="00D86A11">
      <w:pPr>
        <w:numPr>
          <w:ilvl w:val="0"/>
          <w:numId w:val="16"/>
        </w:numPr>
        <w:spacing w:before="120" w:after="0"/>
        <w:ind w:right="130"/>
        <w:rPr>
          <w:rFonts w:ascii="Franklin Gothic Book" w:hAnsi="Franklin Gothic Book"/>
          <w:color w:val="auto"/>
          <w:spacing w:val="20"/>
          <w:szCs w:val="28"/>
        </w:rPr>
      </w:pPr>
      <w:r w:rsidRPr="002D083E">
        <w:rPr>
          <w:rFonts w:ascii="Franklin Gothic Book" w:hAnsi="Franklin Gothic Book"/>
          <w:color w:val="auto"/>
          <w:spacing w:val="20"/>
          <w:szCs w:val="28"/>
        </w:rPr>
        <w:t>Youth awaiting disposition of their court case</w:t>
      </w:r>
    </w:p>
    <w:p w:rsidR="00D86A11" w:rsidRPr="002D083E" w:rsidRDefault="00D86A11" w:rsidP="00D86A11">
      <w:pPr>
        <w:numPr>
          <w:ilvl w:val="0"/>
          <w:numId w:val="16"/>
        </w:numPr>
        <w:spacing w:before="120" w:after="0"/>
        <w:ind w:right="130"/>
        <w:rPr>
          <w:rFonts w:ascii="Franklin Gothic Book" w:hAnsi="Franklin Gothic Book"/>
          <w:color w:val="auto"/>
          <w:spacing w:val="20"/>
          <w:szCs w:val="28"/>
        </w:rPr>
      </w:pPr>
      <w:r w:rsidRPr="002D083E">
        <w:rPr>
          <w:rFonts w:ascii="Franklin Gothic Book" w:hAnsi="Franklin Gothic Book"/>
          <w:color w:val="auto"/>
          <w:spacing w:val="20"/>
          <w:szCs w:val="28"/>
        </w:rPr>
        <w:t>Male youth housed in the specialized Trauma Respons</w:t>
      </w:r>
      <w:r>
        <w:rPr>
          <w:rFonts w:ascii="Franklin Gothic Book" w:hAnsi="Franklin Gothic Book"/>
          <w:color w:val="auto"/>
          <w:spacing w:val="20"/>
          <w:szCs w:val="28"/>
        </w:rPr>
        <w:t>ive</w:t>
      </w:r>
      <w:r w:rsidRPr="002D083E">
        <w:rPr>
          <w:rFonts w:ascii="Franklin Gothic Book" w:hAnsi="Franklin Gothic Book"/>
          <w:color w:val="auto"/>
          <w:spacing w:val="20"/>
          <w:szCs w:val="28"/>
        </w:rPr>
        <w:t xml:space="preserve"> Unit (TRU)</w:t>
      </w:r>
    </w:p>
    <w:p w:rsidR="00D86A11" w:rsidRPr="002E35EA" w:rsidRDefault="00D86A11" w:rsidP="00B72286">
      <w:pPr>
        <w:pStyle w:val="Heading3"/>
        <w:spacing w:line="276" w:lineRule="auto"/>
        <w:rPr>
          <w:b w:val="0"/>
          <w:color w:val="auto"/>
          <w:sz w:val="22"/>
        </w:rPr>
      </w:pPr>
      <w:r w:rsidRPr="002E35EA">
        <w:rPr>
          <w:b w:val="0"/>
          <w:color w:val="auto"/>
          <w:sz w:val="22"/>
        </w:rPr>
        <w:t xml:space="preserve">Services to youth at KMJDF include medical, dental and psychological or psychiatric care, educational services administered by the </w:t>
      </w:r>
      <w:r>
        <w:rPr>
          <w:b w:val="0"/>
          <w:color w:val="auto"/>
          <w:sz w:val="22"/>
        </w:rPr>
        <w:t>County of San Diego</w:t>
      </w:r>
      <w:r w:rsidRPr="002E35EA">
        <w:rPr>
          <w:b w:val="0"/>
          <w:color w:val="auto"/>
          <w:sz w:val="22"/>
        </w:rPr>
        <w:t xml:space="preserve"> Office of Education, Juvenile Court and Community Schools, religious services, recreation, and programming tailored to meet individual needs such as </w:t>
      </w:r>
      <w:r>
        <w:rPr>
          <w:b w:val="0"/>
          <w:color w:val="auto"/>
          <w:sz w:val="22"/>
        </w:rPr>
        <w:t>a</w:t>
      </w:r>
      <w:r w:rsidRPr="002E35EA">
        <w:rPr>
          <w:b w:val="0"/>
          <w:color w:val="auto"/>
          <w:sz w:val="22"/>
        </w:rPr>
        <w:t xml:space="preserve">nger </w:t>
      </w:r>
      <w:r>
        <w:rPr>
          <w:b w:val="0"/>
          <w:color w:val="auto"/>
          <w:sz w:val="22"/>
        </w:rPr>
        <w:t>m</w:t>
      </w:r>
      <w:r w:rsidRPr="002E35EA">
        <w:rPr>
          <w:b w:val="0"/>
          <w:color w:val="auto"/>
          <w:sz w:val="22"/>
        </w:rPr>
        <w:t xml:space="preserve">anagement, </w:t>
      </w:r>
      <w:r>
        <w:rPr>
          <w:b w:val="0"/>
          <w:color w:val="auto"/>
          <w:sz w:val="22"/>
        </w:rPr>
        <w:t>c</w:t>
      </w:r>
      <w:r w:rsidRPr="002E35EA">
        <w:rPr>
          <w:b w:val="0"/>
          <w:color w:val="auto"/>
          <w:sz w:val="22"/>
        </w:rPr>
        <w:t xml:space="preserve">hemical </w:t>
      </w:r>
      <w:r>
        <w:rPr>
          <w:b w:val="0"/>
          <w:color w:val="auto"/>
          <w:sz w:val="22"/>
        </w:rPr>
        <w:t>d</w:t>
      </w:r>
      <w:r w:rsidRPr="002E35EA">
        <w:rPr>
          <w:b w:val="0"/>
          <w:color w:val="auto"/>
          <w:sz w:val="22"/>
        </w:rPr>
        <w:t xml:space="preserve">ependency, </w:t>
      </w:r>
      <w:r>
        <w:rPr>
          <w:b w:val="0"/>
          <w:color w:val="auto"/>
          <w:sz w:val="22"/>
        </w:rPr>
        <w:t>t</w:t>
      </w:r>
      <w:r w:rsidRPr="002E35EA">
        <w:rPr>
          <w:b w:val="0"/>
          <w:color w:val="auto"/>
          <w:sz w:val="22"/>
        </w:rPr>
        <w:t xml:space="preserve">een </w:t>
      </w:r>
      <w:r>
        <w:rPr>
          <w:b w:val="0"/>
          <w:color w:val="auto"/>
          <w:sz w:val="22"/>
        </w:rPr>
        <w:t>r</w:t>
      </w:r>
      <w:r w:rsidRPr="002E35EA">
        <w:rPr>
          <w:b w:val="0"/>
          <w:color w:val="auto"/>
          <w:sz w:val="22"/>
        </w:rPr>
        <w:t xml:space="preserve">elationship </w:t>
      </w:r>
      <w:r>
        <w:rPr>
          <w:b w:val="0"/>
          <w:color w:val="auto"/>
          <w:sz w:val="22"/>
        </w:rPr>
        <w:t>v</w:t>
      </w:r>
      <w:r w:rsidRPr="002E35EA">
        <w:rPr>
          <w:b w:val="0"/>
          <w:color w:val="auto"/>
          <w:sz w:val="22"/>
        </w:rPr>
        <w:t xml:space="preserve">iolence, literacy, </w:t>
      </w:r>
      <w:r>
        <w:rPr>
          <w:b w:val="0"/>
          <w:color w:val="auto"/>
          <w:sz w:val="22"/>
        </w:rPr>
        <w:t>p</w:t>
      </w:r>
      <w:r w:rsidRPr="002E35EA">
        <w:rPr>
          <w:b w:val="0"/>
          <w:color w:val="auto"/>
          <w:sz w:val="22"/>
        </w:rPr>
        <w:t xml:space="preserve">ersonal </w:t>
      </w:r>
      <w:r>
        <w:rPr>
          <w:b w:val="0"/>
          <w:color w:val="auto"/>
          <w:sz w:val="22"/>
        </w:rPr>
        <w:t>r</w:t>
      </w:r>
      <w:r w:rsidRPr="002E35EA">
        <w:rPr>
          <w:b w:val="0"/>
          <w:color w:val="auto"/>
          <w:sz w:val="22"/>
        </w:rPr>
        <w:t xml:space="preserve">esponsibility and </w:t>
      </w:r>
      <w:r>
        <w:rPr>
          <w:b w:val="0"/>
          <w:color w:val="auto"/>
          <w:sz w:val="22"/>
        </w:rPr>
        <w:t>a</w:t>
      </w:r>
      <w:r w:rsidRPr="002E35EA">
        <w:rPr>
          <w:b w:val="0"/>
          <w:color w:val="auto"/>
          <w:sz w:val="22"/>
        </w:rPr>
        <w:t xml:space="preserve">rt </w:t>
      </w:r>
      <w:r>
        <w:rPr>
          <w:b w:val="0"/>
          <w:color w:val="auto"/>
          <w:sz w:val="22"/>
        </w:rPr>
        <w:t>t</w:t>
      </w:r>
      <w:r w:rsidRPr="002E35EA">
        <w:rPr>
          <w:b w:val="0"/>
          <w:color w:val="auto"/>
          <w:sz w:val="22"/>
        </w:rPr>
        <w:t xml:space="preserve">herapy. </w:t>
      </w:r>
    </w:p>
    <w:p w:rsidR="00D86A11" w:rsidRPr="009C15B5" w:rsidRDefault="00F1013C" w:rsidP="00B72286">
      <w:pPr>
        <w:pStyle w:val="Heading3"/>
        <w:spacing w:line="276" w:lineRule="auto"/>
        <w:rPr>
          <w:b w:val="0"/>
          <w:color w:val="auto"/>
          <w:sz w:val="22"/>
        </w:rPr>
      </w:pPr>
      <w:r w:rsidRPr="00F1013C">
        <w:rPr>
          <w:b w:val="0"/>
          <w:color w:val="auto"/>
          <w:sz w:val="22"/>
        </w:rPr>
        <w:t xml:space="preserve">The Trauma Responsive Unit (TRU), which opened in February 2016, is a specialized unit for male youth who present with clinical indicators of Post-Traumatic Stress Disorders (PTSD), Acute Stress Disorder (ASD), anxiety, Conduct Disorder, ADHD, and other trauma based disorders. The unit is comprised of both sworn and non-sworn staff specifically trained to work with youth in a therapeutic capacity. TRU staff is specifically trained to implement and reinforce the Trauma Affect Regulation: Guide for Education and Therapy (Target) curriculum in an effort to foster positive behavioral changes. Staff conduct weekly Multi-Disciplinary Team Meetings (MDT’s) in order to monitor and adjust individual treatment. The unit incorporates wraparound services, substance abuse counseling, and anger management. Youth participate in weekly individual and group therapy sessions specifically designed to modify thoughts, emotions, and behaviors commonly associated with trauma-based disorders. </w:t>
      </w:r>
    </w:p>
    <w:p w:rsidR="00D86A11" w:rsidRPr="003436FC" w:rsidRDefault="00121985" w:rsidP="00D86A11">
      <w:pPr>
        <w:pStyle w:val="Heading2"/>
        <w:rPr>
          <w:rStyle w:val="Heading1Char"/>
          <w:b/>
          <w:color w:val="F6872B"/>
          <w:sz w:val="24"/>
        </w:rPr>
      </w:pPr>
      <w:r>
        <w:rPr>
          <w:rStyle w:val="Heading1Char"/>
          <w:b/>
          <w:color w:val="F6872B"/>
          <w:sz w:val="24"/>
        </w:rPr>
        <w:t>East Mesa Juvenile Detention Facility (EMJDF)</w:t>
      </w:r>
    </w:p>
    <w:p w:rsidR="00D86A11" w:rsidRPr="004179C3" w:rsidRDefault="00121985" w:rsidP="00D86A11">
      <w:pPr>
        <w:pStyle w:val="Heading3"/>
        <w:spacing w:line="276" w:lineRule="auto"/>
        <w:rPr>
          <w:b w:val="0"/>
          <w:color w:val="auto"/>
          <w:sz w:val="22"/>
        </w:rPr>
      </w:pPr>
      <w:r w:rsidRPr="00121985">
        <w:rPr>
          <w:b w:val="0"/>
          <w:color w:val="auto"/>
          <w:sz w:val="22"/>
        </w:rPr>
        <w:t xml:space="preserve">EMJDF opened in June of 2004. While the facility can accommodate both genders, males have primarily been housed at the facility, which has a bed capacity of 290. There are nine 30-bed units and one 20-bed unit. </w:t>
      </w:r>
    </w:p>
    <w:p w:rsidR="00D86A11" w:rsidRPr="004179C3" w:rsidRDefault="00121985" w:rsidP="00D86A11">
      <w:pPr>
        <w:pStyle w:val="Heading3"/>
        <w:spacing w:line="276" w:lineRule="auto"/>
        <w:rPr>
          <w:b w:val="0"/>
          <w:color w:val="auto"/>
          <w:sz w:val="22"/>
        </w:rPr>
      </w:pPr>
      <w:r w:rsidRPr="00121985">
        <w:rPr>
          <w:b w:val="0"/>
          <w:color w:val="auto"/>
          <w:sz w:val="22"/>
        </w:rPr>
        <w:t xml:space="preserve">EMJDF serves youth committed by the Juvenile Court to the Youthful Offender Unit (YOU), a 9 to 12 month program for youth with significant delinquent backgrounds and histories, as well as youth who are awaiting disposition and transportation to Camp Barrett, The Department of Juvenile Justice (DJJ), or the County Jail. Additionally, EMJDF also serves youth who are committed to the Camp Barrett Program, but could not participate in a camp setting due to medical, mental health or other disqualifying factors. </w:t>
      </w:r>
    </w:p>
    <w:p w:rsidR="00D86A11" w:rsidRPr="00684168" w:rsidRDefault="00121985" w:rsidP="00D86A11">
      <w:pPr>
        <w:pStyle w:val="Heading3"/>
        <w:spacing w:line="276" w:lineRule="auto"/>
        <w:rPr>
          <w:b w:val="0"/>
          <w:color w:val="auto"/>
          <w:sz w:val="22"/>
        </w:rPr>
      </w:pPr>
      <w:r w:rsidRPr="00121985">
        <w:rPr>
          <w:b w:val="0"/>
          <w:color w:val="auto"/>
          <w:sz w:val="22"/>
        </w:rPr>
        <w:t xml:space="preserve">YOU committed youth participate in transitional services such as job readiness and training provided by Second Chance, a contracted community based organization. Youth are provided with hands on skills as well as education on resume preparation, interview techniques and participation in job fairs. At any given time, approximately 60 YOU youth are involved in the custody program before transitioning back into the community. Youth participate in programming provided </w:t>
      </w:r>
      <w:r w:rsidRPr="00121985">
        <w:rPr>
          <w:b w:val="0"/>
          <w:color w:val="auto"/>
          <w:sz w:val="22"/>
        </w:rPr>
        <w:lastRenderedPageBreak/>
        <w:t xml:space="preserve">by SAY San Diego and unit staff. Programs provided include Safe Dates, Pathways to Self-Discovery and Change, Criminal Conduct and Substance Abuse and Aggression Replacement Training. EMJDF started a SKYPE program for youth whose parents are not able to visit due to transportation issues or the location of the facility. </w:t>
      </w:r>
    </w:p>
    <w:p w:rsidR="00D86A11" w:rsidRPr="00345D9A" w:rsidRDefault="00121985" w:rsidP="00D86A11">
      <w:pPr>
        <w:pStyle w:val="Heading2"/>
        <w:rPr>
          <w:color w:val="F6872B"/>
        </w:rPr>
      </w:pPr>
      <w:r>
        <w:rPr>
          <w:rStyle w:val="Heading1Char"/>
          <w:b/>
          <w:color w:val="F6872B"/>
          <w:sz w:val="24"/>
        </w:rPr>
        <w:t>Camp Barrett</w:t>
      </w:r>
    </w:p>
    <w:p w:rsidR="00D86A11" w:rsidRPr="005017AB" w:rsidRDefault="00121985" w:rsidP="00D86A11">
      <w:pPr>
        <w:pStyle w:val="Heading3"/>
        <w:spacing w:line="276" w:lineRule="auto"/>
        <w:rPr>
          <w:b w:val="0"/>
          <w:color w:val="auto"/>
          <w:sz w:val="22"/>
        </w:rPr>
      </w:pPr>
      <w:r w:rsidRPr="00121985">
        <w:rPr>
          <w:b w:val="0"/>
          <w:color w:val="auto"/>
          <w:sz w:val="22"/>
        </w:rPr>
        <w:t>Due to the declining population of juvenile youth in detention, the Juvenile Ranch Facility (JRF) was closed in 2015. Both, Camp Barrett and the Juvenile Ranch Facility merged into the Camp Barrett facility. Camp Barrett is located in the rural community of Alpine, near Descanso. </w:t>
      </w:r>
    </w:p>
    <w:p w:rsidR="00D86A11" w:rsidRPr="005017AB" w:rsidRDefault="00121985" w:rsidP="00D86A11">
      <w:pPr>
        <w:pStyle w:val="Heading3"/>
        <w:spacing w:line="276" w:lineRule="auto"/>
        <w:rPr>
          <w:b w:val="0"/>
          <w:color w:val="auto"/>
          <w:sz w:val="22"/>
        </w:rPr>
      </w:pPr>
      <w:r w:rsidRPr="00121985">
        <w:rPr>
          <w:b w:val="0"/>
          <w:color w:val="auto"/>
          <w:sz w:val="22"/>
        </w:rPr>
        <w:t xml:space="preserve">Camp Barrett provides two commitment options to the Juvenile Court. The first commitment, Breaking Cycles and Drug Court, serves youth ages 13 to 18 years old and accommodates commitment programs from 28 to 240 days, with an average stay of approximately 90 days. The second commitment, Camp Barrett, is focused on a higher level of delinquent males, ages 16.5 through 18 years committed to 365 days with a possibility of getting released as early as five months for good behavior and excellent participation in programming. </w:t>
      </w:r>
    </w:p>
    <w:p w:rsidR="00D86A11" w:rsidRPr="000B3D40" w:rsidRDefault="00121985" w:rsidP="00D86A11">
      <w:pPr>
        <w:pStyle w:val="Heading3"/>
        <w:spacing w:line="276" w:lineRule="auto"/>
        <w:rPr>
          <w:b w:val="0"/>
          <w:color w:val="auto"/>
          <w:sz w:val="22"/>
        </w:rPr>
      </w:pPr>
      <w:r w:rsidRPr="00121985">
        <w:rPr>
          <w:b w:val="0"/>
          <w:color w:val="auto"/>
          <w:sz w:val="22"/>
        </w:rPr>
        <w:t xml:space="preserve">Camp Barrett’s goal is to provide committed youth with the training and skills necessary for successful reintegration into society. To accomplish this goal, each youth is required to attend school, complete assigned camp work tasks, and complete a demanding structured program designed to support their successful reintegration back into the community. </w:t>
      </w:r>
    </w:p>
    <w:p w:rsidR="00D86A11" w:rsidRPr="008F1390" w:rsidRDefault="00121985" w:rsidP="00D86A11">
      <w:pPr>
        <w:pStyle w:val="Heading3"/>
        <w:spacing w:line="276" w:lineRule="auto"/>
        <w:rPr>
          <w:b w:val="0"/>
          <w:color w:val="auto"/>
          <w:sz w:val="22"/>
        </w:rPr>
      </w:pPr>
      <w:r w:rsidRPr="00121985">
        <w:rPr>
          <w:b w:val="0"/>
          <w:color w:val="auto"/>
          <w:sz w:val="22"/>
        </w:rPr>
        <w:t xml:space="preserve">Youth with disabilities, who meet the criteria for a camp commitment are accommodated and Close Captioning is available. Youth accomplish programming and reintegration goals through participation in a myriad of groups to include, Aggression Replacement Therapy, Building/Ground Maintenance, Cal I.D., College Education, Community Service, County Operations Road Crews, Culinary Arts, Fire Science, GED, Graphic Arts Design, High School Diploma, Green Technology, Parenting Classes, Reading Legacies, Religious Services, Social Tolerance/Gang Awareness, Special Education, Substance Abuse Education and Treatment, Team Leadership Training, Teen Relationship Violence, and Work Readiness. In addition, staff utilizes a technique called Integrated Behavioral Intervention Strategies (IBIS) to motivate youth to make behavioral changes which promote pro-social values and accountability for their own actions. </w:t>
      </w:r>
    </w:p>
    <w:p w:rsidR="00D86A11" w:rsidRPr="008F1390" w:rsidRDefault="00121985" w:rsidP="00D86A11">
      <w:pPr>
        <w:pStyle w:val="Heading3"/>
        <w:spacing w:line="276" w:lineRule="auto"/>
        <w:rPr>
          <w:b w:val="0"/>
          <w:color w:val="auto"/>
          <w:sz w:val="22"/>
        </w:rPr>
      </w:pPr>
      <w:r w:rsidRPr="00121985">
        <w:rPr>
          <w:b w:val="0"/>
          <w:color w:val="auto"/>
          <w:sz w:val="22"/>
        </w:rPr>
        <w:t>As part of this process, the youth must complete Camp Barrett’s Steps to Success Phase program along with mandatory programs designed to increase the likelihood of successful reintegration. </w:t>
      </w:r>
    </w:p>
    <w:p w:rsidR="00D86A11" w:rsidRPr="00345D9A" w:rsidRDefault="00121985" w:rsidP="00D86A11">
      <w:pPr>
        <w:pStyle w:val="Heading2"/>
        <w:rPr>
          <w:color w:val="F6872B"/>
        </w:rPr>
      </w:pPr>
      <w:r>
        <w:rPr>
          <w:rStyle w:val="Heading1Char"/>
          <w:b/>
          <w:color w:val="F6872B"/>
          <w:sz w:val="24"/>
        </w:rPr>
        <w:t>Girl’s Rehabilitation Facility (GRF)</w:t>
      </w:r>
    </w:p>
    <w:p w:rsidR="00D86A11" w:rsidRPr="005F6F28" w:rsidRDefault="00121985" w:rsidP="00D86A11">
      <w:pPr>
        <w:pStyle w:val="Heading3"/>
        <w:spacing w:line="276" w:lineRule="auto"/>
        <w:rPr>
          <w:b w:val="0"/>
          <w:color w:val="auto"/>
          <w:sz w:val="22"/>
        </w:rPr>
      </w:pPr>
      <w:r w:rsidRPr="00121985">
        <w:rPr>
          <w:b w:val="0"/>
          <w:color w:val="auto"/>
          <w:sz w:val="22"/>
        </w:rPr>
        <w:t xml:space="preserve">The Girl’s Rehabilitation Facility (GRF) serves girls requiring custodial time to address delinquent behaviors beyond the capabilities of home placement or a </w:t>
      </w:r>
      <w:r w:rsidRPr="00121985">
        <w:rPr>
          <w:b w:val="0"/>
          <w:color w:val="auto"/>
          <w:sz w:val="22"/>
        </w:rPr>
        <w:lastRenderedPageBreak/>
        <w:t>detention setting. It is an intensive, highly structured program serving up to 45 girls between the ages of 13 and 17 1/2. </w:t>
      </w:r>
    </w:p>
    <w:p w:rsidR="00D86A11" w:rsidRPr="005F6F28" w:rsidRDefault="00121985" w:rsidP="00D86A11">
      <w:pPr>
        <w:pStyle w:val="Heading3"/>
        <w:spacing w:line="276" w:lineRule="auto"/>
        <w:rPr>
          <w:b w:val="0"/>
          <w:color w:val="auto"/>
          <w:sz w:val="22"/>
        </w:rPr>
      </w:pPr>
      <w:r w:rsidRPr="00121985">
        <w:rPr>
          <w:b w:val="0"/>
          <w:color w:val="auto"/>
          <w:sz w:val="22"/>
        </w:rPr>
        <w:t xml:space="preserve">Located next to KMJDF, the facility serves as an urban camp and affords girls with an array of services from community providers. The Juvenile Court Book Club Inc. that originated at GRF and has since expanded to other facilities, continues to promote reading and enhance literacy skills. </w:t>
      </w:r>
    </w:p>
    <w:p w:rsidR="00D86A11" w:rsidRPr="005F6F28" w:rsidRDefault="00121985" w:rsidP="00D86A11">
      <w:pPr>
        <w:pStyle w:val="Heading3"/>
        <w:spacing w:line="276" w:lineRule="auto"/>
        <w:rPr>
          <w:b w:val="0"/>
          <w:color w:val="auto"/>
          <w:sz w:val="22"/>
        </w:rPr>
      </w:pPr>
      <w:r w:rsidRPr="00121985">
        <w:rPr>
          <w:b w:val="0"/>
          <w:color w:val="auto"/>
          <w:sz w:val="22"/>
        </w:rPr>
        <w:t>The GRF Growing Opportunities Gardening Program is a vocational horticultural therapy program. Under the guidance of a vocational horticultural therapist and Master Gardener the youth care for a flower and vegetable garden and engage in garden-related community service projects. While learning healthy eating and gardening practices, the youth develop vocational and life skills, such as teamwork, problem solving, and leadership. The program goals are to nurture coping skills, increase self-sufficiency, and incubate vocational and life skills. GRF’s philosophy focuses on Cognitive Restructuring – that behavior is based on thoughts, attitudes, and beliefs. </w:t>
      </w:r>
    </w:p>
    <w:p w:rsidR="00D86A11" w:rsidRPr="005F6F28" w:rsidRDefault="00121985" w:rsidP="00D86A11">
      <w:pPr>
        <w:pStyle w:val="Heading3"/>
        <w:spacing w:line="276" w:lineRule="auto"/>
        <w:rPr>
          <w:b w:val="0"/>
          <w:color w:val="auto"/>
          <w:sz w:val="22"/>
        </w:rPr>
      </w:pPr>
      <w:r w:rsidRPr="00121985">
        <w:rPr>
          <w:b w:val="0"/>
          <w:color w:val="auto"/>
          <w:sz w:val="22"/>
        </w:rPr>
        <w:t>The goal of GRF is to provide a safe, structured, and caring environment, which promotes each youth’s personal growth. An individualized treatment plan is tailored for each youth addressing specific treatment needs to modify her behavior patterns and attitudes. The program utilizes cognitive behavioral interventions such as Thinking Reports and Thinking Essays to assist in changing behavior and thinking patters. This cognitive based approach affords the youth the opportunity to think about their actions and to determine what they could have done to better control their behavior. </w:t>
      </w:r>
    </w:p>
    <w:p w:rsidR="00D86A11" w:rsidRPr="005F6F28" w:rsidRDefault="00121985" w:rsidP="00D86A11">
      <w:pPr>
        <w:pStyle w:val="Heading3"/>
        <w:spacing w:line="276" w:lineRule="auto"/>
        <w:rPr>
          <w:b w:val="0"/>
          <w:color w:val="auto"/>
          <w:sz w:val="22"/>
        </w:rPr>
      </w:pPr>
      <w:r w:rsidRPr="00121985">
        <w:rPr>
          <w:b w:val="0"/>
          <w:color w:val="auto"/>
          <w:sz w:val="22"/>
        </w:rPr>
        <w:t xml:space="preserve">The programs offered are designed to meet the personal, emotional, and educational needs of the youth placed by the Juvenile Court and include programs such as Positive Peer Culture, individual, group and family counseling, chemical dependency counseling, parenting classes/baby bonding, NA/AA groups and Life Skills/Independent Living Skills. </w:t>
      </w:r>
    </w:p>
    <w:p w:rsidR="00D86A11" w:rsidRPr="00063B02" w:rsidRDefault="00F1013C" w:rsidP="00D86A11">
      <w:pPr>
        <w:pStyle w:val="Heading1"/>
        <w:rPr>
          <w:color w:val="013161"/>
        </w:rPr>
      </w:pPr>
      <w:r w:rsidRPr="00F1013C">
        <w:rPr>
          <w:color w:val="013161"/>
        </w:rPr>
        <w:t xml:space="preserve">5e. </w:t>
      </w:r>
      <w:r w:rsidR="00D86A11" w:rsidRPr="00063B02">
        <w:rPr>
          <w:color w:val="013161"/>
        </w:rPr>
        <w:t xml:space="preserve">Other County Programs </w:t>
      </w:r>
    </w:p>
    <w:p w:rsidR="00D86A11" w:rsidRDefault="00D86A11" w:rsidP="00D86A11">
      <w:pPr>
        <w:pStyle w:val="Heading2"/>
        <w:rPr>
          <w:rStyle w:val="Heading1Char"/>
          <w:b/>
          <w:color w:val="F6872B"/>
          <w:sz w:val="24"/>
        </w:rPr>
      </w:pPr>
      <w:r w:rsidRPr="00D63CD5">
        <w:rPr>
          <w:rStyle w:val="Heading1Char"/>
          <w:b/>
          <w:color w:val="F6872B"/>
          <w:sz w:val="24"/>
          <w:szCs w:val="28"/>
        </w:rPr>
        <w:t xml:space="preserve">CalWORKS </w:t>
      </w:r>
    </w:p>
    <w:p w:rsidR="00D86A11" w:rsidRPr="00B161BC" w:rsidRDefault="00D86A11" w:rsidP="00D86A11">
      <w:pPr>
        <w:pStyle w:val="Heading3"/>
        <w:spacing w:line="276" w:lineRule="auto"/>
        <w:rPr>
          <w:b w:val="0"/>
          <w:color w:val="auto"/>
          <w:sz w:val="22"/>
        </w:rPr>
      </w:pPr>
      <w:r w:rsidRPr="00B161BC">
        <w:rPr>
          <w:b w:val="0"/>
          <w:color w:val="auto"/>
          <w:sz w:val="22"/>
        </w:rPr>
        <w:t>Eligibility Operations is a branch of</w:t>
      </w:r>
      <w:r>
        <w:rPr>
          <w:b w:val="0"/>
          <w:color w:val="auto"/>
          <w:sz w:val="22"/>
        </w:rPr>
        <w:t xml:space="preserve"> the</w:t>
      </w:r>
      <w:r w:rsidRPr="00B161BC">
        <w:rPr>
          <w:b w:val="0"/>
          <w:color w:val="auto"/>
          <w:sz w:val="22"/>
        </w:rPr>
        <w:t xml:space="preserve"> Health and Human Services Agency that provides social welfare services to citizens in need. These services include but are not limited to cash, food assistance, employment services and medical needs. One of the programs under Eligibility Operations is CalWORKS. CalWORKS is designed to transition people from welfare to work. It provides temporary cash assistance to eligible families with minor children, to move families with children from dependency to self-sufficiency through employment.</w:t>
      </w:r>
    </w:p>
    <w:p w:rsidR="00D86A11" w:rsidRPr="00B161BC" w:rsidRDefault="00D86A11" w:rsidP="00D86A11">
      <w:pPr>
        <w:pStyle w:val="Heading3"/>
        <w:spacing w:line="276" w:lineRule="auto"/>
        <w:rPr>
          <w:b w:val="0"/>
          <w:color w:val="auto"/>
          <w:sz w:val="22"/>
        </w:rPr>
      </w:pPr>
      <w:r w:rsidRPr="00B161BC">
        <w:rPr>
          <w:b w:val="0"/>
          <w:color w:val="auto"/>
          <w:sz w:val="22"/>
        </w:rPr>
        <w:t xml:space="preserve">CWS and CalWORKS often serve the same families. In CWS, there are experienced foster care eligibility workers and this helps with communication and providing optimal services for the families that we both serve. The foster care eligibility </w:t>
      </w:r>
      <w:r w:rsidRPr="00B161BC">
        <w:rPr>
          <w:b w:val="0"/>
          <w:color w:val="auto"/>
          <w:sz w:val="22"/>
        </w:rPr>
        <w:lastRenderedPageBreak/>
        <w:t>workers have a manager and program specialist who routinely meet with CWS staff to work out any issues that may be occurring. This has proven beneficial because it speeds up problem resolution, increases communication and provides consistency with policies and procedures.</w:t>
      </w:r>
    </w:p>
    <w:p w:rsidR="00D86A11" w:rsidRDefault="00D86A11" w:rsidP="00D86A11">
      <w:pPr>
        <w:pStyle w:val="Heading2"/>
        <w:rPr>
          <w:rStyle w:val="Heading1Char"/>
          <w:b/>
          <w:color w:val="F6872B"/>
          <w:sz w:val="24"/>
        </w:rPr>
      </w:pPr>
      <w:r w:rsidRPr="00D63CD5">
        <w:rPr>
          <w:rStyle w:val="Heading1Char"/>
          <w:b/>
          <w:color w:val="F6872B"/>
          <w:sz w:val="24"/>
          <w:szCs w:val="28"/>
        </w:rPr>
        <w:t xml:space="preserve">Public Health </w:t>
      </w:r>
      <w:r>
        <w:rPr>
          <w:rStyle w:val="Heading1Char"/>
          <w:b/>
          <w:color w:val="F6872B"/>
          <w:sz w:val="24"/>
        </w:rPr>
        <w:t>Services</w:t>
      </w:r>
    </w:p>
    <w:p w:rsidR="00D86A11" w:rsidRPr="00DF2925" w:rsidRDefault="00D86A11" w:rsidP="00D86A11">
      <w:pPr>
        <w:pStyle w:val="Heading3"/>
        <w:spacing w:line="276" w:lineRule="auto"/>
        <w:rPr>
          <w:b w:val="0"/>
          <w:color w:val="auto"/>
          <w:sz w:val="22"/>
        </w:rPr>
      </w:pPr>
      <w:r w:rsidRPr="00DF2925">
        <w:rPr>
          <w:b w:val="0"/>
          <w:color w:val="auto"/>
          <w:sz w:val="22"/>
        </w:rPr>
        <w:t>Public Health Services has numerous programs one of which is Health Care Program for Children in Foster Care (HCPCFC). This program provides care coordination activities on behalf of children in foster care for both CWS and Juvenile Probation. The public health nurses (PHN) that work within this program are co-located with CWS and Juvenile Probation staff.</w:t>
      </w:r>
    </w:p>
    <w:p w:rsidR="00D86A11" w:rsidRPr="00DF2925" w:rsidRDefault="00D86A11" w:rsidP="00D86A11">
      <w:pPr>
        <w:pStyle w:val="Heading3"/>
        <w:spacing w:line="276" w:lineRule="auto"/>
        <w:rPr>
          <w:b w:val="0"/>
          <w:color w:val="auto"/>
          <w:sz w:val="22"/>
        </w:rPr>
      </w:pPr>
      <w:r w:rsidRPr="00DF2925">
        <w:rPr>
          <w:b w:val="0"/>
          <w:color w:val="auto"/>
          <w:sz w:val="22"/>
        </w:rPr>
        <w:t>PHNs help children in the foster care system get the health care they need and make sure children receive preventive healthcare and treatment of health problems. They help substitute care providers (foster parents and relative caregivers) by making timely referrals for medical, dental, mental health services and early intervention to specialty providers.</w:t>
      </w:r>
    </w:p>
    <w:p w:rsidR="00D86A11" w:rsidRPr="00DF2925" w:rsidRDefault="00D86A11" w:rsidP="00D86A11">
      <w:pPr>
        <w:pStyle w:val="Heading3"/>
        <w:spacing w:line="276" w:lineRule="auto"/>
        <w:rPr>
          <w:b w:val="0"/>
          <w:color w:val="auto"/>
          <w:sz w:val="22"/>
        </w:rPr>
      </w:pPr>
      <w:r w:rsidRPr="00DF2925">
        <w:rPr>
          <w:b w:val="0"/>
          <w:color w:val="auto"/>
          <w:sz w:val="22"/>
        </w:rPr>
        <w:t>Children must receive medical and dental exams within 30 days of entry into foster care and then continue with medical and dental exams while in foster care. Depending on the child’s age, a child’s health exam may include:  medical history and physical, body measurements, hearing and vision screening, specific procedures/tests and/or other laboratory tests as found to be necessary. A Health and Education Passport (HEP) is created for each child in foster care and includes pa</w:t>
      </w:r>
      <w:r>
        <w:rPr>
          <w:b w:val="0"/>
          <w:color w:val="auto"/>
          <w:sz w:val="22"/>
        </w:rPr>
        <w:t>s</w:t>
      </w:r>
      <w:r w:rsidRPr="00DF2925">
        <w:rPr>
          <w:b w:val="0"/>
          <w:color w:val="auto"/>
          <w:sz w:val="22"/>
        </w:rPr>
        <w:t xml:space="preserve">t and current health, dental and education information. The HEP is shared with the </w:t>
      </w:r>
      <w:r>
        <w:rPr>
          <w:b w:val="0"/>
          <w:color w:val="auto"/>
          <w:sz w:val="22"/>
        </w:rPr>
        <w:t>caregiver</w:t>
      </w:r>
      <w:r w:rsidRPr="00DF2925">
        <w:rPr>
          <w:b w:val="0"/>
          <w:color w:val="auto"/>
          <w:sz w:val="22"/>
        </w:rPr>
        <w:t>, biological parent, healthcare providers and the youth as they exit foster care.</w:t>
      </w:r>
    </w:p>
    <w:p w:rsidR="00D86A11" w:rsidRPr="00DF2925" w:rsidRDefault="00D86A11" w:rsidP="00D86A11">
      <w:pPr>
        <w:pStyle w:val="Heading3"/>
        <w:spacing w:line="276" w:lineRule="auto"/>
        <w:rPr>
          <w:b w:val="0"/>
          <w:color w:val="auto"/>
          <w:sz w:val="22"/>
        </w:rPr>
      </w:pPr>
      <w:r w:rsidRPr="00DF2925">
        <w:rPr>
          <w:b w:val="0"/>
          <w:color w:val="auto"/>
          <w:sz w:val="22"/>
        </w:rPr>
        <w:t>PHNs provide education to social workers, probation officers, juvenile court judges, attorneys, school nurses, physicians and others a</w:t>
      </w:r>
      <w:r w:rsidR="00121985" w:rsidRPr="00121985">
        <w:rPr>
          <w:b w:val="0"/>
          <w:color w:val="auto"/>
          <w:sz w:val="22"/>
        </w:rPr>
        <w:t>bout the special health care needs of children in foster care.</w:t>
      </w:r>
    </w:p>
    <w:p w:rsidR="00D86A11" w:rsidRPr="005E516C" w:rsidRDefault="00121985" w:rsidP="00D86A11">
      <w:pPr>
        <w:pStyle w:val="Heading2"/>
        <w:rPr>
          <w:rStyle w:val="Heading1Char"/>
          <w:b/>
          <w:color w:val="F6872B"/>
          <w:sz w:val="24"/>
        </w:rPr>
      </w:pPr>
      <w:r>
        <w:rPr>
          <w:rStyle w:val="Heading1Char"/>
          <w:b/>
          <w:color w:val="F6872B"/>
          <w:sz w:val="24"/>
        </w:rPr>
        <w:t>Behavioral Health Services</w:t>
      </w:r>
      <w:r w:rsidR="00D86A11" w:rsidRPr="00D63CD5">
        <w:rPr>
          <w:rStyle w:val="Heading1Char"/>
          <w:b/>
          <w:color w:val="F6872B"/>
          <w:sz w:val="24"/>
          <w:szCs w:val="28"/>
        </w:rPr>
        <w:t xml:space="preserve"> </w:t>
      </w:r>
      <w:r w:rsidR="00D86A11">
        <w:rPr>
          <w:rStyle w:val="Heading1Char"/>
          <w:b/>
          <w:color w:val="F6872B"/>
          <w:sz w:val="24"/>
        </w:rPr>
        <w:t>(BHS)</w:t>
      </w:r>
    </w:p>
    <w:p w:rsidR="00D86A11" w:rsidRPr="005E516C" w:rsidRDefault="00D86A11" w:rsidP="00D86A11">
      <w:pPr>
        <w:pStyle w:val="Heading3"/>
        <w:spacing w:line="276" w:lineRule="auto"/>
        <w:rPr>
          <w:b w:val="0"/>
          <w:color w:val="auto"/>
          <w:sz w:val="22"/>
        </w:rPr>
      </w:pPr>
      <w:r w:rsidRPr="005E516C">
        <w:rPr>
          <w:b w:val="0"/>
          <w:color w:val="auto"/>
          <w:sz w:val="22"/>
        </w:rPr>
        <w:t xml:space="preserve">BHS provides mental health and alcohol or other drug services for children, youth, families, adults and older adults. BHS promotes recovery and well-being through prevention, treatment and intervention as well as integrated services for clients experiencing both mental illness and alcohol and/or drug issues. </w:t>
      </w:r>
    </w:p>
    <w:p w:rsidR="00D86A11" w:rsidRPr="005E516C" w:rsidRDefault="00D86A11" w:rsidP="00D86A11">
      <w:pPr>
        <w:pStyle w:val="Heading3"/>
        <w:spacing w:line="276" w:lineRule="auto"/>
        <w:rPr>
          <w:b w:val="0"/>
          <w:color w:val="auto"/>
          <w:sz w:val="22"/>
        </w:rPr>
      </w:pPr>
      <w:r w:rsidRPr="005E516C">
        <w:rPr>
          <w:b w:val="0"/>
          <w:color w:val="auto"/>
          <w:sz w:val="22"/>
        </w:rPr>
        <w:t xml:space="preserve">CWS works most closely with the Children, Youth and Families (CYF) section of Behavioral Health Services as they aid children and adolescents who are emotionally disturbed and their families. CYF offers a wide variety of services, from early intervention to residential services. </w:t>
      </w:r>
    </w:p>
    <w:p w:rsidR="00D86A11" w:rsidRDefault="00D86A11" w:rsidP="00D86A11">
      <w:pPr>
        <w:pStyle w:val="Heading3"/>
        <w:spacing w:line="276" w:lineRule="auto"/>
        <w:rPr>
          <w:b w:val="0"/>
          <w:color w:val="auto"/>
          <w:sz w:val="22"/>
        </w:rPr>
      </w:pPr>
      <w:r w:rsidRPr="005E516C">
        <w:rPr>
          <w:b w:val="0"/>
          <w:color w:val="auto"/>
          <w:sz w:val="22"/>
        </w:rPr>
        <w:t xml:space="preserve">CWS has regularly scheduled meetings with BHS to implement new programs such as San Diego’s response to the Katie A. lawsuit known in San Diego as Pathways to </w:t>
      </w:r>
      <w:r w:rsidRPr="005E516C">
        <w:rPr>
          <w:b w:val="0"/>
          <w:color w:val="auto"/>
          <w:sz w:val="22"/>
        </w:rPr>
        <w:lastRenderedPageBreak/>
        <w:t xml:space="preserve">Well-Being. BHS holds contracts that CWS uses and the two programs work together to improve and solve issues that may arise. </w:t>
      </w:r>
    </w:p>
    <w:p w:rsidR="00D86A11" w:rsidRPr="005633A9" w:rsidRDefault="00D86A11" w:rsidP="00D86A11">
      <w:pPr>
        <w:pStyle w:val="Heading3"/>
        <w:spacing w:line="276" w:lineRule="auto"/>
        <w:rPr>
          <w:b w:val="0"/>
          <w:color w:val="auto"/>
          <w:sz w:val="2"/>
        </w:rPr>
      </w:pPr>
      <w:r>
        <w:rPr>
          <w:b w:val="0"/>
          <w:color w:val="auto"/>
          <w:sz w:val="22"/>
        </w:rPr>
        <w:br w:type="page"/>
      </w:r>
    </w:p>
    <w:tbl>
      <w:tblPr>
        <w:tblW w:w="10429" w:type="dxa"/>
        <w:jc w:val="center"/>
        <w:tblCellMar>
          <w:top w:w="144" w:type="dxa"/>
          <w:left w:w="0" w:type="dxa"/>
          <w:bottom w:w="144" w:type="dxa"/>
          <w:right w:w="0" w:type="dxa"/>
        </w:tblCellMar>
        <w:tblLook w:val="04A0" w:firstRow="1" w:lastRow="0" w:firstColumn="1" w:lastColumn="0" w:noHBand="0" w:noVBand="1"/>
      </w:tblPr>
      <w:tblGrid>
        <w:gridCol w:w="10429"/>
      </w:tblGrid>
      <w:tr w:rsidR="00D86A11" w:rsidRPr="00002D1D">
        <w:trPr>
          <w:trHeight w:val="12"/>
          <w:jc w:val="center"/>
        </w:trPr>
        <w:tc>
          <w:tcPr>
            <w:tcW w:w="0" w:type="auto"/>
            <w:shd w:val="clear" w:color="auto" w:fill="F6872B"/>
            <w:tcMar>
              <w:top w:w="0" w:type="dxa"/>
              <w:bottom w:w="0" w:type="dxa"/>
            </w:tcMar>
            <w:vAlign w:val="center"/>
          </w:tcPr>
          <w:p w:rsidR="000B1863" w:rsidRDefault="00D86A11">
            <w:pPr>
              <w:pStyle w:val="MediumGrid21"/>
              <w:rPr>
                <w:sz w:val="8"/>
                <w:szCs w:val="8"/>
              </w:rPr>
            </w:pPr>
            <w:r>
              <w:lastRenderedPageBreak/>
              <w:br w:type="page"/>
            </w:r>
          </w:p>
        </w:tc>
      </w:tr>
      <w:tr w:rsidR="00D86A11" w:rsidRPr="00002D1D">
        <w:trPr>
          <w:trHeight w:val="125"/>
          <w:jc w:val="center"/>
        </w:trPr>
        <w:tc>
          <w:tcPr>
            <w:tcW w:w="0" w:type="auto"/>
            <w:shd w:val="clear" w:color="auto" w:fill="013161"/>
            <w:vAlign w:val="center"/>
          </w:tcPr>
          <w:p w:rsidR="000B1863" w:rsidRDefault="00D86A11">
            <w:pPr>
              <w:pStyle w:val="MediumGrid21"/>
              <w:numPr>
                <w:ilvl w:val="0"/>
                <w:numId w:val="17"/>
              </w:numPr>
              <w:jc w:val="center"/>
              <w:rPr>
                <w:rFonts w:ascii="Franklin Gothic Book" w:eastAsia="HGGothicM" w:hAnsi="Franklin Gothic Book" w:cs="Tahoma"/>
                <w:color w:val="FFFFFF"/>
                <w:sz w:val="48"/>
                <w:szCs w:val="72"/>
              </w:rPr>
            </w:pPr>
            <w:r>
              <w:rPr>
                <w:rFonts w:eastAsia="HGGothicM" w:cs="Calibri"/>
                <w:color w:val="FFFFFF"/>
                <w:sz w:val="40"/>
                <w:szCs w:val="64"/>
              </w:rPr>
              <w:t xml:space="preserve">State and Federal Mandated </w:t>
            </w:r>
            <w:r w:rsidRPr="00D14239">
              <w:rPr>
                <w:rFonts w:eastAsia="HGGothicM" w:cs="Calibri"/>
                <w:color w:val="FFFFFF"/>
                <w:sz w:val="40"/>
                <w:szCs w:val="64"/>
              </w:rPr>
              <w:t>Child Welfare/Probation Initiatives</w:t>
            </w:r>
          </w:p>
        </w:tc>
      </w:tr>
      <w:tr w:rsidR="00D86A11" w:rsidRPr="00002D1D">
        <w:trPr>
          <w:trHeight w:val="12"/>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bl>
    <w:p w:rsidR="00D86A11" w:rsidRPr="002F564A" w:rsidRDefault="00D86A11" w:rsidP="00D86A11">
      <w:pPr>
        <w:pStyle w:val="Heading1"/>
        <w:rPr>
          <w:color w:val="013161"/>
        </w:rPr>
      </w:pPr>
      <w:r>
        <w:rPr>
          <w:color w:val="013161"/>
        </w:rPr>
        <w:t>Joint Initiatives</w:t>
      </w:r>
    </w:p>
    <w:p w:rsidR="00D86A11" w:rsidRDefault="00D86A11" w:rsidP="00D86A11">
      <w:pPr>
        <w:pStyle w:val="Heading2"/>
        <w:rPr>
          <w:rStyle w:val="Heading1Char"/>
          <w:b/>
          <w:color w:val="F6872B"/>
          <w:sz w:val="24"/>
        </w:rPr>
      </w:pPr>
      <w:r>
        <w:rPr>
          <w:rStyle w:val="Heading1Char"/>
          <w:b/>
          <w:color w:val="F6872B"/>
          <w:sz w:val="24"/>
        </w:rPr>
        <w:t>California Well-Being Demonstration Project</w:t>
      </w:r>
    </w:p>
    <w:p w:rsidR="00D86A11" w:rsidRPr="000C27D1" w:rsidRDefault="00D86A11" w:rsidP="00D86A11">
      <w:pPr>
        <w:pStyle w:val="Heading3"/>
        <w:spacing w:line="276" w:lineRule="auto"/>
        <w:rPr>
          <w:b w:val="0"/>
          <w:color w:val="auto"/>
          <w:sz w:val="22"/>
        </w:rPr>
      </w:pPr>
      <w:r w:rsidRPr="000C27D1">
        <w:rPr>
          <w:b w:val="0"/>
          <w:color w:val="auto"/>
          <w:sz w:val="22"/>
        </w:rPr>
        <w:t xml:space="preserve">San Diego opted to participate in the California Well-Being Demonstration Project which runs from October 1, 2014 to September 30, 2019. Many of our </w:t>
      </w:r>
      <w:r>
        <w:rPr>
          <w:b w:val="0"/>
          <w:color w:val="auto"/>
          <w:sz w:val="22"/>
        </w:rPr>
        <w:t>current County System Improvement (SI</w:t>
      </w:r>
      <w:r w:rsidRPr="000C27D1">
        <w:rPr>
          <w:b w:val="0"/>
          <w:color w:val="auto"/>
          <w:sz w:val="22"/>
        </w:rPr>
        <w:t>P</w:t>
      </w:r>
      <w:r>
        <w:rPr>
          <w:b w:val="0"/>
          <w:color w:val="auto"/>
          <w:sz w:val="22"/>
        </w:rPr>
        <w:t>)</w:t>
      </w:r>
      <w:r w:rsidRPr="000C27D1">
        <w:rPr>
          <w:b w:val="0"/>
          <w:color w:val="auto"/>
          <w:sz w:val="22"/>
        </w:rPr>
        <w:t xml:space="preserve"> strategies were folded into our Title IV Waiver activities using Safety-Organized Practice as the intervention.</w:t>
      </w:r>
      <w:r>
        <w:rPr>
          <w:b w:val="0"/>
          <w:color w:val="auto"/>
          <w:sz w:val="22"/>
        </w:rPr>
        <w:t xml:space="preserve"> </w:t>
      </w:r>
    </w:p>
    <w:p w:rsidR="00D86A11" w:rsidRPr="006F48F5" w:rsidRDefault="00D86A11" w:rsidP="00D86A11">
      <w:pPr>
        <w:pStyle w:val="Heading2"/>
        <w:rPr>
          <w:color w:val="F6872B"/>
        </w:rPr>
      </w:pPr>
      <w:r>
        <w:rPr>
          <w:rStyle w:val="Heading1Char"/>
          <w:b/>
          <w:color w:val="F6872B"/>
          <w:sz w:val="24"/>
        </w:rPr>
        <w:t>Crossover Youth Practice Model (CYPM)</w:t>
      </w:r>
    </w:p>
    <w:p w:rsidR="00D86A11" w:rsidRDefault="00D86A11" w:rsidP="00D86A11">
      <w:pPr>
        <w:pStyle w:val="Heading3"/>
        <w:spacing w:line="276" w:lineRule="auto"/>
        <w:rPr>
          <w:b w:val="0"/>
          <w:color w:val="auto"/>
          <w:sz w:val="22"/>
        </w:rPr>
      </w:pPr>
      <w:r w:rsidRPr="00B83B7F">
        <w:rPr>
          <w:b w:val="0"/>
          <w:color w:val="auto"/>
          <w:sz w:val="22"/>
        </w:rPr>
        <w:t xml:space="preserve">The </w:t>
      </w:r>
      <w:r>
        <w:rPr>
          <w:b w:val="0"/>
          <w:color w:val="auto"/>
          <w:sz w:val="22"/>
        </w:rPr>
        <w:t xml:space="preserve">Crossover Youth Practice Model (CYPM) </w:t>
      </w:r>
      <w:r w:rsidRPr="00E96C1C">
        <w:rPr>
          <w:b w:val="0"/>
          <w:color w:val="auto"/>
          <w:sz w:val="22"/>
        </w:rPr>
        <w:t>developed by the Center for Juvenile Justice Reform at Georgetown University</w:t>
      </w:r>
      <w:r>
        <w:rPr>
          <w:b w:val="0"/>
          <w:color w:val="auto"/>
          <w:sz w:val="22"/>
        </w:rPr>
        <w:t xml:space="preserve"> began as a dual status pilot project </w:t>
      </w:r>
      <w:r w:rsidRPr="00B83B7F">
        <w:rPr>
          <w:b w:val="0"/>
          <w:color w:val="auto"/>
          <w:sz w:val="22"/>
        </w:rPr>
        <w:t xml:space="preserve">in October 2010. The pilot project </w:t>
      </w:r>
      <w:r w:rsidR="00121985" w:rsidRPr="00121985">
        <w:rPr>
          <w:b w:val="0"/>
          <w:color w:val="auto"/>
          <w:sz w:val="22"/>
        </w:rPr>
        <w:t>was limited to ten youth who were in the residential services section of Child Welfare Services. Subsequently in 2012, the pilot project was expanded to the Crossover Youth Practice Model which remains in effect and services approximately 40-45 dual jurisdiction youth. The CYPM provides a mechanism whereby agencies will strengthen their organizational structure, enhance efforts at cross-system collaboration and implement or improve practices that directly affect the outcomes for crossover youth, their families and communities. Crossover youth are youth who have experienced maltreatment, have a child welfare history and engaged in delinquency behaviors.</w:t>
      </w:r>
    </w:p>
    <w:p w:rsidR="00D86A11" w:rsidRPr="002F564A" w:rsidRDefault="00D86A11" w:rsidP="00D86A11">
      <w:pPr>
        <w:pStyle w:val="Heading2"/>
        <w:rPr>
          <w:rStyle w:val="Heading1Char"/>
          <w:b/>
          <w:color w:val="F6872B"/>
          <w:sz w:val="24"/>
          <w:szCs w:val="28"/>
        </w:rPr>
      </w:pPr>
      <w:r w:rsidRPr="002F564A">
        <w:rPr>
          <w:rStyle w:val="Heading1Char"/>
          <w:b/>
          <w:color w:val="F6872B"/>
          <w:sz w:val="24"/>
          <w:szCs w:val="28"/>
        </w:rPr>
        <w:t>Continuum of Care Reform (CCR – AB403)/Resource Family Approval (RFA)</w:t>
      </w:r>
    </w:p>
    <w:p w:rsidR="00D86A11" w:rsidRPr="001D5239" w:rsidRDefault="00D86A11" w:rsidP="00D86A11">
      <w:pPr>
        <w:pStyle w:val="Heading3"/>
        <w:spacing w:line="276" w:lineRule="auto"/>
        <w:rPr>
          <w:b w:val="0"/>
          <w:color w:val="auto"/>
          <w:sz w:val="22"/>
        </w:rPr>
      </w:pPr>
      <w:r w:rsidRPr="001D5239">
        <w:rPr>
          <w:b w:val="0"/>
          <w:color w:val="auto"/>
          <w:sz w:val="22"/>
        </w:rPr>
        <w:t>CCR responsibilities fall primarily with CWS for contracting, licensing and now certificat</w:t>
      </w:r>
      <w:r>
        <w:rPr>
          <w:b w:val="0"/>
          <w:color w:val="auto"/>
          <w:sz w:val="22"/>
        </w:rPr>
        <w:t>ing</w:t>
      </w:r>
      <w:r w:rsidRPr="001D5239">
        <w:rPr>
          <w:b w:val="0"/>
          <w:color w:val="auto"/>
          <w:sz w:val="22"/>
        </w:rPr>
        <w:t xml:space="preserve"> Foster Family Agencies and </w:t>
      </w:r>
      <w:r>
        <w:rPr>
          <w:b w:val="0"/>
          <w:color w:val="auto"/>
          <w:sz w:val="22"/>
        </w:rPr>
        <w:t>Short Term Residential Treatment Programs (</w:t>
      </w:r>
      <w:r w:rsidRPr="001D5239">
        <w:rPr>
          <w:b w:val="0"/>
          <w:color w:val="auto"/>
          <w:sz w:val="22"/>
        </w:rPr>
        <w:t>STRT</w:t>
      </w:r>
      <w:r>
        <w:rPr>
          <w:b w:val="0"/>
          <w:color w:val="auto"/>
          <w:sz w:val="22"/>
        </w:rPr>
        <w:t>P</w:t>
      </w:r>
      <w:r w:rsidRPr="001D5239">
        <w:rPr>
          <w:b w:val="0"/>
          <w:color w:val="auto"/>
          <w:sz w:val="22"/>
        </w:rPr>
        <w:t>’s</w:t>
      </w:r>
      <w:r>
        <w:rPr>
          <w:b w:val="0"/>
          <w:color w:val="auto"/>
          <w:sz w:val="22"/>
        </w:rPr>
        <w:t>)</w:t>
      </w:r>
      <w:r w:rsidRPr="001D5239">
        <w:rPr>
          <w:b w:val="0"/>
          <w:color w:val="auto"/>
          <w:sz w:val="22"/>
        </w:rPr>
        <w:t xml:space="preserve">. Probation is participating in meetings and is providing input, feedback, and support as needed. </w:t>
      </w:r>
    </w:p>
    <w:p w:rsidR="00196C77" w:rsidRPr="00E62E8B" w:rsidRDefault="00121985" w:rsidP="00315D2E">
      <w:pPr>
        <w:pStyle w:val="Heading3"/>
        <w:spacing w:line="276" w:lineRule="auto"/>
        <w:rPr>
          <w:b w:val="0"/>
          <w:color w:val="auto"/>
          <w:sz w:val="22"/>
        </w:rPr>
      </w:pPr>
      <w:r w:rsidRPr="00E62E8B">
        <w:rPr>
          <w:b w:val="0"/>
          <w:color w:val="auto"/>
          <w:sz w:val="22"/>
        </w:rPr>
        <w:t>In regards to RFA, SDCPD is currently working collaboratively with CWS in developing policies and procedures for local RFA implementation. SDCPD is participating in all CWS RFA Steering Committee meetings and multiple sub-committees to assess and determine the roles and responsibilities of both agencies. SDCPD has also actively participated in RFA state wide training such as, the RFA Academy and the RFA Training for Trainers.</w:t>
      </w:r>
    </w:p>
    <w:p w:rsidR="00315D2E" w:rsidRPr="00315D2E" w:rsidRDefault="00315D2E" w:rsidP="00315D2E">
      <w:pPr>
        <w:pStyle w:val="Heading3"/>
        <w:spacing w:line="276" w:lineRule="auto"/>
        <w:rPr>
          <w:rStyle w:val="Heading1Char"/>
          <w:b/>
          <w:color w:val="F6872B"/>
          <w:sz w:val="24"/>
          <w:szCs w:val="28"/>
        </w:rPr>
      </w:pPr>
      <w:r>
        <w:rPr>
          <w:rStyle w:val="Heading1Char"/>
          <w:b/>
          <w:color w:val="F6872B"/>
          <w:sz w:val="24"/>
          <w:szCs w:val="28"/>
        </w:rPr>
        <w:t>Commercially Sexually Exploited Children (CSEC)</w:t>
      </w:r>
    </w:p>
    <w:p w:rsidR="00315D2E" w:rsidRPr="006A0F6B" w:rsidRDefault="00315D2E" w:rsidP="00315D2E">
      <w:pPr>
        <w:spacing w:before="120" w:after="0"/>
        <w:ind w:right="130"/>
        <w:rPr>
          <w:rFonts w:ascii="Franklin Gothic Book" w:hAnsi="Franklin Gothic Book"/>
          <w:color w:val="auto"/>
          <w:spacing w:val="20"/>
          <w:szCs w:val="28"/>
        </w:rPr>
      </w:pPr>
      <w:r w:rsidRPr="006A0F6B">
        <w:rPr>
          <w:rFonts w:ascii="Franklin Gothic Book" w:hAnsi="Franklin Gothic Book"/>
          <w:color w:val="auto"/>
          <w:spacing w:val="20"/>
          <w:szCs w:val="28"/>
        </w:rPr>
        <w:t xml:space="preserve">Under SB855 (2014), San Diego </w:t>
      </w:r>
      <w:r>
        <w:rPr>
          <w:rFonts w:ascii="Franklin Gothic Book" w:hAnsi="Franklin Gothic Book"/>
          <w:color w:val="auto"/>
          <w:spacing w:val="20"/>
          <w:szCs w:val="28"/>
        </w:rPr>
        <w:t>has opted in to improving services for youth at risk for or victims of commercial sexual exploitation</w:t>
      </w:r>
      <w:r w:rsidRPr="006A0F6B">
        <w:rPr>
          <w:rFonts w:ascii="Franklin Gothic Book" w:hAnsi="Franklin Gothic Book"/>
          <w:color w:val="auto"/>
          <w:spacing w:val="20"/>
          <w:szCs w:val="28"/>
        </w:rPr>
        <w:t xml:space="preserve">. We have a signed protocol in place guiding our process for our CSEC youth and children. San Diego has initiated a pilot using the West Coast CSE-IT in our Residential Services program and Polinsky Children’s Center. Additionally we have created a CSEC liaison for </w:t>
      </w:r>
      <w:r w:rsidRPr="006A0F6B">
        <w:rPr>
          <w:rFonts w:ascii="Franklin Gothic Book" w:hAnsi="Franklin Gothic Book"/>
          <w:color w:val="auto"/>
          <w:spacing w:val="20"/>
          <w:szCs w:val="28"/>
        </w:rPr>
        <w:lastRenderedPageBreak/>
        <w:t>each of our regions and the liaison is piloting the tool for any CSEC referrals or cases they receive.</w:t>
      </w:r>
    </w:p>
    <w:p w:rsidR="00D86A11" w:rsidRPr="004F4583" w:rsidRDefault="00D86A11" w:rsidP="00D86A11">
      <w:pPr>
        <w:pStyle w:val="Heading2"/>
        <w:rPr>
          <w:rStyle w:val="Heading1Char"/>
          <w:b/>
          <w:color w:val="F6872B"/>
          <w:sz w:val="24"/>
        </w:rPr>
      </w:pPr>
      <w:r w:rsidRPr="004F4583">
        <w:rPr>
          <w:rStyle w:val="Heading1Char"/>
          <w:b/>
          <w:color w:val="F6872B"/>
          <w:sz w:val="24"/>
          <w:szCs w:val="28"/>
        </w:rPr>
        <w:t>Extended Foster Care</w:t>
      </w:r>
      <w:r>
        <w:rPr>
          <w:rStyle w:val="Heading1Char"/>
          <w:b/>
          <w:color w:val="F6872B"/>
          <w:sz w:val="24"/>
        </w:rPr>
        <w:t xml:space="preserve"> (EFC)</w:t>
      </w:r>
    </w:p>
    <w:p w:rsidR="00D86A11" w:rsidRPr="004F4583" w:rsidRDefault="00D86A11" w:rsidP="00D86A11">
      <w:pPr>
        <w:pStyle w:val="Heading3"/>
        <w:spacing w:line="276" w:lineRule="auto"/>
        <w:rPr>
          <w:b w:val="0"/>
          <w:color w:val="auto"/>
          <w:sz w:val="22"/>
        </w:rPr>
      </w:pPr>
      <w:r w:rsidRPr="004F4583">
        <w:rPr>
          <w:b w:val="0"/>
          <w:color w:val="auto"/>
          <w:sz w:val="22"/>
        </w:rPr>
        <w:t>When Extended Foster Care (EFC</w:t>
      </w:r>
      <w:r>
        <w:rPr>
          <w:b w:val="0"/>
          <w:color w:val="auto"/>
          <w:sz w:val="22"/>
        </w:rPr>
        <w:t>)</w:t>
      </w:r>
      <w:r w:rsidRPr="004F4583">
        <w:rPr>
          <w:b w:val="0"/>
          <w:color w:val="auto"/>
          <w:sz w:val="22"/>
        </w:rPr>
        <w:t xml:space="preserve"> was implemented, CWS created a dedicated unit of workers to serve</w:t>
      </w:r>
      <w:r>
        <w:rPr>
          <w:b w:val="0"/>
          <w:color w:val="auto"/>
          <w:sz w:val="22"/>
        </w:rPr>
        <w:t xml:space="preserve"> EFC</w:t>
      </w:r>
      <w:r w:rsidRPr="004F4583">
        <w:rPr>
          <w:b w:val="0"/>
          <w:color w:val="auto"/>
          <w:sz w:val="22"/>
        </w:rPr>
        <w:t xml:space="preserve"> clients but currently there are six units of workers serving this population. Having the EFC workers centralized helps to pool the expertise of this emerging program and increase learning.</w:t>
      </w:r>
    </w:p>
    <w:p w:rsidR="00D86A11" w:rsidRPr="006A0F6B" w:rsidRDefault="00D86A11" w:rsidP="00D86A11">
      <w:pPr>
        <w:spacing w:before="120" w:after="0"/>
        <w:ind w:right="130"/>
        <w:rPr>
          <w:rFonts w:ascii="Franklin Gothic Book" w:hAnsi="Franklin Gothic Book"/>
          <w:color w:val="auto"/>
          <w:spacing w:val="20"/>
          <w:szCs w:val="28"/>
        </w:rPr>
      </w:pPr>
      <w:r w:rsidRPr="006A0F6B">
        <w:rPr>
          <w:rFonts w:ascii="Franklin Gothic Book" w:hAnsi="Franklin Gothic Book"/>
          <w:color w:val="auto"/>
          <w:spacing w:val="20"/>
          <w:szCs w:val="28"/>
        </w:rPr>
        <w:t xml:space="preserve">In </w:t>
      </w:r>
      <w:r>
        <w:rPr>
          <w:rFonts w:ascii="Franklin Gothic Book" w:hAnsi="Franklin Gothic Book"/>
          <w:color w:val="auto"/>
          <w:spacing w:val="20"/>
          <w:szCs w:val="28"/>
        </w:rPr>
        <w:t xml:space="preserve">March </w:t>
      </w:r>
      <w:r w:rsidRPr="006A0F6B">
        <w:rPr>
          <w:rFonts w:ascii="Franklin Gothic Book" w:hAnsi="Franklin Gothic Book"/>
          <w:color w:val="auto"/>
          <w:spacing w:val="20"/>
          <w:szCs w:val="28"/>
        </w:rPr>
        <w:t>of 2015, Probation assumed the responsibility for the sup</w:t>
      </w:r>
      <w:r>
        <w:rPr>
          <w:rFonts w:ascii="Franklin Gothic Book" w:hAnsi="Franklin Gothic Book"/>
          <w:color w:val="auto"/>
          <w:spacing w:val="20"/>
          <w:szCs w:val="28"/>
        </w:rPr>
        <w:t>ervision and case management of Probation involved Non-Minor Dependent/</w:t>
      </w:r>
      <w:r w:rsidRPr="006A0F6B">
        <w:rPr>
          <w:rFonts w:ascii="Franklin Gothic Book" w:hAnsi="Franklin Gothic Book"/>
          <w:color w:val="auto"/>
          <w:spacing w:val="20"/>
          <w:szCs w:val="28"/>
        </w:rPr>
        <w:t>E</w:t>
      </w:r>
      <w:r>
        <w:rPr>
          <w:rFonts w:ascii="Franklin Gothic Book" w:hAnsi="Franklin Gothic Book"/>
          <w:color w:val="auto"/>
          <w:spacing w:val="20"/>
          <w:szCs w:val="28"/>
        </w:rPr>
        <w:t xml:space="preserve">xtended </w:t>
      </w:r>
      <w:r w:rsidRPr="006A0F6B">
        <w:rPr>
          <w:rFonts w:ascii="Franklin Gothic Book" w:hAnsi="Franklin Gothic Book"/>
          <w:color w:val="auto"/>
          <w:spacing w:val="20"/>
          <w:szCs w:val="28"/>
        </w:rPr>
        <w:t>F</w:t>
      </w:r>
      <w:r>
        <w:rPr>
          <w:rFonts w:ascii="Franklin Gothic Book" w:hAnsi="Franklin Gothic Book"/>
          <w:color w:val="auto"/>
          <w:spacing w:val="20"/>
          <w:szCs w:val="28"/>
        </w:rPr>
        <w:t xml:space="preserve">oster </w:t>
      </w:r>
      <w:r w:rsidRPr="006A0F6B">
        <w:rPr>
          <w:rFonts w:ascii="Franklin Gothic Book" w:hAnsi="Franklin Gothic Book"/>
          <w:color w:val="auto"/>
          <w:spacing w:val="20"/>
          <w:szCs w:val="28"/>
        </w:rPr>
        <w:t>C</w:t>
      </w:r>
      <w:r>
        <w:rPr>
          <w:rFonts w:ascii="Franklin Gothic Book" w:hAnsi="Franklin Gothic Book"/>
          <w:color w:val="auto"/>
          <w:spacing w:val="20"/>
          <w:szCs w:val="28"/>
        </w:rPr>
        <w:t>are (EFC) y</w:t>
      </w:r>
      <w:r w:rsidRPr="006A0F6B">
        <w:rPr>
          <w:rFonts w:ascii="Franklin Gothic Book" w:hAnsi="Franklin Gothic Book"/>
          <w:color w:val="auto"/>
          <w:spacing w:val="20"/>
          <w:szCs w:val="28"/>
        </w:rPr>
        <w:t>outh. Currently, two officers are assigned to</w:t>
      </w:r>
      <w:r>
        <w:rPr>
          <w:rFonts w:ascii="Franklin Gothic Book" w:hAnsi="Franklin Gothic Book"/>
          <w:color w:val="auto"/>
          <w:spacing w:val="20"/>
          <w:szCs w:val="28"/>
        </w:rPr>
        <w:t xml:space="preserve"> this unit with approximately 31</w:t>
      </w:r>
      <w:r w:rsidRPr="006A0F6B">
        <w:rPr>
          <w:rFonts w:ascii="Franklin Gothic Book" w:hAnsi="Franklin Gothic Book"/>
          <w:color w:val="auto"/>
          <w:spacing w:val="20"/>
          <w:szCs w:val="28"/>
        </w:rPr>
        <w:t xml:space="preserve"> youth receiving EFC services and case management.</w:t>
      </w:r>
      <w:r>
        <w:rPr>
          <w:rFonts w:ascii="Franklin Gothic Book" w:hAnsi="Franklin Gothic Book"/>
          <w:color w:val="auto"/>
          <w:spacing w:val="20"/>
          <w:szCs w:val="28"/>
        </w:rPr>
        <w:t xml:space="preserve"> The numbers of EFC youth are anticipated to grow to approximately 6</w:t>
      </w:r>
      <w:r w:rsidRPr="006A0F6B">
        <w:rPr>
          <w:rFonts w:ascii="Franklin Gothic Book" w:hAnsi="Franklin Gothic Book"/>
          <w:color w:val="auto"/>
          <w:spacing w:val="20"/>
          <w:szCs w:val="28"/>
        </w:rPr>
        <w:t>0 youth over the next year.</w:t>
      </w:r>
    </w:p>
    <w:p w:rsidR="00D86A11" w:rsidRPr="002B284D" w:rsidRDefault="00D86A11" w:rsidP="00D86A11">
      <w:pPr>
        <w:pStyle w:val="Heading2"/>
        <w:rPr>
          <w:rStyle w:val="Heading1Char"/>
          <w:b/>
          <w:color w:val="F6872B"/>
          <w:sz w:val="24"/>
          <w:szCs w:val="28"/>
        </w:rPr>
      </w:pPr>
      <w:r w:rsidRPr="002B284D">
        <w:rPr>
          <w:rStyle w:val="Heading1Char"/>
          <w:b/>
          <w:color w:val="F6872B"/>
          <w:sz w:val="24"/>
          <w:szCs w:val="28"/>
        </w:rPr>
        <w:t>Pathways to Well-Being</w:t>
      </w:r>
    </w:p>
    <w:p w:rsidR="00D86A11" w:rsidRPr="00AB0304" w:rsidRDefault="00D86A11" w:rsidP="00D86A11">
      <w:pPr>
        <w:pStyle w:val="Heading3"/>
        <w:spacing w:line="276" w:lineRule="auto"/>
        <w:rPr>
          <w:b w:val="0"/>
          <w:color w:val="auto"/>
          <w:sz w:val="22"/>
        </w:rPr>
      </w:pPr>
      <w:r w:rsidRPr="00AB0304">
        <w:rPr>
          <w:b w:val="0"/>
          <w:color w:val="auto"/>
          <w:sz w:val="22"/>
        </w:rPr>
        <w:t>CWS continues its work in “Pathways to Well-Being” (San Diego’s implementation of the Core Practice Model.). Pathways to Well-Being involves joint governance with Behavioral Health Services to screen and provide relevant mental health assessments to children in out-of-home care. CWS continues its participation in the Continuum of Care workgroup that seeks to step children down to lower levels of care as a part of Pathways to Well-Being.</w:t>
      </w:r>
    </w:p>
    <w:p w:rsidR="00D86A11" w:rsidRPr="0078542C" w:rsidRDefault="00D86A11" w:rsidP="00D86A11">
      <w:pPr>
        <w:pStyle w:val="Heading3"/>
        <w:spacing w:line="276" w:lineRule="auto"/>
        <w:rPr>
          <w:b w:val="0"/>
          <w:color w:val="auto"/>
          <w:sz w:val="22"/>
        </w:rPr>
      </w:pPr>
      <w:r w:rsidRPr="0078542C">
        <w:rPr>
          <w:b w:val="0"/>
          <w:color w:val="auto"/>
          <w:sz w:val="22"/>
        </w:rPr>
        <w:t xml:space="preserve">Currently, </w:t>
      </w:r>
      <w:r>
        <w:rPr>
          <w:b w:val="0"/>
          <w:color w:val="auto"/>
          <w:sz w:val="22"/>
        </w:rPr>
        <w:t>the County of San Diego Probation Department (</w:t>
      </w:r>
      <w:r w:rsidRPr="0078542C">
        <w:rPr>
          <w:b w:val="0"/>
          <w:color w:val="auto"/>
          <w:sz w:val="22"/>
        </w:rPr>
        <w:t>SDCPD</w:t>
      </w:r>
      <w:r>
        <w:rPr>
          <w:b w:val="0"/>
          <w:color w:val="auto"/>
          <w:sz w:val="22"/>
        </w:rPr>
        <w:t>)</w:t>
      </w:r>
      <w:r w:rsidRPr="0078542C">
        <w:rPr>
          <w:b w:val="0"/>
          <w:color w:val="auto"/>
          <w:sz w:val="22"/>
        </w:rPr>
        <w:t xml:space="preserve"> is</w:t>
      </w:r>
      <w:r>
        <w:rPr>
          <w:b w:val="0"/>
          <w:color w:val="auto"/>
          <w:sz w:val="22"/>
        </w:rPr>
        <w:t xml:space="preserve"> working collaboratively with HHSA and BHS to implement training and process strategies related to Pathways to Well-Being. Even though there is no direct SDCPD impact, the Department is actively engaged in and committed to bringing forward best practices </w:t>
      </w:r>
      <w:r w:rsidRPr="00193EB4">
        <w:rPr>
          <w:b w:val="0"/>
          <w:color w:val="auto"/>
          <w:sz w:val="22"/>
        </w:rPr>
        <w:t xml:space="preserve">related to the screening and provision of relevant mental health assessments to children in out-of-home care. </w:t>
      </w:r>
      <w:r w:rsidRPr="0078542C">
        <w:rPr>
          <w:b w:val="0"/>
          <w:color w:val="auto"/>
          <w:sz w:val="22"/>
        </w:rPr>
        <w:t xml:space="preserve"> </w:t>
      </w:r>
    </w:p>
    <w:p w:rsidR="00D86A11" w:rsidRPr="000C02DB" w:rsidRDefault="00D86A11" w:rsidP="00D86A11">
      <w:pPr>
        <w:pStyle w:val="Heading1"/>
        <w:rPr>
          <w:color w:val="013161"/>
        </w:rPr>
      </w:pPr>
      <w:r>
        <w:rPr>
          <w:color w:val="013161"/>
        </w:rPr>
        <w:t>Child Welfare Initiatives</w:t>
      </w:r>
    </w:p>
    <w:p w:rsidR="00D86A11" w:rsidRPr="00DD793B" w:rsidRDefault="00D86A11" w:rsidP="00D86A11">
      <w:pPr>
        <w:pStyle w:val="Heading2"/>
        <w:rPr>
          <w:rStyle w:val="Heading1Char"/>
          <w:b/>
          <w:color w:val="F6872B"/>
          <w:sz w:val="24"/>
        </w:rPr>
      </w:pPr>
      <w:r>
        <w:rPr>
          <w:rStyle w:val="Heading1Char"/>
          <w:b/>
          <w:color w:val="F6872B"/>
          <w:sz w:val="24"/>
        </w:rPr>
        <w:t>State and Federal mandates</w:t>
      </w:r>
    </w:p>
    <w:p w:rsidR="00D86A11" w:rsidRPr="00AA3551" w:rsidRDefault="00D86A11" w:rsidP="00D86A11">
      <w:pPr>
        <w:pStyle w:val="Heading3"/>
        <w:spacing w:line="276" w:lineRule="auto"/>
        <w:rPr>
          <w:b w:val="0"/>
          <w:color w:val="auto"/>
          <w:sz w:val="22"/>
        </w:rPr>
      </w:pPr>
      <w:r w:rsidRPr="00AA3551">
        <w:rPr>
          <w:b w:val="0"/>
          <w:color w:val="auto"/>
          <w:sz w:val="22"/>
        </w:rPr>
        <w:t>CWS has implemented numerous promising practices which contribute to the successful achievement of improving outcomes for children and families in the County of San Diego. Some successes and promising practices include:</w:t>
      </w:r>
    </w:p>
    <w:p w:rsidR="00D86A11" w:rsidRPr="00DF263E" w:rsidRDefault="00D86A11" w:rsidP="00D86A11">
      <w:pPr>
        <w:pStyle w:val="Heading2"/>
        <w:rPr>
          <w:rStyle w:val="Heading1Char"/>
          <w:b/>
          <w:color w:val="F6872B"/>
          <w:sz w:val="24"/>
          <w:szCs w:val="28"/>
        </w:rPr>
      </w:pPr>
      <w:r w:rsidRPr="00DF263E">
        <w:rPr>
          <w:rStyle w:val="Heading1Char"/>
          <w:b/>
          <w:color w:val="F6872B"/>
          <w:sz w:val="24"/>
          <w:szCs w:val="28"/>
        </w:rPr>
        <w:t>Safety Enhanced Together (SET)</w:t>
      </w:r>
    </w:p>
    <w:p w:rsidR="00D86A11" w:rsidRPr="0070748E" w:rsidRDefault="00D86A11" w:rsidP="00D86A11">
      <w:pPr>
        <w:pStyle w:val="Heading3"/>
        <w:spacing w:line="276" w:lineRule="auto"/>
        <w:rPr>
          <w:b w:val="0"/>
          <w:color w:val="auto"/>
          <w:sz w:val="22"/>
        </w:rPr>
      </w:pPr>
      <w:r w:rsidRPr="0070748E">
        <w:rPr>
          <w:b w:val="0"/>
          <w:color w:val="auto"/>
          <w:sz w:val="22"/>
        </w:rPr>
        <w:t>The County of San Diego’s Child Welfare Services practice framework, Safety Enhanced Together (SET), outlines</w:t>
      </w:r>
      <w:r>
        <w:rPr>
          <w:b w:val="0"/>
          <w:color w:val="auto"/>
          <w:sz w:val="22"/>
        </w:rPr>
        <w:t xml:space="preserve"> the vision, values, and g</w:t>
      </w:r>
      <w:r w:rsidRPr="0070748E">
        <w:rPr>
          <w:b w:val="0"/>
          <w:color w:val="auto"/>
          <w:sz w:val="22"/>
        </w:rPr>
        <w:t xml:space="preserve">uiding principles, creates a decision-making framework and defines a practice structure to guide work within all levels of CWS. It is our goal to </w:t>
      </w:r>
      <w:r>
        <w:rPr>
          <w:b w:val="0"/>
          <w:color w:val="auto"/>
          <w:sz w:val="22"/>
        </w:rPr>
        <w:t>ensure that Every Child Grows Up Safe and Nurtured.</w:t>
      </w:r>
    </w:p>
    <w:p w:rsidR="00D86A11" w:rsidRPr="0070748E" w:rsidRDefault="00D86A11" w:rsidP="00D86A11">
      <w:pPr>
        <w:pStyle w:val="Heading3"/>
        <w:spacing w:line="276" w:lineRule="auto"/>
        <w:rPr>
          <w:b w:val="0"/>
          <w:color w:val="auto"/>
          <w:sz w:val="22"/>
        </w:rPr>
      </w:pPr>
      <w:r w:rsidRPr="0070748E">
        <w:rPr>
          <w:b w:val="0"/>
          <w:color w:val="auto"/>
          <w:sz w:val="22"/>
        </w:rPr>
        <w:lastRenderedPageBreak/>
        <w:t>The SET practice framework:</w:t>
      </w:r>
    </w:p>
    <w:p w:rsidR="00D86A11" w:rsidRPr="0070748E" w:rsidRDefault="00D86A11" w:rsidP="00D86A11">
      <w:pPr>
        <w:numPr>
          <w:ilvl w:val="0"/>
          <w:numId w:val="16"/>
        </w:numPr>
        <w:spacing w:before="120" w:after="0"/>
        <w:ind w:right="130"/>
        <w:rPr>
          <w:rFonts w:ascii="Franklin Gothic Book" w:hAnsi="Franklin Gothic Book"/>
          <w:color w:val="auto"/>
          <w:spacing w:val="20"/>
          <w:szCs w:val="28"/>
        </w:rPr>
      </w:pPr>
      <w:r w:rsidRPr="0070748E">
        <w:rPr>
          <w:rFonts w:ascii="Franklin Gothic Book" w:hAnsi="Franklin Gothic Book"/>
          <w:color w:val="auto"/>
          <w:spacing w:val="20"/>
          <w:szCs w:val="28"/>
        </w:rPr>
        <w:t>Defines what we do, how we do it and why we do it the way we do</w:t>
      </w:r>
    </w:p>
    <w:p w:rsidR="00D86A11" w:rsidRPr="0070748E" w:rsidRDefault="00D86A11" w:rsidP="00D86A11">
      <w:pPr>
        <w:numPr>
          <w:ilvl w:val="0"/>
          <w:numId w:val="16"/>
        </w:numPr>
        <w:spacing w:before="120" w:after="0"/>
        <w:ind w:right="130"/>
        <w:rPr>
          <w:rFonts w:ascii="Franklin Gothic Book" w:hAnsi="Franklin Gothic Book"/>
          <w:color w:val="auto"/>
          <w:spacing w:val="20"/>
          <w:szCs w:val="28"/>
        </w:rPr>
      </w:pPr>
      <w:r w:rsidRPr="0070748E">
        <w:rPr>
          <w:rFonts w:ascii="Franklin Gothic Book" w:hAnsi="Franklin Gothic Book"/>
          <w:color w:val="auto"/>
          <w:spacing w:val="20"/>
          <w:szCs w:val="28"/>
        </w:rPr>
        <w:t>Establishes how we work internally and how we partner externally with families, service providers, and other stakeholders to focus on safety, permanency and well-being</w:t>
      </w:r>
    </w:p>
    <w:p w:rsidR="00D86A11" w:rsidRPr="0070748E" w:rsidRDefault="00D86A11" w:rsidP="00D86A11">
      <w:pPr>
        <w:numPr>
          <w:ilvl w:val="0"/>
          <w:numId w:val="16"/>
        </w:numPr>
        <w:spacing w:before="120" w:after="0"/>
        <w:ind w:right="130"/>
        <w:rPr>
          <w:rFonts w:ascii="Franklin Gothic Book" w:hAnsi="Franklin Gothic Book"/>
          <w:color w:val="auto"/>
          <w:spacing w:val="20"/>
          <w:szCs w:val="28"/>
        </w:rPr>
      </w:pPr>
      <w:r w:rsidRPr="0070748E">
        <w:rPr>
          <w:rFonts w:ascii="Franklin Gothic Book" w:hAnsi="Franklin Gothic Book"/>
          <w:color w:val="auto"/>
          <w:spacing w:val="20"/>
          <w:szCs w:val="28"/>
        </w:rPr>
        <w:t>Links agency values and priorities to daily engagement practice with families</w:t>
      </w:r>
    </w:p>
    <w:p w:rsidR="00D86A11" w:rsidRPr="0070748E" w:rsidRDefault="00D86A11" w:rsidP="00D86A11">
      <w:pPr>
        <w:numPr>
          <w:ilvl w:val="0"/>
          <w:numId w:val="16"/>
        </w:numPr>
        <w:spacing w:before="120" w:after="0"/>
        <w:ind w:right="130"/>
        <w:rPr>
          <w:rFonts w:ascii="Franklin Gothic Book" w:hAnsi="Franklin Gothic Book"/>
          <w:color w:val="auto"/>
          <w:spacing w:val="20"/>
          <w:szCs w:val="28"/>
        </w:rPr>
      </w:pPr>
      <w:r w:rsidRPr="0070748E">
        <w:rPr>
          <w:rFonts w:ascii="Franklin Gothic Book" w:hAnsi="Franklin Gothic Book"/>
          <w:color w:val="auto"/>
          <w:spacing w:val="20"/>
          <w:szCs w:val="28"/>
        </w:rPr>
        <w:t xml:space="preserve">Provides clear, written explanations of key agency policies and procedures of how services should be provided as stepping stones to reaching the goal of enhancing safety </w:t>
      </w:r>
      <w:r>
        <w:rPr>
          <w:rFonts w:ascii="Franklin Gothic Book" w:hAnsi="Franklin Gothic Book"/>
          <w:color w:val="auto"/>
          <w:spacing w:val="20"/>
          <w:szCs w:val="28"/>
        </w:rPr>
        <w:t>for children</w:t>
      </w:r>
    </w:p>
    <w:p w:rsidR="00D86A11" w:rsidRPr="00E049BD" w:rsidRDefault="00D86A11" w:rsidP="00D86A11">
      <w:pPr>
        <w:numPr>
          <w:ilvl w:val="0"/>
          <w:numId w:val="16"/>
        </w:numPr>
        <w:spacing w:before="120" w:after="0"/>
        <w:ind w:right="130"/>
        <w:rPr>
          <w:rFonts w:ascii="Franklin Gothic Book" w:hAnsi="Franklin Gothic Book"/>
          <w:b/>
          <w:color w:val="F6872B"/>
          <w:spacing w:val="20"/>
          <w:sz w:val="24"/>
          <w:szCs w:val="28"/>
        </w:rPr>
      </w:pPr>
      <w:r w:rsidRPr="00E049BD">
        <w:rPr>
          <w:rFonts w:ascii="Franklin Gothic Book" w:hAnsi="Franklin Gothic Book"/>
          <w:color w:val="auto"/>
          <w:spacing w:val="20"/>
          <w:szCs w:val="28"/>
        </w:rPr>
        <w:t>Defines effective casework practice while allowing for appropriate flexibility and professional discretion</w:t>
      </w:r>
    </w:p>
    <w:p w:rsidR="00D86A11" w:rsidRPr="00E049BD" w:rsidRDefault="00D86A11" w:rsidP="00D86A11">
      <w:pPr>
        <w:numPr>
          <w:ilvl w:val="0"/>
          <w:numId w:val="16"/>
        </w:numPr>
        <w:spacing w:before="120" w:after="0"/>
        <w:ind w:right="130"/>
        <w:rPr>
          <w:rStyle w:val="Heading1Char"/>
          <w:color w:val="F6872B"/>
          <w:sz w:val="24"/>
          <w:szCs w:val="28"/>
        </w:rPr>
      </w:pPr>
      <w:r w:rsidRPr="00E049BD">
        <w:rPr>
          <w:rFonts w:ascii="Franklin Gothic Book" w:hAnsi="Franklin Gothic Book"/>
          <w:color w:val="auto"/>
          <w:spacing w:val="20"/>
          <w:szCs w:val="28"/>
        </w:rPr>
        <w:t>Supports consistent and collaborative practice through CWS</w:t>
      </w:r>
    </w:p>
    <w:p w:rsidR="00D86A11" w:rsidRPr="005A0A34" w:rsidRDefault="00D86A11" w:rsidP="00D86A11">
      <w:pPr>
        <w:pStyle w:val="Heading2"/>
        <w:rPr>
          <w:rStyle w:val="Heading1Char"/>
          <w:b/>
          <w:color w:val="F6872B"/>
          <w:sz w:val="24"/>
          <w:szCs w:val="28"/>
        </w:rPr>
      </w:pPr>
      <w:r w:rsidRPr="005A0A34">
        <w:rPr>
          <w:rStyle w:val="Heading1Char"/>
          <w:b/>
          <w:color w:val="F6872B"/>
          <w:sz w:val="24"/>
          <w:szCs w:val="28"/>
        </w:rPr>
        <w:t>Safety Organized Practice (SOP)</w:t>
      </w:r>
    </w:p>
    <w:p w:rsidR="00D86A11" w:rsidRDefault="00D86A11" w:rsidP="00D86A11">
      <w:pPr>
        <w:pStyle w:val="Heading3"/>
        <w:spacing w:line="276" w:lineRule="auto"/>
        <w:rPr>
          <w:b w:val="0"/>
          <w:color w:val="auto"/>
          <w:sz w:val="22"/>
        </w:rPr>
      </w:pPr>
      <w:r w:rsidRPr="000F3F71">
        <w:rPr>
          <w:b w:val="0"/>
          <w:color w:val="auto"/>
          <w:sz w:val="22"/>
        </w:rPr>
        <w:t xml:space="preserve">In 2010, San Diego CWS added the family-centered skills of Safety-Organized Practice (SOP) to enhance overall outcomes. </w:t>
      </w:r>
      <w:r>
        <w:rPr>
          <w:b w:val="0"/>
          <w:color w:val="auto"/>
          <w:sz w:val="22"/>
        </w:rPr>
        <w:t>SOP</w:t>
      </w:r>
      <w:r w:rsidRPr="005A0A34">
        <w:rPr>
          <w:b w:val="0"/>
          <w:color w:val="auto"/>
          <w:sz w:val="22"/>
        </w:rPr>
        <w:t xml:space="preserve"> combines good social work principles with the evidence-based Structured Decision Making® (SDM) risk assessment </w:t>
      </w:r>
      <w:r w:rsidRPr="000F3F71">
        <w:rPr>
          <w:b w:val="0"/>
          <w:color w:val="auto"/>
          <w:sz w:val="22"/>
        </w:rPr>
        <w:t xml:space="preserve">instruments, and approaches families from a trauma-focused perspective. </w:t>
      </w:r>
      <w:r>
        <w:rPr>
          <w:b w:val="0"/>
          <w:color w:val="auto"/>
          <w:sz w:val="22"/>
        </w:rPr>
        <w:t xml:space="preserve">It further enhanced CWS’ focus </w:t>
      </w:r>
      <w:r w:rsidRPr="000F3F71">
        <w:rPr>
          <w:b w:val="0"/>
          <w:color w:val="auto"/>
          <w:sz w:val="22"/>
        </w:rPr>
        <w:t xml:space="preserve">on fostering family and community engagement and using critical thinking and equitable decision making in developing plans to ensure children’s safety. </w:t>
      </w:r>
      <w:r>
        <w:rPr>
          <w:b w:val="0"/>
          <w:color w:val="auto"/>
          <w:sz w:val="22"/>
        </w:rPr>
        <w:t xml:space="preserve"> </w:t>
      </w:r>
    </w:p>
    <w:p w:rsidR="00D86A11" w:rsidRPr="00A23596" w:rsidRDefault="00D86A11" w:rsidP="00D86A11">
      <w:pPr>
        <w:pStyle w:val="Heading2"/>
        <w:rPr>
          <w:rStyle w:val="Heading1Char"/>
          <w:b/>
          <w:color w:val="F6872B"/>
          <w:sz w:val="24"/>
          <w:szCs w:val="28"/>
        </w:rPr>
      </w:pPr>
      <w:r w:rsidRPr="00A23596">
        <w:rPr>
          <w:rStyle w:val="Heading1Char"/>
          <w:b/>
          <w:color w:val="F6872B"/>
          <w:sz w:val="24"/>
          <w:szCs w:val="28"/>
        </w:rPr>
        <w:t>Quality Parenting Initiative (QPI)</w:t>
      </w:r>
    </w:p>
    <w:p w:rsidR="00D86A11" w:rsidRPr="00A23596" w:rsidRDefault="00D86A11" w:rsidP="00D86A11">
      <w:pPr>
        <w:pStyle w:val="Heading3"/>
        <w:spacing w:line="276" w:lineRule="auto"/>
        <w:rPr>
          <w:b w:val="0"/>
          <w:color w:val="auto"/>
          <w:sz w:val="22"/>
        </w:rPr>
      </w:pPr>
      <w:r w:rsidRPr="00A23596">
        <w:rPr>
          <w:b w:val="0"/>
          <w:color w:val="auto"/>
          <w:sz w:val="22"/>
        </w:rPr>
        <w:t xml:space="preserve">The Quality Parenting Initiative (QPI) began in California in 2009 as a collaborative effort with the California Department of Social Services (CDSS), the County Welfare Directors Association of California (CWDA), and the California Youth Law Center. QPI is an approach to strengthening foster care, by refocusing on excellent parenting for all children in the child welfare system. The core premise is that the primary goal of the child welfare system is to ensure children have effective, loving parenting. The best way to achieve this goal is to enable the child’s own parent to care for him/her. If that is not possible the system must ensure that the foster or relative family caring for the child provides the loving, committed, skilled care that the child needs, while working effectively with the system to reach the child’s long term goal. </w:t>
      </w:r>
    </w:p>
    <w:p w:rsidR="00D86A11" w:rsidRPr="00A546E2" w:rsidRDefault="00D86A11" w:rsidP="00D86A11">
      <w:pPr>
        <w:pStyle w:val="Heading3"/>
        <w:spacing w:line="276" w:lineRule="auto"/>
        <w:rPr>
          <w:b w:val="0"/>
          <w:color w:val="auto"/>
          <w:sz w:val="22"/>
        </w:rPr>
      </w:pPr>
      <w:r w:rsidRPr="00A546E2">
        <w:rPr>
          <w:b w:val="0"/>
          <w:color w:val="auto"/>
          <w:sz w:val="22"/>
        </w:rPr>
        <w:t xml:space="preserve">QPI recognizes that the traditional foster care “brand” has negative connotations and this deters families from participating. QPI is an effort to rebrand foster care, not simply by changing a logo or an advertisement, but by changing the core elements underlying the brand. </w:t>
      </w:r>
    </w:p>
    <w:p w:rsidR="00D86A11" w:rsidRPr="0004482A" w:rsidRDefault="00D86A11" w:rsidP="00D86A11">
      <w:pPr>
        <w:pStyle w:val="Heading3"/>
        <w:spacing w:line="276" w:lineRule="auto"/>
        <w:rPr>
          <w:b w:val="0"/>
          <w:color w:val="auto"/>
          <w:sz w:val="22"/>
        </w:rPr>
      </w:pPr>
      <w:r w:rsidRPr="0004482A">
        <w:rPr>
          <w:b w:val="0"/>
          <w:color w:val="auto"/>
          <w:sz w:val="22"/>
        </w:rPr>
        <w:t xml:space="preserve">The key elements of the QPI process are: </w:t>
      </w:r>
    </w:p>
    <w:p w:rsidR="00D86A11" w:rsidRPr="0004482A" w:rsidRDefault="00D86A11" w:rsidP="00D86A11">
      <w:pPr>
        <w:numPr>
          <w:ilvl w:val="0"/>
          <w:numId w:val="16"/>
        </w:numPr>
        <w:spacing w:before="120" w:after="0"/>
        <w:ind w:right="130"/>
        <w:rPr>
          <w:rFonts w:ascii="Franklin Gothic Book" w:hAnsi="Franklin Gothic Book"/>
          <w:color w:val="auto"/>
          <w:spacing w:val="20"/>
          <w:szCs w:val="28"/>
        </w:rPr>
      </w:pPr>
      <w:r w:rsidRPr="0004482A">
        <w:rPr>
          <w:rFonts w:ascii="Franklin Gothic Book" w:hAnsi="Franklin Gothic Book"/>
          <w:color w:val="auto"/>
          <w:spacing w:val="20"/>
          <w:szCs w:val="28"/>
        </w:rPr>
        <w:lastRenderedPageBreak/>
        <w:t xml:space="preserve">To define the expectations of caregivers </w:t>
      </w:r>
    </w:p>
    <w:p w:rsidR="00D86A11" w:rsidRPr="0004482A" w:rsidRDefault="00D86A11" w:rsidP="00D86A11">
      <w:pPr>
        <w:numPr>
          <w:ilvl w:val="0"/>
          <w:numId w:val="16"/>
        </w:numPr>
        <w:spacing w:before="120" w:after="0"/>
        <w:ind w:right="130"/>
        <w:rPr>
          <w:rFonts w:ascii="Franklin Gothic Book" w:hAnsi="Franklin Gothic Book"/>
          <w:color w:val="auto"/>
          <w:spacing w:val="20"/>
          <w:szCs w:val="28"/>
        </w:rPr>
      </w:pPr>
      <w:r w:rsidRPr="0004482A">
        <w:rPr>
          <w:rFonts w:ascii="Franklin Gothic Book" w:hAnsi="Franklin Gothic Book"/>
          <w:color w:val="auto"/>
          <w:spacing w:val="20"/>
          <w:szCs w:val="28"/>
        </w:rPr>
        <w:t xml:space="preserve">To clearly articulate those expectations </w:t>
      </w:r>
    </w:p>
    <w:p w:rsidR="00D86A11" w:rsidRPr="0004482A" w:rsidRDefault="00D86A11" w:rsidP="00D86A11">
      <w:pPr>
        <w:numPr>
          <w:ilvl w:val="0"/>
          <w:numId w:val="16"/>
        </w:numPr>
        <w:spacing w:before="120" w:after="0"/>
        <w:ind w:right="130"/>
        <w:rPr>
          <w:rFonts w:ascii="Franklin Gothic Book" w:hAnsi="Franklin Gothic Book"/>
          <w:color w:val="auto"/>
          <w:spacing w:val="20"/>
          <w:szCs w:val="28"/>
        </w:rPr>
      </w:pPr>
      <w:r w:rsidRPr="0004482A">
        <w:rPr>
          <w:rFonts w:ascii="Franklin Gothic Book" w:hAnsi="Franklin Gothic Book"/>
          <w:color w:val="auto"/>
          <w:spacing w:val="20"/>
          <w:szCs w:val="28"/>
        </w:rPr>
        <w:t xml:space="preserve">To align the system so that those goals can become a reality </w:t>
      </w:r>
    </w:p>
    <w:p w:rsidR="00D86A11" w:rsidRPr="00857801" w:rsidRDefault="00D86A11" w:rsidP="00D86A11">
      <w:pPr>
        <w:pStyle w:val="Heading3"/>
        <w:spacing w:line="276" w:lineRule="auto"/>
        <w:rPr>
          <w:b w:val="0"/>
          <w:color w:val="auto"/>
          <w:sz w:val="22"/>
        </w:rPr>
      </w:pPr>
      <w:r w:rsidRPr="00857801">
        <w:rPr>
          <w:b w:val="0"/>
          <w:color w:val="auto"/>
          <w:sz w:val="22"/>
        </w:rPr>
        <w:t xml:space="preserve">This can be accomplished through partnerships between CWS social workers and foster parents. </w:t>
      </w:r>
    </w:p>
    <w:p w:rsidR="00D86A11" w:rsidRPr="00857801" w:rsidRDefault="00D86A11" w:rsidP="00D86A11">
      <w:pPr>
        <w:pStyle w:val="Heading3"/>
        <w:spacing w:line="276" w:lineRule="auto"/>
        <w:rPr>
          <w:b w:val="0"/>
          <w:color w:val="auto"/>
          <w:sz w:val="22"/>
        </w:rPr>
      </w:pPr>
      <w:r w:rsidRPr="00857801">
        <w:rPr>
          <w:b w:val="0"/>
          <w:color w:val="auto"/>
          <w:sz w:val="22"/>
        </w:rPr>
        <w:t xml:space="preserve">In August of 2012, San Diego County was accepted as a participant in the Quality Parenting Initiative. San Diego established a half-time QPI Coordinator and a Supervisor position who provide support and supervision of QPI activities and implementation. </w:t>
      </w:r>
    </w:p>
    <w:p w:rsidR="00D86A11" w:rsidRPr="00857801" w:rsidRDefault="00D86A11" w:rsidP="00D86A11">
      <w:pPr>
        <w:pStyle w:val="Heading3"/>
        <w:spacing w:line="276" w:lineRule="auto"/>
        <w:rPr>
          <w:b w:val="0"/>
          <w:color w:val="auto"/>
          <w:sz w:val="22"/>
        </w:rPr>
      </w:pPr>
      <w:r w:rsidRPr="00857801">
        <w:rPr>
          <w:b w:val="0"/>
          <w:color w:val="auto"/>
          <w:sz w:val="22"/>
        </w:rPr>
        <w:t xml:space="preserve">In June 2013, the QPI Countywide Steering Committee was created as part of a work plan, which was developed by three initial work groups. The Steering Committee is comprised of Agency staff, foster parents, community partners, birth parents and former foster youth. The role of the Steering Committee is to identify goals that will support implementation of QPI principles and avenues to put into practice. </w:t>
      </w:r>
    </w:p>
    <w:p w:rsidR="00D86A11" w:rsidRPr="00857801" w:rsidRDefault="00D86A11" w:rsidP="00D86A11">
      <w:pPr>
        <w:pStyle w:val="Heading3"/>
        <w:spacing w:line="276" w:lineRule="auto"/>
        <w:rPr>
          <w:b w:val="0"/>
          <w:color w:val="auto"/>
          <w:sz w:val="22"/>
        </w:rPr>
      </w:pPr>
      <w:r w:rsidRPr="00857801">
        <w:rPr>
          <w:b w:val="0"/>
          <w:color w:val="auto"/>
          <w:sz w:val="22"/>
        </w:rPr>
        <w:t xml:space="preserve">The San Diego QPI Partnership plan articulates the common understanding of values, principles, expectations, and relationships for children in out of home care between CWS staff and caregivers: </w:t>
      </w:r>
    </w:p>
    <w:p w:rsidR="00D86A11" w:rsidRPr="00182098" w:rsidRDefault="00D86A11" w:rsidP="00D86A11">
      <w:pPr>
        <w:numPr>
          <w:ilvl w:val="0"/>
          <w:numId w:val="16"/>
        </w:numPr>
        <w:spacing w:before="120" w:after="0"/>
        <w:ind w:right="130"/>
        <w:rPr>
          <w:rFonts w:ascii="Franklin Gothic Book" w:hAnsi="Franklin Gothic Book"/>
          <w:color w:val="auto"/>
          <w:spacing w:val="20"/>
          <w:szCs w:val="28"/>
        </w:rPr>
      </w:pPr>
      <w:r w:rsidRPr="00182098">
        <w:rPr>
          <w:rFonts w:ascii="Franklin Gothic Book" w:hAnsi="Franklin Gothic Book"/>
          <w:color w:val="auto"/>
          <w:spacing w:val="20"/>
          <w:szCs w:val="28"/>
        </w:rPr>
        <w:t xml:space="preserve">Teamwork between caregivers and CWS staff as respected partners </w:t>
      </w:r>
    </w:p>
    <w:p w:rsidR="00D86A11" w:rsidRPr="00182098" w:rsidRDefault="00D86A11" w:rsidP="00D86A11">
      <w:pPr>
        <w:numPr>
          <w:ilvl w:val="0"/>
          <w:numId w:val="16"/>
        </w:numPr>
        <w:spacing w:before="120" w:after="0"/>
        <w:ind w:right="130"/>
        <w:rPr>
          <w:rFonts w:ascii="Franklin Gothic Book" w:hAnsi="Franklin Gothic Book"/>
          <w:color w:val="auto"/>
          <w:spacing w:val="20"/>
          <w:szCs w:val="28"/>
        </w:rPr>
      </w:pPr>
      <w:r w:rsidRPr="00182098">
        <w:rPr>
          <w:rFonts w:ascii="Franklin Gothic Book" w:hAnsi="Franklin Gothic Book"/>
          <w:color w:val="auto"/>
          <w:spacing w:val="20"/>
          <w:szCs w:val="28"/>
        </w:rPr>
        <w:t xml:space="preserve">The nurturing of children and youth through excellent parenting </w:t>
      </w:r>
    </w:p>
    <w:p w:rsidR="00D86A11" w:rsidRPr="00182098" w:rsidRDefault="00D86A11" w:rsidP="00D86A11">
      <w:pPr>
        <w:numPr>
          <w:ilvl w:val="0"/>
          <w:numId w:val="16"/>
        </w:numPr>
        <w:spacing w:before="120" w:after="0"/>
        <w:ind w:right="130"/>
        <w:rPr>
          <w:rFonts w:ascii="Franklin Gothic Book" w:hAnsi="Franklin Gothic Book"/>
          <w:color w:val="auto"/>
          <w:spacing w:val="20"/>
          <w:szCs w:val="28"/>
        </w:rPr>
      </w:pPr>
      <w:r w:rsidRPr="00182098">
        <w:rPr>
          <w:rFonts w:ascii="Franklin Gothic Book" w:hAnsi="Franklin Gothic Book"/>
          <w:color w:val="auto"/>
          <w:spacing w:val="20"/>
          <w:szCs w:val="28"/>
        </w:rPr>
        <w:t xml:space="preserve">Supporting Families in reunification, in transitions, and in maintaining relationships </w:t>
      </w:r>
    </w:p>
    <w:p w:rsidR="00D86A11" w:rsidRPr="00182098" w:rsidRDefault="00D86A11" w:rsidP="00D86A11">
      <w:pPr>
        <w:numPr>
          <w:ilvl w:val="0"/>
          <w:numId w:val="16"/>
        </w:numPr>
        <w:spacing w:before="120" w:after="0"/>
        <w:ind w:right="130"/>
        <w:rPr>
          <w:rFonts w:ascii="Franklin Gothic Book" w:hAnsi="Franklin Gothic Book"/>
          <w:color w:val="auto"/>
          <w:spacing w:val="20"/>
          <w:szCs w:val="28"/>
        </w:rPr>
      </w:pPr>
      <w:r w:rsidRPr="00182098">
        <w:rPr>
          <w:rFonts w:ascii="Franklin Gothic Book" w:hAnsi="Franklin Gothic Book"/>
          <w:color w:val="auto"/>
          <w:spacing w:val="20"/>
          <w:szCs w:val="28"/>
        </w:rPr>
        <w:t xml:space="preserve">Strengthening Communities by advocating for children </w:t>
      </w:r>
    </w:p>
    <w:p w:rsidR="00D86A11" w:rsidRPr="00DF263E" w:rsidRDefault="00D86A11" w:rsidP="00D86A11">
      <w:pPr>
        <w:pStyle w:val="Heading2"/>
        <w:rPr>
          <w:b w:val="0"/>
          <w:szCs w:val="22"/>
        </w:rPr>
      </w:pPr>
      <w:r w:rsidRPr="00DF263E">
        <w:rPr>
          <w:rStyle w:val="Heading1Char"/>
          <w:b/>
          <w:color w:val="F6872B"/>
          <w:sz w:val="24"/>
          <w:szCs w:val="28"/>
        </w:rPr>
        <w:t>Caring for Babies</w:t>
      </w:r>
    </w:p>
    <w:p w:rsidR="00D86A11" w:rsidRPr="00915C77" w:rsidRDefault="00D86A11" w:rsidP="00D86A11">
      <w:pPr>
        <w:pStyle w:val="Heading3"/>
        <w:spacing w:line="276" w:lineRule="auto"/>
        <w:rPr>
          <w:b w:val="0"/>
          <w:color w:val="auto"/>
          <w:sz w:val="22"/>
        </w:rPr>
      </w:pPr>
      <w:r w:rsidRPr="00915C77">
        <w:rPr>
          <w:b w:val="0"/>
          <w:color w:val="auto"/>
          <w:sz w:val="22"/>
        </w:rPr>
        <w:t xml:space="preserve">The Frontiers of Innovation Initiative was created to advance the mission of the Center on the Developing Child at Harvard University to drive science-based innovation that will lead to breakthrough outcomes for children facing adversity. The goal of the first year of this grant was to generate ideas and pilot a project that can lead to outcomes for babies in foster care that are substantially better than the best current practice. The initial pilot period extended to another region in March 2016 with plans to roll out to another region in September 2016 and countywide by December 21, 2016. </w:t>
      </w:r>
    </w:p>
    <w:p w:rsidR="00D86A11" w:rsidRPr="00915C77" w:rsidRDefault="00D86A11" w:rsidP="00D86A11">
      <w:pPr>
        <w:pStyle w:val="Heading3"/>
        <w:spacing w:line="276" w:lineRule="auto"/>
        <w:rPr>
          <w:b w:val="0"/>
          <w:color w:val="auto"/>
          <w:sz w:val="22"/>
        </w:rPr>
      </w:pPr>
      <w:r w:rsidRPr="00915C77">
        <w:rPr>
          <w:b w:val="0"/>
          <w:color w:val="auto"/>
          <w:sz w:val="22"/>
        </w:rPr>
        <w:t xml:space="preserve">The objective with this project is that all infants aged 0-1 years old under the supervision of CWS have the opportunity for stable and caring relationships, essential for healthy development. The goal of this project is to design and test evidence-based interventions that can impact the parenting issues that led to the removal of the baby while simultaneously supporting substitute caregivers so that the well-being of the baby is developed and protected while the baby is separated </w:t>
      </w:r>
      <w:r w:rsidRPr="00915C77">
        <w:rPr>
          <w:b w:val="0"/>
          <w:color w:val="auto"/>
          <w:sz w:val="22"/>
        </w:rPr>
        <w:lastRenderedPageBreak/>
        <w:t xml:space="preserve">from the biological parents. The project will focus on building an environment that develops a healthy working relationship among birth parents, foster parents, kinship caregivers, social workers and babies. </w:t>
      </w:r>
    </w:p>
    <w:p w:rsidR="00D86A11" w:rsidRPr="00915C77" w:rsidRDefault="00D86A11" w:rsidP="00D86A11">
      <w:pPr>
        <w:pStyle w:val="Heading3"/>
        <w:spacing w:line="276" w:lineRule="auto"/>
        <w:rPr>
          <w:b w:val="0"/>
          <w:color w:val="auto"/>
          <w:sz w:val="22"/>
        </w:rPr>
      </w:pPr>
      <w:r w:rsidRPr="00915C77">
        <w:rPr>
          <w:b w:val="0"/>
          <w:color w:val="auto"/>
          <w:sz w:val="22"/>
        </w:rPr>
        <w:t xml:space="preserve">The intervention requires that visitation between the baby and the parent(s) occur at least three times per week. The caregivers act in the role of a mentor or coach to the parents during these visits, offering tips and advice about ways the parent can improve their interactions with the baby in order to minimize trauma. Additionally the caregiver and the parent have almost daily communication about the baby, sharing photos and updates. </w:t>
      </w:r>
      <w:r>
        <w:rPr>
          <w:b w:val="0"/>
          <w:color w:val="auto"/>
          <w:sz w:val="22"/>
        </w:rPr>
        <w:t>The caregivers also attend</w:t>
      </w:r>
      <w:r w:rsidRPr="00915C77">
        <w:rPr>
          <w:b w:val="0"/>
          <w:color w:val="auto"/>
          <w:sz w:val="22"/>
        </w:rPr>
        <w:t xml:space="preserve"> training using the Early Child Development curriculum from Casey Family Programs to learn other ways they can help minimize trauma to infants. </w:t>
      </w:r>
    </w:p>
    <w:p w:rsidR="00D86A11" w:rsidRPr="00DF263E" w:rsidRDefault="00D86A11" w:rsidP="00D86A11">
      <w:pPr>
        <w:pStyle w:val="Heading2"/>
        <w:rPr>
          <w:rStyle w:val="Heading1Char"/>
          <w:b/>
          <w:color w:val="F6872B"/>
          <w:sz w:val="24"/>
          <w:szCs w:val="28"/>
        </w:rPr>
      </w:pPr>
      <w:r w:rsidRPr="00DF263E">
        <w:rPr>
          <w:rStyle w:val="Heading1Char"/>
          <w:b/>
          <w:color w:val="F6872B"/>
          <w:sz w:val="24"/>
          <w:szCs w:val="28"/>
        </w:rPr>
        <w:t>Permanency Round Tables (PRT)</w:t>
      </w:r>
    </w:p>
    <w:p w:rsidR="00196C77" w:rsidRPr="0058162B" w:rsidRDefault="00D86A11" w:rsidP="0058162B">
      <w:pPr>
        <w:pStyle w:val="Heading3"/>
        <w:spacing w:line="276" w:lineRule="auto"/>
        <w:rPr>
          <w:b w:val="0"/>
          <w:color w:val="auto"/>
          <w:sz w:val="22"/>
        </w:rPr>
      </w:pPr>
      <w:r w:rsidRPr="0058162B">
        <w:rPr>
          <w:b w:val="0"/>
          <w:color w:val="auto"/>
          <w:sz w:val="22"/>
        </w:rPr>
        <w:t xml:space="preserve">CWS has a focus on permanency for youth with the “long-stayers” by partnering with Casey Family Programs to initiate Permanency Roundtables. A “long-stayer” is defined as a youth in group home care for 3 years or longer. A PRT is an intervention designed to facilitate the permanency planning process by identifying realistic solutions to permanency obstacles for youth. Key players (a permanency consultant, a master practitioner, a youth’s case manager and supervisor) convene to create individual permanency plans. CWS in collaboration with Casey Family Programs San Diego field office initiated this program in 2015 and has now expanded it to its Adoptions program and the staff has embraced this new practice. Staff from the Residential Services program assisted in facilitating the PRT’s while Casey Family Programs provided training to the Adoptions staff. </w:t>
      </w:r>
      <w:r w:rsidR="00196C77" w:rsidRPr="0058162B">
        <w:rPr>
          <w:b w:val="0"/>
          <w:color w:val="auto"/>
          <w:sz w:val="22"/>
        </w:rPr>
        <w:t>Although CWS has a focus on permanency round tables, CWS no longer plans to expand this to other regions. Instead CWS is implementing a permanent connections program which includes family finding and Family Group Decision Making.</w:t>
      </w:r>
    </w:p>
    <w:p w:rsidR="00D86A11" w:rsidRPr="00DF263E" w:rsidRDefault="00D86A11" w:rsidP="00D86A11">
      <w:pPr>
        <w:pStyle w:val="Heading2"/>
        <w:rPr>
          <w:rStyle w:val="Heading1Char"/>
          <w:b/>
          <w:color w:val="F6872B"/>
          <w:sz w:val="24"/>
          <w:szCs w:val="28"/>
        </w:rPr>
      </w:pPr>
      <w:r w:rsidRPr="00DF263E">
        <w:rPr>
          <w:rStyle w:val="Heading1Char"/>
          <w:b/>
          <w:color w:val="F6872B"/>
          <w:sz w:val="24"/>
          <w:szCs w:val="28"/>
        </w:rPr>
        <w:t>Continuous Quality Improvement (CQI) unit</w:t>
      </w:r>
    </w:p>
    <w:p w:rsidR="00D86A11" w:rsidRPr="00CB10A5" w:rsidRDefault="00D86A11" w:rsidP="00D86A11">
      <w:pPr>
        <w:pStyle w:val="Heading3"/>
        <w:spacing w:line="276" w:lineRule="auto"/>
        <w:rPr>
          <w:b w:val="0"/>
          <w:color w:val="auto"/>
          <w:sz w:val="22"/>
        </w:rPr>
      </w:pPr>
      <w:r w:rsidRPr="00CB10A5">
        <w:rPr>
          <w:b w:val="0"/>
          <w:color w:val="auto"/>
          <w:sz w:val="22"/>
        </w:rPr>
        <w:t xml:space="preserve">Our CQI unit has played a vital role in our work and practice. San Diego has developed a successful CQI system. Our CQI team reviews cases and helps identify practice pieces that need strengthening as well as practices that are working well. Staff at all levels is engaged in discussions about data and outcomes and ways to improve practice. Feedback loops are shared across regions, programs and centralized CWS. </w:t>
      </w:r>
    </w:p>
    <w:p w:rsidR="00D86A11" w:rsidRPr="00DF263E" w:rsidRDefault="00D86A11" w:rsidP="00D86A11">
      <w:pPr>
        <w:pStyle w:val="Heading2"/>
        <w:rPr>
          <w:rStyle w:val="Heading1Char"/>
          <w:b/>
          <w:color w:val="F6872B"/>
          <w:sz w:val="24"/>
          <w:szCs w:val="28"/>
        </w:rPr>
      </w:pPr>
      <w:r w:rsidRPr="00DF263E">
        <w:rPr>
          <w:rStyle w:val="Heading1Char"/>
          <w:b/>
          <w:color w:val="F6872B"/>
          <w:sz w:val="24"/>
          <w:szCs w:val="28"/>
        </w:rPr>
        <w:t>Fatherhood Initiative</w:t>
      </w:r>
    </w:p>
    <w:p w:rsidR="00D86A11" w:rsidRPr="00EC3A56" w:rsidRDefault="00D86A11" w:rsidP="00D86A11">
      <w:pPr>
        <w:pStyle w:val="Heading3"/>
        <w:spacing w:line="276" w:lineRule="auto"/>
        <w:rPr>
          <w:b w:val="0"/>
          <w:color w:val="auto"/>
          <w:sz w:val="22"/>
        </w:rPr>
      </w:pPr>
      <w:r w:rsidRPr="00E76B25">
        <w:rPr>
          <w:b w:val="0"/>
          <w:color w:val="auto"/>
          <w:sz w:val="22"/>
        </w:rPr>
        <w:t>San Diego is focusing their</w:t>
      </w:r>
      <w:r w:rsidRPr="00EC3A56">
        <w:rPr>
          <w:b w:val="0"/>
          <w:color w:val="auto"/>
          <w:sz w:val="22"/>
        </w:rPr>
        <w:t xml:space="preserve"> </w:t>
      </w:r>
      <w:r>
        <w:rPr>
          <w:b w:val="0"/>
          <w:color w:val="auto"/>
          <w:sz w:val="22"/>
        </w:rPr>
        <w:t xml:space="preserve">father engagement </w:t>
      </w:r>
      <w:r w:rsidRPr="00EC3A56">
        <w:rPr>
          <w:b w:val="0"/>
          <w:color w:val="auto"/>
          <w:sz w:val="22"/>
        </w:rPr>
        <w:t>efforts in two areas currently:</w:t>
      </w:r>
    </w:p>
    <w:p w:rsidR="00D86A11" w:rsidRPr="00EC3A56" w:rsidRDefault="00D86A11" w:rsidP="00D86A11">
      <w:pPr>
        <w:pStyle w:val="Heading3"/>
        <w:spacing w:line="276" w:lineRule="auto"/>
        <w:rPr>
          <w:b w:val="0"/>
          <w:color w:val="auto"/>
          <w:sz w:val="22"/>
        </w:rPr>
      </w:pPr>
      <w:r w:rsidRPr="00EC3A56">
        <w:rPr>
          <w:b w:val="0"/>
          <w:color w:val="auto"/>
          <w:sz w:val="22"/>
        </w:rPr>
        <w:t xml:space="preserve">The </w:t>
      </w:r>
      <w:r>
        <w:rPr>
          <w:b w:val="0"/>
          <w:i/>
          <w:color w:val="auto"/>
          <w:sz w:val="22"/>
        </w:rPr>
        <w:t>father friendly check</w:t>
      </w:r>
      <w:r w:rsidRPr="00AF699A">
        <w:rPr>
          <w:b w:val="0"/>
          <w:i/>
          <w:color w:val="auto"/>
          <w:sz w:val="22"/>
        </w:rPr>
        <w:t>up</w:t>
      </w:r>
      <w:r w:rsidRPr="00EC3A56">
        <w:rPr>
          <w:b w:val="0"/>
          <w:color w:val="auto"/>
          <w:sz w:val="22"/>
        </w:rPr>
        <w:t xml:space="preserve"> was sent to the two </w:t>
      </w:r>
      <w:r w:rsidRPr="00DE3B24">
        <w:rPr>
          <w:color w:val="auto"/>
          <w:sz w:val="22"/>
        </w:rPr>
        <w:t>fatherhood champions</w:t>
      </w:r>
      <w:r w:rsidRPr="00EC3A56">
        <w:rPr>
          <w:b w:val="0"/>
          <w:color w:val="auto"/>
          <w:sz w:val="22"/>
        </w:rPr>
        <w:t xml:space="preserve"> that are still active in the county with the plan to use it with the rest of the fatherhood champions once the group is revitalized. This tool is designed to help assess the degree to which Child Welfare Services encourages father involvement. The four areas it evaluates are:</w:t>
      </w:r>
    </w:p>
    <w:p w:rsidR="00D86A11" w:rsidRPr="008B7C58" w:rsidRDefault="00D86A11" w:rsidP="00D86A11">
      <w:pPr>
        <w:numPr>
          <w:ilvl w:val="0"/>
          <w:numId w:val="16"/>
        </w:numPr>
        <w:spacing w:before="120" w:after="0"/>
        <w:ind w:right="130"/>
        <w:rPr>
          <w:rFonts w:ascii="Franklin Gothic Book" w:hAnsi="Franklin Gothic Book"/>
          <w:color w:val="auto"/>
          <w:spacing w:val="20"/>
          <w:szCs w:val="28"/>
        </w:rPr>
      </w:pPr>
      <w:r w:rsidRPr="008B7C58">
        <w:rPr>
          <w:rFonts w:ascii="Franklin Gothic Book" w:hAnsi="Franklin Gothic Book"/>
          <w:i/>
          <w:color w:val="auto"/>
          <w:spacing w:val="20"/>
          <w:szCs w:val="28"/>
        </w:rPr>
        <w:lastRenderedPageBreak/>
        <w:t>Leadership Development</w:t>
      </w:r>
      <w:r>
        <w:rPr>
          <w:rFonts w:ascii="Franklin Gothic Book" w:hAnsi="Franklin Gothic Book"/>
          <w:color w:val="auto"/>
          <w:spacing w:val="20"/>
          <w:szCs w:val="28"/>
        </w:rPr>
        <w:t xml:space="preserve">: </w:t>
      </w:r>
      <w:r w:rsidRPr="008B7C58">
        <w:rPr>
          <w:rFonts w:ascii="Franklin Gothic Book" w:hAnsi="Franklin Gothic Book"/>
          <w:color w:val="auto"/>
          <w:spacing w:val="20"/>
          <w:szCs w:val="28"/>
        </w:rPr>
        <w:t>The attitudes, beliefs, and values held by the organization’s employees—the culture of the organization—and their impact on the delivery of services and programs.</w:t>
      </w:r>
    </w:p>
    <w:p w:rsidR="00D86A11" w:rsidRPr="008B7C58" w:rsidRDefault="00D86A11" w:rsidP="00D86A11">
      <w:pPr>
        <w:numPr>
          <w:ilvl w:val="0"/>
          <w:numId w:val="16"/>
        </w:numPr>
        <w:spacing w:before="120" w:after="0"/>
        <w:ind w:right="130"/>
        <w:rPr>
          <w:rFonts w:ascii="Franklin Gothic Book" w:hAnsi="Franklin Gothic Book"/>
          <w:color w:val="auto"/>
          <w:spacing w:val="20"/>
          <w:szCs w:val="28"/>
        </w:rPr>
      </w:pPr>
      <w:r w:rsidRPr="008B7C58">
        <w:rPr>
          <w:rFonts w:ascii="Franklin Gothic Book" w:hAnsi="Franklin Gothic Book"/>
          <w:i/>
          <w:color w:val="auto"/>
          <w:spacing w:val="20"/>
          <w:szCs w:val="28"/>
        </w:rPr>
        <w:t>Organizational Development:</w:t>
      </w:r>
      <w:r>
        <w:rPr>
          <w:rFonts w:ascii="Franklin Gothic Book" w:hAnsi="Franklin Gothic Book"/>
          <w:color w:val="auto"/>
          <w:spacing w:val="20"/>
          <w:szCs w:val="28"/>
        </w:rPr>
        <w:t xml:space="preserve"> </w:t>
      </w:r>
      <w:r w:rsidRPr="008B7C58">
        <w:rPr>
          <w:rFonts w:ascii="Franklin Gothic Book" w:hAnsi="Franklin Gothic Book"/>
          <w:color w:val="auto"/>
          <w:spacing w:val="20"/>
          <w:szCs w:val="28"/>
        </w:rPr>
        <w:t>The “nuts and bolts” of an organization that carries out its mission through organizational capacity as reflected in areas such as: 1) policies and procedures, 2) processes, and 3) physical environment.</w:t>
      </w:r>
    </w:p>
    <w:p w:rsidR="00D86A11" w:rsidRPr="00D42083" w:rsidRDefault="00D86A11" w:rsidP="00D86A11">
      <w:pPr>
        <w:numPr>
          <w:ilvl w:val="0"/>
          <w:numId w:val="16"/>
        </w:numPr>
        <w:spacing w:before="120" w:after="0"/>
        <w:ind w:right="130"/>
        <w:rPr>
          <w:rFonts w:ascii="Franklin Gothic Book" w:hAnsi="Franklin Gothic Book"/>
          <w:color w:val="auto"/>
          <w:spacing w:val="20"/>
          <w:szCs w:val="28"/>
        </w:rPr>
      </w:pPr>
      <w:r w:rsidRPr="008B638C">
        <w:rPr>
          <w:rFonts w:ascii="Franklin Gothic Book" w:hAnsi="Franklin Gothic Book"/>
          <w:i/>
          <w:color w:val="auto"/>
          <w:spacing w:val="20"/>
          <w:szCs w:val="28"/>
        </w:rPr>
        <w:t>Program Development:</w:t>
      </w:r>
      <w:r w:rsidRPr="00D42083">
        <w:rPr>
          <w:rFonts w:ascii="Franklin Gothic Book" w:hAnsi="Franklin Gothic Book"/>
          <w:color w:val="auto"/>
          <w:spacing w:val="20"/>
          <w:szCs w:val="28"/>
        </w:rPr>
        <w:t xml:space="preserve"> The services and programs an organization offers, how it engages staff in offering them, and how it promotes and markets them. </w:t>
      </w:r>
    </w:p>
    <w:p w:rsidR="00D86A11" w:rsidRPr="00D42083" w:rsidRDefault="00D86A11" w:rsidP="00D86A11">
      <w:pPr>
        <w:numPr>
          <w:ilvl w:val="0"/>
          <w:numId w:val="16"/>
        </w:numPr>
        <w:spacing w:before="120" w:after="0"/>
        <w:ind w:right="130"/>
        <w:rPr>
          <w:rFonts w:ascii="Franklin Gothic Book" w:hAnsi="Franklin Gothic Book"/>
          <w:color w:val="auto"/>
          <w:spacing w:val="20"/>
          <w:szCs w:val="28"/>
        </w:rPr>
      </w:pPr>
      <w:r w:rsidRPr="008B638C">
        <w:rPr>
          <w:rFonts w:ascii="Franklin Gothic Book" w:hAnsi="Franklin Gothic Book"/>
          <w:i/>
          <w:color w:val="auto"/>
          <w:spacing w:val="20"/>
          <w:szCs w:val="28"/>
        </w:rPr>
        <w:t>Community Engagement</w:t>
      </w:r>
      <w:r w:rsidRPr="00D42083">
        <w:rPr>
          <w:rFonts w:ascii="Franklin Gothic Book" w:hAnsi="Franklin Gothic Book"/>
          <w:color w:val="auto"/>
          <w:spacing w:val="20"/>
          <w:szCs w:val="28"/>
        </w:rPr>
        <w:t>: The ability of an organization to engage its community in the delivery of services and programs.</w:t>
      </w:r>
    </w:p>
    <w:p w:rsidR="00D86A11" w:rsidRPr="00DE3B24" w:rsidRDefault="00D86A11" w:rsidP="00D86A11">
      <w:pPr>
        <w:pStyle w:val="Heading2"/>
        <w:ind w:left="360"/>
        <w:rPr>
          <w:rStyle w:val="Heading1Char"/>
          <w:b/>
          <w:color w:val="2E7029"/>
          <w:sz w:val="24"/>
        </w:rPr>
      </w:pPr>
      <w:r w:rsidRPr="00DE3B24">
        <w:rPr>
          <w:rStyle w:val="Heading1Char"/>
          <w:b/>
          <w:color w:val="2E7029"/>
          <w:sz w:val="24"/>
        </w:rPr>
        <w:t>Fatherhood Champions</w:t>
      </w:r>
    </w:p>
    <w:p w:rsidR="00D86A11" w:rsidRPr="00DE3B24" w:rsidRDefault="00D86A11" w:rsidP="00D86A11">
      <w:pPr>
        <w:pStyle w:val="Heading3"/>
        <w:spacing w:line="276" w:lineRule="auto"/>
        <w:ind w:left="360"/>
        <w:rPr>
          <w:b w:val="0"/>
          <w:color w:val="auto"/>
          <w:sz w:val="22"/>
        </w:rPr>
      </w:pPr>
      <w:r>
        <w:rPr>
          <w:b w:val="0"/>
          <w:color w:val="auto"/>
          <w:sz w:val="22"/>
        </w:rPr>
        <w:t>CWS is</w:t>
      </w:r>
      <w:r w:rsidRPr="00DE3B24">
        <w:rPr>
          <w:b w:val="0"/>
          <w:color w:val="auto"/>
          <w:sz w:val="22"/>
        </w:rPr>
        <w:t xml:space="preserve"> re-establishing the fatherhood champion workgroup so that each region is represented. Once the group is reestablished, the </w:t>
      </w:r>
      <w:r w:rsidRPr="008B0C02">
        <w:rPr>
          <w:b w:val="0"/>
          <w:color w:val="auto"/>
          <w:sz w:val="22"/>
        </w:rPr>
        <w:t>father friendly checkup</w:t>
      </w:r>
      <w:r w:rsidRPr="00DE3B24">
        <w:rPr>
          <w:b w:val="0"/>
          <w:color w:val="auto"/>
          <w:sz w:val="22"/>
        </w:rPr>
        <w:t xml:space="preserve"> will be given to them. This data will be rolled up to determine area(s) we need to improve on. The champions will also be our contacts for the region to build awareness on father engagement and any resources that are available. We are also looking at doing some work to help mothers see the importance of including fathers and see how they can be a partner in engaging fathers too.</w:t>
      </w:r>
    </w:p>
    <w:p w:rsidR="00D86A11" w:rsidRPr="00DE3B24" w:rsidRDefault="00D86A11" w:rsidP="00D86A11">
      <w:pPr>
        <w:pStyle w:val="Heading3"/>
        <w:spacing w:line="276" w:lineRule="auto"/>
        <w:ind w:left="360"/>
        <w:rPr>
          <w:b w:val="0"/>
          <w:color w:val="auto"/>
          <w:sz w:val="22"/>
        </w:rPr>
      </w:pPr>
      <w:r w:rsidRPr="00DE3B24">
        <w:rPr>
          <w:b w:val="0"/>
          <w:color w:val="auto"/>
          <w:sz w:val="22"/>
        </w:rPr>
        <w:t>It is anticipated that by fully engaging and involving both parents in reunification we are helping to improve leadership, organizational, program and community development. It is also expected that we will increase our ability to access the father’s side of the family for supports, and build a more inclusive support network. All of which support reunification. If we primarily focus on the mother, we are missing the opportunity to help support the father if he is the one who could safely parent on his own.</w:t>
      </w:r>
    </w:p>
    <w:p w:rsidR="00D86A11" w:rsidRPr="00B91ADD" w:rsidRDefault="00D86A11" w:rsidP="00D86A11">
      <w:pPr>
        <w:pStyle w:val="Heading2"/>
        <w:rPr>
          <w:rStyle w:val="Heading1Char"/>
          <w:b/>
          <w:color w:val="F6872B"/>
          <w:sz w:val="24"/>
          <w:szCs w:val="28"/>
        </w:rPr>
      </w:pPr>
      <w:r w:rsidRPr="00B91ADD">
        <w:rPr>
          <w:rStyle w:val="Heading1Char"/>
          <w:b/>
          <w:color w:val="F6872B"/>
          <w:sz w:val="24"/>
          <w:szCs w:val="28"/>
        </w:rPr>
        <w:t>Family Visit Coaching</w:t>
      </w:r>
    </w:p>
    <w:p w:rsidR="00D86A11" w:rsidRDefault="00763E81" w:rsidP="00D86A11">
      <w:pPr>
        <w:pStyle w:val="Heading3"/>
        <w:spacing w:line="276" w:lineRule="auto"/>
        <w:rPr>
          <w:b w:val="0"/>
          <w:color w:val="auto"/>
          <w:sz w:val="22"/>
        </w:rPr>
      </w:pPr>
      <w:r>
        <w:rPr>
          <w:b w:val="0"/>
          <w:noProof/>
          <w:color w:val="auto"/>
          <w:sz w:val="22"/>
        </w:rPr>
        <mc:AlternateContent>
          <mc:Choice Requires="wps">
            <w:drawing>
              <wp:anchor distT="91440" distB="91440" distL="182880" distR="182880" simplePos="0" relativeHeight="251653120" behindDoc="1" locked="0" layoutInCell="0" allowOverlap="1">
                <wp:simplePos x="0" y="0"/>
                <wp:positionH relativeFrom="margin">
                  <wp:posOffset>3463925</wp:posOffset>
                </wp:positionH>
                <wp:positionV relativeFrom="margin">
                  <wp:posOffset>6360160</wp:posOffset>
                </wp:positionV>
                <wp:extent cx="2384425" cy="1339215"/>
                <wp:effectExtent l="0" t="0" r="0" b="0"/>
                <wp:wrapSquare wrapText="bothSides"/>
                <wp:docPr id="26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4425" cy="13392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w:t>
                            </w:r>
                            <w:r w:rsidRPr="00A76B0B">
                              <w:rPr>
                                <w:b/>
                                <w:i/>
                                <w:iCs/>
                                <w:color w:val="2E7029"/>
                                <w:sz w:val="28"/>
                                <w:szCs w:val="28"/>
                              </w:rPr>
                              <w:t>I applaud new services like family visit coaching and drug therapy centers that allow a parent to work around life</w:t>
                            </w:r>
                            <w:r>
                              <w:rPr>
                                <w:b/>
                                <w:i/>
                                <w:iCs/>
                                <w:color w:val="2E7029"/>
                                <w:sz w:val="28"/>
                                <w:szCs w:val="28"/>
                              </w:rPr>
                              <w:t>”</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sidRPr="004D2A28">
                              <w:rPr>
                                <w:b/>
                                <w:i/>
                                <w:iCs/>
                                <w:color w:val="F6872B"/>
                                <w:sz w:val="28"/>
                                <w:szCs w:val="28"/>
                              </w:rPr>
                              <w:t>- CSA Stakeholder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9" o:spid="_x0000_s1066" style="position:absolute;margin-left:272.75pt;margin-top:500.8pt;width:187.75pt;height:105.45pt;z-index:-251663360;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" o:allowincell="f" filled="f" stroked="f" strokecolor="#90b5e3" strokeweight="6pt">
                <v:textbox inset="0,0,0,0">
                  <w:txbxContent>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w:t>
                      </w:r>
                      <w:r w:rsidRPr="00A76B0B">
                        <w:rPr>
                          <w:b/>
                          <w:i/>
                          <w:iCs/>
                          <w:color w:val="2E7029"/>
                          <w:sz w:val="28"/>
                          <w:szCs w:val="28"/>
                        </w:rPr>
                        <w:t>I applaud new services like family visit coaching and drug therapy centers that allow a parent to work around life</w:t>
                      </w:r>
                      <w:r>
                        <w:rPr>
                          <w:b/>
                          <w:i/>
                          <w:iCs/>
                          <w:color w:val="2E7029"/>
                          <w:sz w:val="28"/>
                          <w:szCs w:val="28"/>
                        </w:rPr>
                        <w:t>”</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sidRPr="004D2A28">
                        <w:rPr>
                          <w:b/>
                          <w:i/>
                          <w:iCs/>
                          <w:color w:val="F6872B"/>
                          <w:sz w:val="28"/>
                          <w:szCs w:val="28"/>
                        </w:rPr>
                        <w:t>- CSA Stakeholder</w:t>
                      </w:r>
                    </w:p>
                  </w:txbxContent>
                </v:textbox>
                <w10:wrap type="square" anchorx="margin" anchory="margin"/>
              </v:rect>
            </w:pict>
          </mc:Fallback>
        </mc:AlternateContent>
      </w:r>
      <w:r w:rsidR="00D86A11" w:rsidRPr="00A6779A">
        <w:rPr>
          <w:b w:val="0"/>
          <w:color w:val="auto"/>
          <w:sz w:val="22"/>
        </w:rPr>
        <w:t xml:space="preserve">Family Visit Coaching is a practice developed by Marty Beyer, PhD. FVC maximizes a parent’s opportunity to demonstrate they can protect their child(ren) from the danger that brought them into care by helping them identify how they can demonstrate  acts of protection and respond to their child(ren)’s needs during visitation. </w:t>
      </w:r>
    </w:p>
    <w:p w:rsidR="00D86A11" w:rsidRPr="00A6779A" w:rsidRDefault="00D86A11" w:rsidP="00D86A11">
      <w:pPr>
        <w:pStyle w:val="Heading3"/>
        <w:spacing w:line="276" w:lineRule="auto"/>
        <w:rPr>
          <w:b w:val="0"/>
          <w:color w:val="auto"/>
          <w:sz w:val="22"/>
        </w:rPr>
      </w:pPr>
      <w:r w:rsidRPr="00A6779A">
        <w:rPr>
          <w:b w:val="0"/>
          <w:color w:val="auto"/>
          <w:sz w:val="22"/>
        </w:rPr>
        <w:t xml:space="preserve">Traditional supervised visits do not offer parents enough opportunities to demonstrate that they can keep their children safe. More often than not, parents cannot articulate the unmet safety need that brought their child(ren) into protective custody. Further, most traditional visits do not address </w:t>
      </w:r>
      <w:r w:rsidRPr="00A6779A">
        <w:rPr>
          <w:b w:val="0"/>
          <w:color w:val="auto"/>
          <w:sz w:val="22"/>
        </w:rPr>
        <w:lastRenderedPageBreak/>
        <w:t xml:space="preserve">the abuse or neglect that brought the child into care or readily build upon a parent’s strengths or guide improved parenting. </w:t>
      </w:r>
    </w:p>
    <w:p w:rsidR="00D86A11" w:rsidRPr="00CD6349" w:rsidRDefault="00D86A11" w:rsidP="00D86A11">
      <w:pPr>
        <w:pStyle w:val="Heading3"/>
        <w:spacing w:line="276" w:lineRule="auto"/>
        <w:rPr>
          <w:b w:val="0"/>
          <w:color w:val="auto"/>
          <w:sz w:val="22"/>
        </w:rPr>
      </w:pPr>
      <w:r>
        <w:rPr>
          <w:b w:val="0"/>
          <w:color w:val="auto"/>
          <w:sz w:val="22"/>
        </w:rPr>
        <w:t>FVC is a practice that</w:t>
      </w:r>
      <w:r w:rsidRPr="00AC053B">
        <w:rPr>
          <w:b w:val="0"/>
          <w:color w:val="auto"/>
          <w:sz w:val="22"/>
        </w:rPr>
        <w:t xml:space="preserve"> assist</w:t>
      </w:r>
      <w:r>
        <w:rPr>
          <w:b w:val="0"/>
          <w:color w:val="auto"/>
          <w:sz w:val="22"/>
        </w:rPr>
        <w:t>s</w:t>
      </w:r>
      <w:r w:rsidRPr="00AC053B">
        <w:rPr>
          <w:b w:val="0"/>
          <w:color w:val="auto"/>
          <w:sz w:val="22"/>
        </w:rPr>
        <w:t xml:space="preserve"> parents in demonstrating acts of protection during visitation with their child(ren). It is intended to more clearly direct parents towards understanding the reasons their child(ren) came into custody and help parents develop skills to demonstrate that they can keep their children safe during their family visitation time. This practice is intended to move families toward reunification more quickly than traditional visitation models.</w:t>
      </w:r>
      <w:r>
        <w:rPr>
          <w:b w:val="0"/>
          <w:color w:val="auto"/>
          <w:sz w:val="22"/>
        </w:rPr>
        <w:t xml:space="preserve"> </w:t>
      </w:r>
      <w:r w:rsidRPr="00CD6349">
        <w:rPr>
          <w:b w:val="0"/>
          <w:color w:val="auto"/>
          <w:sz w:val="22"/>
        </w:rPr>
        <w:t>There are four principles of visit coaching:  empowerment, empathy, responsiveness and active parenting. The family visit coach adheres to these principles and tailors their methods to the family and child but also intervenes in a way that allows the parent to take charge.</w:t>
      </w:r>
    </w:p>
    <w:p w:rsidR="00D86A11" w:rsidRPr="00EC4312" w:rsidRDefault="00D86A11" w:rsidP="00D86A11">
      <w:pPr>
        <w:spacing w:after="0" w:line="240" w:lineRule="auto"/>
        <w:rPr>
          <w:rFonts w:ascii="Franklin Gothic Book" w:hAnsi="Franklin Gothic Book"/>
          <w:color w:val="auto"/>
          <w:spacing w:val="20"/>
          <w:szCs w:val="28"/>
        </w:rPr>
      </w:pPr>
      <w:r w:rsidRPr="00EC4312">
        <w:rPr>
          <w:rFonts w:ascii="Franklin Gothic Book" w:hAnsi="Franklin Gothic Book"/>
          <w:color w:val="auto"/>
          <w:spacing w:val="20"/>
          <w:szCs w:val="28"/>
        </w:rPr>
        <w:t xml:space="preserve"> Family Visit Coaching includes:</w:t>
      </w:r>
    </w:p>
    <w:p w:rsidR="00D86A11" w:rsidRPr="00866E52" w:rsidRDefault="00D86A11" w:rsidP="00D86A11">
      <w:pPr>
        <w:numPr>
          <w:ilvl w:val="0"/>
          <w:numId w:val="16"/>
        </w:numPr>
        <w:spacing w:before="120" w:after="0"/>
        <w:ind w:right="130"/>
        <w:rPr>
          <w:rFonts w:ascii="Franklin Gothic Book" w:hAnsi="Franklin Gothic Book"/>
          <w:color w:val="auto"/>
          <w:spacing w:val="20"/>
          <w:szCs w:val="28"/>
        </w:rPr>
      </w:pPr>
      <w:r w:rsidRPr="00866E52">
        <w:rPr>
          <w:rFonts w:ascii="Franklin Gothic Book" w:hAnsi="Franklin Gothic Book"/>
          <w:color w:val="auto"/>
          <w:spacing w:val="20"/>
          <w:szCs w:val="28"/>
        </w:rPr>
        <w:t>Reaching agreement with the parent about the child’s needs to be met in visits, connected to the risks that brought the child into care.</w:t>
      </w:r>
    </w:p>
    <w:p w:rsidR="00D86A11" w:rsidRPr="00866E52" w:rsidRDefault="00D86A11" w:rsidP="00D86A11">
      <w:pPr>
        <w:numPr>
          <w:ilvl w:val="0"/>
          <w:numId w:val="16"/>
        </w:numPr>
        <w:spacing w:before="120" w:after="0"/>
        <w:ind w:right="130"/>
        <w:rPr>
          <w:rFonts w:ascii="Franklin Gothic Book" w:hAnsi="Franklin Gothic Book"/>
          <w:color w:val="auto"/>
          <w:spacing w:val="20"/>
          <w:szCs w:val="28"/>
        </w:rPr>
      </w:pPr>
      <w:r w:rsidRPr="00866E52">
        <w:rPr>
          <w:rFonts w:ascii="Franklin Gothic Book" w:hAnsi="Franklin Gothic Book"/>
          <w:color w:val="auto"/>
          <w:spacing w:val="20"/>
          <w:szCs w:val="28"/>
        </w:rPr>
        <w:t>Preparing parents for their child’s reactions and how to plan to give their child their full attention at each visit.</w:t>
      </w:r>
    </w:p>
    <w:p w:rsidR="00D86A11" w:rsidRPr="00866E52" w:rsidRDefault="00D86A11" w:rsidP="00D86A11">
      <w:pPr>
        <w:numPr>
          <w:ilvl w:val="0"/>
          <w:numId w:val="16"/>
        </w:numPr>
        <w:spacing w:before="120" w:after="0"/>
        <w:ind w:right="130"/>
        <w:rPr>
          <w:rFonts w:ascii="Franklin Gothic Book" w:hAnsi="Franklin Gothic Book"/>
          <w:color w:val="auto"/>
          <w:spacing w:val="20"/>
          <w:szCs w:val="28"/>
        </w:rPr>
      </w:pPr>
      <w:r w:rsidRPr="00866E52">
        <w:rPr>
          <w:rFonts w:ascii="Franklin Gothic Book" w:hAnsi="Franklin Gothic Book"/>
          <w:color w:val="auto"/>
          <w:spacing w:val="20"/>
          <w:szCs w:val="28"/>
        </w:rPr>
        <w:t>Appreciating the parent’s strength in responding to their child and coaching them to improve their skills.</w:t>
      </w:r>
    </w:p>
    <w:p w:rsidR="00D86A11" w:rsidRPr="00866E52" w:rsidRDefault="00D86A11" w:rsidP="00D86A11">
      <w:pPr>
        <w:numPr>
          <w:ilvl w:val="0"/>
          <w:numId w:val="16"/>
        </w:numPr>
        <w:spacing w:before="120" w:after="0"/>
        <w:ind w:right="130"/>
        <w:rPr>
          <w:rFonts w:ascii="Franklin Gothic Book" w:hAnsi="Franklin Gothic Book"/>
          <w:color w:val="auto"/>
          <w:spacing w:val="20"/>
          <w:szCs w:val="28"/>
        </w:rPr>
      </w:pPr>
      <w:r w:rsidRPr="00866E52">
        <w:rPr>
          <w:rFonts w:ascii="Franklin Gothic Book" w:hAnsi="Franklin Gothic Book"/>
          <w:color w:val="auto"/>
          <w:spacing w:val="20"/>
          <w:szCs w:val="28"/>
        </w:rPr>
        <w:t xml:space="preserve">Provides parents with the chance to plan how they will meet the particular needs of their child(ren)’s during the visit, and supportively reminds them of their plan immediately before and during the visit. </w:t>
      </w:r>
    </w:p>
    <w:p w:rsidR="00D86A11" w:rsidRPr="00866E52" w:rsidRDefault="00D86A11" w:rsidP="00D86A11">
      <w:pPr>
        <w:numPr>
          <w:ilvl w:val="0"/>
          <w:numId w:val="16"/>
        </w:numPr>
        <w:spacing w:before="120" w:after="0"/>
        <w:ind w:right="130"/>
        <w:rPr>
          <w:rFonts w:ascii="Franklin Gothic Book" w:hAnsi="Franklin Gothic Book"/>
          <w:color w:val="auto"/>
          <w:spacing w:val="20"/>
          <w:szCs w:val="28"/>
        </w:rPr>
      </w:pPr>
      <w:r w:rsidRPr="00866E52">
        <w:rPr>
          <w:rFonts w:ascii="Franklin Gothic Book" w:hAnsi="Franklin Gothic Book"/>
          <w:color w:val="auto"/>
          <w:spacing w:val="20"/>
          <w:szCs w:val="28"/>
        </w:rPr>
        <w:t>Helping parents cope with their feelings in order to visit consistently.</w:t>
      </w:r>
    </w:p>
    <w:p w:rsidR="00D86A11" w:rsidRPr="000C02DB" w:rsidRDefault="00D86A11" w:rsidP="00D86A11">
      <w:pPr>
        <w:pStyle w:val="Heading1"/>
        <w:rPr>
          <w:color w:val="013161"/>
        </w:rPr>
      </w:pPr>
      <w:r>
        <w:rPr>
          <w:color w:val="013161"/>
        </w:rPr>
        <w:t>Probation Department Initiatives</w:t>
      </w:r>
    </w:p>
    <w:p w:rsidR="00D86A11" w:rsidRDefault="00D86A11" w:rsidP="00D86A11">
      <w:pPr>
        <w:pStyle w:val="Heading2"/>
        <w:rPr>
          <w:rStyle w:val="Heading1Char"/>
          <w:b/>
          <w:color w:val="F6872B"/>
          <w:sz w:val="24"/>
        </w:rPr>
      </w:pPr>
      <w:r w:rsidRPr="002F564A">
        <w:rPr>
          <w:rStyle w:val="Heading1Char"/>
          <w:b/>
          <w:color w:val="F6872B"/>
          <w:sz w:val="24"/>
          <w:szCs w:val="28"/>
        </w:rPr>
        <w:t>Mentally Ill Offender Crime Reduction (MIOCR) Grant</w:t>
      </w:r>
    </w:p>
    <w:p w:rsidR="00D86A11" w:rsidRDefault="00D86A11" w:rsidP="00D86A11">
      <w:pPr>
        <w:pStyle w:val="Heading3"/>
        <w:spacing w:line="276" w:lineRule="auto"/>
        <w:rPr>
          <w:b w:val="0"/>
          <w:color w:val="auto"/>
          <w:sz w:val="22"/>
        </w:rPr>
      </w:pPr>
      <w:r w:rsidRPr="00EB6299">
        <w:rPr>
          <w:b w:val="0"/>
          <w:color w:val="auto"/>
          <w:sz w:val="22"/>
        </w:rPr>
        <w:t xml:space="preserve">Over the past ten years, </w:t>
      </w:r>
      <w:r>
        <w:rPr>
          <w:b w:val="0"/>
          <w:color w:val="auto"/>
          <w:sz w:val="22"/>
        </w:rPr>
        <w:t>the County of San Diego</w:t>
      </w:r>
      <w:r w:rsidRPr="00EB6299">
        <w:rPr>
          <w:b w:val="0"/>
          <w:color w:val="auto"/>
          <w:sz w:val="22"/>
        </w:rPr>
        <w:t xml:space="preserve"> Probation has implemented best and promising practices, including evidence-based practices (EBP), case management, risk-based supervision, community-based organization (CBO) partnerships for effective diversion strategies, Community Assessment Teams, and in 2010, the Juvenile Forensic Assistance, Stabilization and Treatment (JFAST) Mental Health Court. These</w:t>
      </w:r>
      <w:r>
        <w:rPr>
          <w:b w:val="0"/>
          <w:color w:val="auto"/>
          <w:sz w:val="22"/>
        </w:rPr>
        <w:t xml:space="preserve"> practices</w:t>
      </w:r>
      <w:r w:rsidRPr="00EB6299">
        <w:rPr>
          <w:b w:val="0"/>
          <w:color w:val="auto"/>
          <w:sz w:val="22"/>
        </w:rPr>
        <w:t xml:space="preserve"> have improved outcomes, but identifying and serving mentally ill offenders remains a </w:t>
      </w:r>
      <w:r>
        <w:rPr>
          <w:b w:val="0"/>
          <w:color w:val="auto"/>
          <w:sz w:val="22"/>
        </w:rPr>
        <w:t>challenge</w:t>
      </w:r>
      <w:r w:rsidRPr="00EB6299">
        <w:rPr>
          <w:b w:val="0"/>
          <w:color w:val="auto"/>
          <w:sz w:val="22"/>
        </w:rPr>
        <w:t xml:space="preserve">. </w:t>
      </w:r>
    </w:p>
    <w:p w:rsidR="00D86A11" w:rsidRPr="00EB6299" w:rsidRDefault="00D86A11" w:rsidP="00D86A11">
      <w:pPr>
        <w:pStyle w:val="Heading3"/>
        <w:spacing w:line="276" w:lineRule="auto"/>
      </w:pPr>
      <w:r w:rsidRPr="00EB6299">
        <w:rPr>
          <w:b w:val="0"/>
          <w:color w:val="auto"/>
          <w:sz w:val="22"/>
        </w:rPr>
        <w:t>In 2015, San Diego was awar</w:t>
      </w:r>
      <w:r>
        <w:rPr>
          <w:b w:val="0"/>
          <w:color w:val="auto"/>
          <w:sz w:val="22"/>
        </w:rPr>
        <w:t>d</w:t>
      </w:r>
      <w:r w:rsidRPr="00EB6299">
        <w:rPr>
          <w:b w:val="0"/>
          <w:color w:val="auto"/>
          <w:sz w:val="22"/>
        </w:rPr>
        <w:t xml:space="preserve">ed the </w:t>
      </w:r>
      <w:r w:rsidRPr="00490F67">
        <w:rPr>
          <w:b w:val="0"/>
          <w:color w:val="auto"/>
          <w:sz w:val="22"/>
        </w:rPr>
        <w:t>Mentally Ill Offender Crime Reduction</w:t>
      </w:r>
      <w:r>
        <w:rPr>
          <w:b w:val="0"/>
          <w:color w:val="auto"/>
          <w:sz w:val="22"/>
        </w:rPr>
        <w:t xml:space="preserve"> (</w:t>
      </w:r>
      <w:r w:rsidRPr="00EB6299">
        <w:rPr>
          <w:b w:val="0"/>
          <w:color w:val="auto"/>
          <w:sz w:val="22"/>
        </w:rPr>
        <w:t>MIOCR</w:t>
      </w:r>
      <w:r>
        <w:rPr>
          <w:b w:val="0"/>
          <w:color w:val="auto"/>
          <w:sz w:val="22"/>
        </w:rPr>
        <w:t>)</w:t>
      </w:r>
      <w:r w:rsidR="00121985" w:rsidRPr="00121985">
        <w:rPr>
          <w:b w:val="0"/>
          <w:color w:val="auto"/>
          <w:sz w:val="22"/>
        </w:rPr>
        <w:t xml:space="preserve"> grant which will begin to bridge the gap of early identification and service linkage for mentally ill youthful offenders. As a result of the grant, in February of 2016, the use of the Massachusetts Youth Screening Instrument (MAYSI-2) self-assessment expanded to include all juvenile offenders receiving a true finding. The MAYSI-2 is a self-administered inventory asking youth 52 (5th grade level) yes or no questions regarding recent behaviors, thoughts, and feelings. The results can indicate probable clinical significance in six areas: Alcohol/Drug Use, Anger-</w:t>
      </w:r>
      <w:r w:rsidR="00121985" w:rsidRPr="00121985">
        <w:rPr>
          <w:b w:val="0"/>
          <w:color w:val="auto"/>
          <w:sz w:val="22"/>
        </w:rPr>
        <w:lastRenderedPageBreak/>
        <w:t>Irritability, Depression-Anxiety, Somatic Complaints, Suicide Ideation, Thought Disturbance (for boys), and also includes a 5-item scale regarding history of traumatic experiences. Youth meeting two trauma experiences and two “Warning” thresholds on the MAYSI-2are referred for a clinical assessment. The results of the clinical assessment drive the type of mental health intervention needed and appropriate referrals will be made by the supervision probation officer during case planning for the youth and their family.</w:t>
      </w:r>
    </w:p>
    <w:p w:rsidR="00D86A11" w:rsidRPr="006F48F5" w:rsidRDefault="00121985" w:rsidP="00D86A11">
      <w:pPr>
        <w:pStyle w:val="Heading2"/>
        <w:rPr>
          <w:color w:val="F6872B"/>
        </w:rPr>
      </w:pPr>
      <w:r>
        <w:rPr>
          <w:rStyle w:val="Heading1Char"/>
          <w:b/>
          <w:color w:val="F6872B"/>
          <w:sz w:val="24"/>
        </w:rPr>
        <w:t>Trauma Responsive Unit</w:t>
      </w:r>
    </w:p>
    <w:p w:rsidR="00D86A11" w:rsidRPr="00BE55C2" w:rsidRDefault="00121985" w:rsidP="00D86A11">
      <w:pPr>
        <w:pStyle w:val="Heading3"/>
        <w:spacing w:line="276" w:lineRule="auto"/>
        <w:rPr>
          <w:b w:val="0"/>
          <w:color w:val="auto"/>
          <w:sz w:val="22"/>
        </w:rPr>
      </w:pPr>
      <w:r w:rsidRPr="00121985">
        <w:rPr>
          <w:b w:val="0"/>
          <w:color w:val="auto"/>
          <w:sz w:val="22"/>
        </w:rPr>
        <w:t xml:space="preserve">In order to strengthen and expand our trauma responsive service provision and intervention strategies to better meet the needs of our youth in custody, the Probation Department, in collaboration with the County Office of Education,  Behavioral Health Services, and other stakeholders designed and implemented the Trauma Responsive Unit (TRU) in February of 2016. TRU is an </w:t>
      </w:r>
      <w:r w:rsidR="004F51AF" w:rsidRPr="00121985">
        <w:rPr>
          <w:b w:val="0"/>
          <w:color w:val="auto"/>
          <w:sz w:val="22"/>
        </w:rPr>
        <w:t>all-male</w:t>
      </w:r>
      <w:r w:rsidRPr="00121985">
        <w:rPr>
          <w:b w:val="0"/>
          <w:color w:val="auto"/>
          <w:sz w:val="22"/>
        </w:rPr>
        <w:t xml:space="preserve"> unit currently located at the Kearny Mesa Juvenile Detention Facility. The unit is comprised of both sworn and non-sworn staff specifically trained to conduct a modified version of the Trauma Affect Regulation: Guide for Education and Treatment (TARGET) Model, known as T4. TARGET is an educational and therapeutic approach for the prevention and treatment of Post-Traumatic Stress Disorders (PTSD) and Acute Stress Disorder (ASD). TARGET was originally developed by Julian Ford, PhD in conjunction with Advanced Trauma Solutions located in Farmington, Connecticut. T4 is a four session treatment designed to help youth, “slow down, regulate stress reactions, and think clearly be-fore acting.” T4 is an evidenced-based, cognitive behavioral treatment approach specifically designed to address the thoughts, behaviors, and emotions commonly associated with trauma-based disorders. </w:t>
      </w:r>
    </w:p>
    <w:p w:rsidR="00D86A11" w:rsidRPr="00BE55C2" w:rsidRDefault="00121985" w:rsidP="00D86A11">
      <w:pPr>
        <w:pStyle w:val="Heading3"/>
        <w:spacing w:line="276" w:lineRule="auto"/>
        <w:rPr>
          <w:b w:val="0"/>
          <w:color w:val="auto"/>
          <w:sz w:val="22"/>
        </w:rPr>
      </w:pPr>
      <w:r w:rsidRPr="00121985">
        <w:rPr>
          <w:b w:val="0"/>
          <w:color w:val="auto"/>
          <w:sz w:val="22"/>
        </w:rPr>
        <w:t xml:space="preserve">The unit is designed to house a maximum of 20 juvenile males between the ages of 12 and 17 who present with clinical indicators of PTSD or ASD. Any minor considered for the TRU Unit will be screened with the Massachusetts Youth Screening Inventory, 2nd edition (MAYSI-2) and the Structured Trauma-Related Experiences and Symptoms Screener (STRESS). The screening will also include a review of any supporting clinical and/or historical documentation, if any. </w:t>
      </w:r>
    </w:p>
    <w:p w:rsidR="00D86A11" w:rsidRPr="00BE55C2" w:rsidRDefault="00763E81" w:rsidP="00D86A11">
      <w:pPr>
        <w:pStyle w:val="Heading3"/>
        <w:spacing w:line="276" w:lineRule="auto"/>
        <w:rPr>
          <w:b w:val="0"/>
          <w:color w:val="auto"/>
          <w:sz w:val="22"/>
        </w:rPr>
      </w:pPr>
      <w:r>
        <w:rPr>
          <w:noProof/>
        </w:rPr>
        <mc:AlternateContent>
          <mc:Choice Requires="wps">
            <w:drawing>
              <wp:anchor distT="91440" distB="91440" distL="182880" distR="182880" simplePos="0" relativeHeight="251654144" behindDoc="1" locked="0" layoutInCell="0" allowOverlap="1">
                <wp:simplePos x="0" y="0"/>
                <wp:positionH relativeFrom="margin">
                  <wp:posOffset>3469005</wp:posOffset>
                </wp:positionH>
                <wp:positionV relativeFrom="margin">
                  <wp:posOffset>6684010</wp:posOffset>
                </wp:positionV>
                <wp:extent cx="2384425" cy="1562100"/>
                <wp:effectExtent l="0" t="0" r="0" b="0"/>
                <wp:wrapSquare wrapText="bothSides"/>
                <wp:docPr id="26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4425" cy="156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103E6" w:rsidRPr="005D65C4" w:rsidRDefault="009103E6" w:rsidP="00D86A11">
                            <w:pPr>
                              <w:pBdr>
                                <w:top w:val="single" w:sz="4" w:space="2" w:color="A7BFDE"/>
                                <w:bottom w:val="single" w:sz="4" w:space="10" w:color="A7BFDE"/>
                              </w:pBdr>
                              <w:spacing w:after="0"/>
                              <w:jc w:val="center"/>
                              <w:rPr>
                                <w:b/>
                                <w:i/>
                                <w:iCs/>
                                <w:color w:val="2E7029"/>
                                <w:sz w:val="10"/>
                                <w:szCs w:val="28"/>
                              </w:rPr>
                            </w:pPr>
                          </w:p>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w:t>
                            </w:r>
                            <w:r w:rsidRPr="00DD0575">
                              <w:rPr>
                                <w:b/>
                                <w:i/>
                                <w:iCs/>
                                <w:color w:val="2E7029"/>
                                <w:sz w:val="28"/>
                                <w:szCs w:val="28"/>
                              </w:rPr>
                              <w:t>Our children and families have underlying mental health problems such as depression, trauma and drug use</w:t>
                            </w:r>
                            <w:r>
                              <w:rPr>
                                <w:b/>
                                <w:i/>
                                <w:iCs/>
                                <w:color w:val="2E7029"/>
                                <w:sz w:val="28"/>
                                <w:szCs w:val="28"/>
                              </w:rPr>
                              <w:t>”</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sidRPr="004D2A28">
                              <w:rPr>
                                <w:b/>
                                <w:i/>
                                <w:iCs/>
                                <w:color w:val="F6872B"/>
                                <w:sz w:val="28"/>
                                <w:szCs w:val="28"/>
                              </w:rPr>
                              <w:t>- CSA Stakeholder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0" o:spid="_x0000_s1067" style="position:absolute;margin-left:273.15pt;margin-top:526.3pt;width:187.75pt;height:123pt;z-index:-251662336;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" o:allowincell="f" filled="f" stroked="f" strokecolor="#90b5e3" strokeweight="6pt">
                <v:textbox inset="0,0,0,0">
                  <w:txbxContent>
                    <w:p w:rsidR="009103E6" w:rsidRPr="005D65C4" w:rsidRDefault="009103E6" w:rsidP="00D86A11">
                      <w:pPr>
                        <w:pBdr>
                          <w:top w:val="single" w:sz="4" w:space="2" w:color="A7BFDE"/>
                          <w:bottom w:val="single" w:sz="4" w:space="10" w:color="A7BFDE"/>
                        </w:pBdr>
                        <w:spacing w:after="0"/>
                        <w:jc w:val="center"/>
                        <w:rPr>
                          <w:b/>
                          <w:i/>
                          <w:iCs/>
                          <w:color w:val="2E7029"/>
                          <w:sz w:val="10"/>
                          <w:szCs w:val="28"/>
                        </w:rPr>
                      </w:pPr>
                    </w:p>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w:t>
                      </w:r>
                      <w:r w:rsidRPr="00DD0575">
                        <w:rPr>
                          <w:b/>
                          <w:i/>
                          <w:iCs/>
                          <w:color w:val="2E7029"/>
                          <w:sz w:val="28"/>
                          <w:szCs w:val="28"/>
                        </w:rPr>
                        <w:t>Our children and families have underlying mental health problems such as depression, trauma and drug use</w:t>
                      </w:r>
                      <w:r>
                        <w:rPr>
                          <w:b/>
                          <w:i/>
                          <w:iCs/>
                          <w:color w:val="2E7029"/>
                          <w:sz w:val="28"/>
                          <w:szCs w:val="28"/>
                        </w:rPr>
                        <w:t>”</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sidRPr="004D2A28">
                        <w:rPr>
                          <w:b/>
                          <w:i/>
                          <w:iCs/>
                          <w:color w:val="F6872B"/>
                          <w:sz w:val="28"/>
                          <w:szCs w:val="28"/>
                        </w:rPr>
                        <w:t>- CSA Stakeholder</w:t>
                      </w:r>
                    </w:p>
                  </w:txbxContent>
                </v:textbox>
                <w10:wrap type="square" anchorx="margin" anchory="margin"/>
              </v:rect>
            </w:pict>
          </mc:Fallback>
        </mc:AlternateContent>
      </w:r>
      <w:r w:rsidR="00D86A11" w:rsidRPr="00BE55C2">
        <w:rPr>
          <w:b w:val="0"/>
          <w:color w:val="auto"/>
          <w:sz w:val="22"/>
        </w:rPr>
        <w:t xml:space="preserve">All minors housed in the TRU Unit participate in weekly group and individual therapy sessions specifically designed to modify thoughts, emotions, and behaviors commonly associated with trauma-based disorders. In addition, every sworn officer assigned to the unit </w:t>
      </w:r>
      <w:r w:rsidR="00D86A11">
        <w:rPr>
          <w:b w:val="0"/>
          <w:color w:val="auto"/>
          <w:sz w:val="22"/>
        </w:rPr>
        <w:t xml:space="preserve">is </w:t>
      </w:r>
      <w:r w:rsidR="00D86A11" w:rsidRPr="00BE55C2">
        <w:rPr>
          <w:b w:val="0"/>
          <w:color w:val="auto"/>
          <w:sz w:val="22"/>
        </w:rPr>
        <w:t>specifically trained to consistently implement and reinforce the T4 curriculum</w:t>
      </w:r>
      <w:r w:rsidR="00D86A11">
        <w:rPr>
          <w:b w:val="0"/>
          <w:color w:val="auto"/>
          <w:sz w:val="22"/>
        </w:rPr>
        <w:t>,</w:t>
      </w:r>
      <w:r w:rsidR="00D86A11" w:rsidRPr="00BE55C2">
        <w:rPr>
          <w:b w:val="0"/>
          <w:color w:val="auto"/>
          <w:sz w:val="22"/>
        </w:rPr>
        <w:t xml:space="preserve"> in an effort to foster positive behavioral changes. TRU staff conduct weekly Multi-disciplinary Team Meetings (MDT’s) in order to more effectively monitor and adjust individual treatment. In addition, the </w:t>
      </w:r>
      <w:r w:rsidR="004F51AF" w:rsidRPr="00BE55C2">
        <w:rPr>
          <w:b w:val="0"/>
          <w:color w:val="auto"/>
          <w:sz w:val="22"/>
        </w:rPr>
        <w:t>unit incorporates</w:t>
      </w:r>
      <w:r w:rsidR="00D86A11" w:rsidRPr="00BE55C2">
        <w:rPr>
          <w:b w:val="0"/>
          <w:color w:val="auto"/>
          <w:sz w:val="22"/>
        </w:rPr>
        <w:t xml:space="preserve"> </w:t>
      </w:r>
      <w:r w:rsidR="00D86A11">
        <w:rPr>
          <w:b w:val="0"/>
          <w:color w:val="auto"/>
          <w:sz w:val="22"/>
        </w:rPr>
        <w:t>wraparound</w:t>
      </w:r>
      <w:r w:rsidR="00D86A11" w:rsidRPr="00BE55C2">
        <w:rPr>
          <w:b w:val="0"/>
          <w:color w:val="auto"/>
          <w:sz w:val="22"/>
        </w:rPr>
        <w:t xml:space="preserve"> services, substance </w:t>
      </w:r>
      <w:r w:rsidR="00D86A11" w:rsidRPr="00BE55C2">
        <w:rPr>
          <w:b w:val="0"/>
          <w:color w:val="auto"/>
          <w:sz w:val="22"/>
        </w:rPr>
        <w:lastRenderedPageBreak/>
        <w:t xml:space="preserve">abuse counseling, </w:t>
      </w:r>
      <w:r w:rsidR="00D86A11">
        <w:rPr>
          <w:b w:val="0"/>
          <w:color w:val="auto"/>
          <w:sz w:val="22"/>
        </w:rPr>
        <w:t>a</w:t>
      </w:r>
      <w:r w:rsidR="00D86A11" w:rsidRPr="00BE55C2">
        <w:rPr>
          <w:b w:val="0"/>
          <w:color w:val="auto"/>
          <w:sz w:val="22"/>
        </w:rPr>
        <w:t xml:space="preserve">nger </w:t>
      </w:r>
      <w:r w:rsidR="00D86A11">
        <w:rPr>
          <w:b w:val="0"/>
          <w:color w:val="auto"/>
          <w:sz w:val="22"/>
        </w:rPr>
        <w:t>m</w:t>
      </w:r>
      <w:r w:rsidR="00D86A11" w:rsidRPr="00BE55C2">
        <w:rPr>
          <w:b w:val="0"/>
          <w:color w:val="auto"/>
          <w:sz w:val="22"/>
        </w:rPr>
        <w:t>anagement, and/or any another evidence-based treatment that meet</w:t>
      </w:r>
      <w:r w:rsidR="00D86A11">
        <w:rPr>
          <w:b w:val="0"/>
          <w:color w:val="auto"/>
          <w:sz w:val="22"/>
        </w:rPr>
        <w:t>s</w:t>
      </w:r>
      <w:r w:rsidR="00D86A11" w:rsidRPr="00BE55C2">
        <w:rPr>
          <w:b w:val="0"/>
          <w:color w:val="auto"/>
          <w:sz w:val="22"/>
        </w:rPr>
        <w:t xml:space="preserve"> the identified needs of this population. Re-entry services are currently being developed but will emphasize a continuation of care based on Cognitive Behavioral Treatment oriented interventions and family/</w:t>
      </w:r>
      <w:r w:rsidR="00121985" w:rsidRPr="00121985">
        <w:rPr>
          <w:b w:val="0"/>
          <w:color w:val="auto"/>
          <w:sz w:val="22"/>
        </w:rPr>
        <w:t>community inclusion and support.</w:t>
      </w:r>
    </w:p>
    <w:p w:rsidR="00D86A11" w:rsidRDefault="00D86A11" w:rsidP="00D86A11">
      <w:pPr>
        <w:spacing w:after="0"/>
        <w:rPr>
          <w:sz w:val="24"/>
          <w:szCs w:val="24"/>
        </w:rPr>
      </w:pPr>
    </w:p>
    <w:p w:rsidR="00A75AB8" w:rsidRDefault="00A75AB8" w:rsidP="00D86A11">
      <w:pPr>
        <w:spacing w:after="0"/>
        <w:rPr>
          <w:sz w:val="24"/>
          <w:szCs w:val="24"/>
        </w:rPr>
      </w:pPr>
    </w:p>
    <w:p w:rsidR="00A75AB8" w:rsidRDefault="00A75AB8" w:rsidP="00D86A11">
      <w:pPr>
        <w:spacing w:after="0"/>
        <w:rPr>
          <w:sz w:val="24"/>
          <w:szCs w:val="24"/>
        </w:rPr>
      </w:pPr>
    </w:p>
    <w:p w:rsidR="00A75AB8" w:rsidRDefault="00A75AB8" w:rsidP="00D86A11">
      <w:pPr>
        <w:spacing w:after="0"/>
        <w:rPr>
          <w:sz w:val="24"/>
          <w:szCs w:val="24"/>
        </w:rPr>
      </w:pPr>
    </w:p>
    <w:tbl>
      <w:tblPr>
        <w:tblW w:w="10624" w:type="dxa"/>
        <w:jc w:val="center"/>
        <w:tblCellMar>
          <w:top w:w="144" w:type="dxa"/>
          <w:left w:w="0" w:type="dxa"/>
          <w:bottom w:w="144" w:type="dxa"/>
          <w:right w:w="0" w:type="dxa"/>
        </w:tblCellMar>
        <w:tblLook w:val="04A0" w:firstRow="1" w:lastRow="0" w:firstColumn="1" w:lastColumn="0" w:noHBand="0" w:noVBand="1"/>
      </w:tblPr>
      <w:tblGrid>
        <w:gridCol w:w="10624"/>
      </w:tblGrid>
      <w:tr w:rsidR="00D86A11" w:rsidRPr="00002D1D">
        <w:trPr>
          <w:trHeight w:val="6"/>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r w:rsidR="00D86A11" w:rsidRPr="00002D1D">
        <w:trPr>
          <w:trHeight w:val="69"/>
          <w:jc w:val="center"/>
        </w:trPr>
        <w:tc>
          <w:tcPr>
            <w:tcW w:w="0" w:type="auto"/>
            <w:shd w:val="clear" w:color="auto" w:fill="013161"/>
            <w:vAlign w:val="center"/>
          </w:tcPr>
          <w:p w:rsidR="000B1863" w:rsidRDefault="00D86A11">
            <w:pPr>
              <w:pStyle w:val="MediumGrid21"/>
              <w:numPr>
                <w:ilvl w:val="0"/>
                <w:numId w:val="17"/>
              </w:numPr>
              <w:jc w:val="center"/>
              <w:rPr>
                <w:rFonts w:ascii="Franklin Gothic Book" w:eastAsia="HGGothicM" w:hAnsi="Franklin Gothic Book" w:cs="Tahoma"/>
                <w:color w:val="FFFFFF"/>
                <w:sz w:val="48"/>
                <w:szCs w:val="72"/>
              </w:rPr>
            </w:pPr>
            <w:r w:rsidRPr="00D95C9F">
              <w:rPr>
                <w:rFonts w:eastAsia="HGGothicM" w:cs="Calibri"/>
                <w:color w:val="FFFFFF"/>
                <w:sz w:val="40"/>
                <w:szCs w:val="64"/>
              </w:rPr>
              <w:t>Board of Supervisors</w:t>
            </w:r>
            <w:r>
              <w:rPr>
                <w:rFonts w:eastAsia="HGGothicM" w:cs="Calibri"/>
                <w:color w:val="FFFFFF"/>
                <w:sz w:val="40"/>
                <w:szCs w:val="64"/>
              </w:rPr>
              <w:t xml:space="preserve"> </w:t>
            </w:r>
            <w:r w:rsidRPr="00D95C9F">
              <w:rPr>
                <w:rFonts w:eastAsia="HGGothicM" w:cs="Calibri"/>
                <w:color w:val="FFFFFF"/>
                <w:sz w:val="40"/>
                <w:szCs w:val="64"/>
              </w:rPr>
              <w:t>Designated Commission, Board of Bodies</w:t>
            </w:r>
          </w:p>
        </w:tc>
      </w:tr>
      <w:tr w:rsidR="00D86A11" w:rsidRPr="00002D1D">
        <w:trPr>
          <w:trHeight w:val="6"/>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bl>
    <w:p w:rsidR="00D86A11" w:rsidRPr="00D80990" w:rsidRDefault="00D86A11" w:rsidP="00D86A11">
      <w:pPr>
        <w:spacing w:after="0"/>
        <w:rPr>
          <w:sz w:val="24"/>
          <w:szCs w:val="24"/>
        </w:rPr>
      </w:pPr>
    </w:p>
    <w:p w:rsidR="00D86A11" w:rsidRPr="00063B02" w:rsidRDefault="00D86A11" w:rsidP="00D86A11">
      <w:pPr>
        <w:pStyle w:val="Heading1"/>
        <w:rPr>
          <w:color w:val="013161"/>
        </w:rPr>
      </w:pPr>
      <w:r w:rsidRPr="00063B02">
        <w:rPr>
          <w:color w:val="013161"/>
        </w:rPr>
        <w:t xml:space="preserve">The BOS-Designated Public Agency </w:t>
      </w:r>
    </w:p>
    <w:p w:rsidR="00D86A11" w:rsidRPr="00B279ED" w:rsidRDefault="00D86A11" w:rsidP="00D86A11">
      <w:pPr>
        <w:pStyle w:val="Heading3"/>
        <w:spacing w:line="276" w:lineRule="auto"/>
        <w:rPr>
          <w:b w:val="0"/>
          <w:color w:val="auto"/>
          <w:sz w:val="22"/>
        </w:rPr>
      </w:pPr>
      <w:r w:rsidRPr="00B279ED">
        <w:rPr>
          <w:b w:val="0"/>
          <w:color w:val="auto"/>
          <w:sz w:val="22"/>
        </w:rPr>
        <w:t>The County of San Diego is governed by the County Board of Supervisors and</w:t>
      </w:r>
      <w:r>
        <w:rPr>
          <w:b w:val="0"/>
          <w:color w:val="auto"/>
          <w:sz w:val="22"/>
        </w:rPr>
        <w:t xml:space="preserve"> a Chief Administrative Officer (Appendix A)</w:t>
      </w:r>
      <w:r w:rsidRPr="00B279ED">
        <w:rPr>
          <w:b w:val="0"/>
          <w:color w:val="auto"/>
          <w:sz w:val="22"/>
        </w:rPr>
        <w:t>. Each Supervisor is responsible for their assigned regional designated area. CWS is responsible for handling CAPIT and CBCAP. The agencies who receive CAPIT and CBCAP funding were invited and participated in the CSA Stakeholder meetings.</w:t>
      </w:r>
    </w:p>
    <w:p w:rsidR="00D86A11" w:rsidRPr="00765311" w:rsidRDefault="00D86A11" w:rsidP="00D86A11">
      <w:pPr>
        <w:pStyle w:val="Heading1"/>
        <w:rPr>
          <w:color w:val="013161"/>
        </w:rPr>
      </w:pPr>
      <w:r>
        <w:rPr>
          <w:color w:val="013161"/>
        </w:rPr>
        <w:t xml:space="preserve">7a. </w:t>
      </w:r>
      <w:r w:rsidRPr="00063B02">
        <w:rPr>
          <w:color w:val="013161"/>
        </w:rPr>
        <w:t xml:space="preserve">Child Abuse Prevention </w:t>
      </w:r>
      <w:r>
        <w:rPr>
          <w:color w:val="013161"/>
        </w:rPr>
        <w:t xml:space="preserve">Coordinating </w:t>
      </w:r>
      <w:r w:rsidRPr="00063B02">
        <w:rPr>
          <w:color w:val="013161"/>
        </w:rPr>
        <w:t>Council (CAP</w:t>
      </w:r>
      <w:r>
        <w:rPr>
          <w:color w:val="013161"/>
        </w:rPr>
        <w:t>C</w:t>
      </w:r>
      <w:r w:rsidRPr="00063B02">
        <w:rPr>
          <w:color w:val="013161"/>
        </w:rPr>
        <w:t xml:space="preserve">C) </w:t>
      </w:r>
    </w:p>
    <w:p w:rsidR="002B386D" w:rsidRDefault="005C0893" w:rsidP="00D86A11">
      <w:pPr>
        <w:pStyle w:val="Heading3"/>
        <w:spacing w:line="276" w:lineRule="auto"/>
        <w:rPr>
          <w:b w:val="0"/>
          <w:color w:val="auto"/>
          <w:sz w:val="22"/>
        </w:rPr>
      </w:pPr>
      <w:r>
        <w:rPr>
          <w:b w:val="0"/>
          <w:color w:val="auto"/>
          <w:sz w:val="22"/>
        </w:rPr>
        <w:t xml:space="preserve">The </w:t>
      </w:r>
      <w:r w:rsidR="002B386D">
        <w:rPr>
          <w:b w:val="0"/>
          <w:color w:val="auto"/>
          <w:sz w:val="22"/>
        </w:rPr>
        <w:t>Child Abuse Prevention Coordinating Council (</w:t>
      </w:r>
      <w:r>
        <w:rPr>
          <w:b w:val="0"/>
          <w:color w:val="auto"/>
          <w:sz w:val="22"/>
        </w:rPr>
        <w:t>CAPCC</w:t>
      </w:r>
      <w:r w:rsidR="002B386D">
        <w:rPr>
          <w:b w:val="0"/>
          <w:color w:val="auto"/>
          <w:sz w:val="22"/>
        </w:rPr>
        <w:t>)</w:t>
      </w:r>
      <w:r>
        <w:rPr>
          <w:b w:val="0"/>
          <w:color w:val="auto"/>
          <w:sz w:val="22"/>
        </w:rPr>
        <w:t xml:space="preserve"> is the </w:t>
      </w:r>
      <w:r w:rsidR="002B386D">
        <w:rPr>
          <w:b w:val="0"/>
          <w:color w:val="auto"/>
          <w:sz w:val="22"/>
        </w:rPr>
        <w:t xml:space="preserve">County appointed commission that carries out </w:t>
      </w:r>
      <w:r>
        <w:rPr>
          <w:b w:val="0"/>
          <w:color w:val="auto"/>
          <w:sz w:val="22"/>
        </w:rPr>
        <w:t>the child abuse prevention function</w:t>
      </w:r>
      <w:r w:rsidR="002B386D">
        <w:rPr>
          <w:b w:val="0"/>
          <w:color w:val="auto"/>
          <w:sz w:val="22"/>
        </w:rPr>
        <w:t xml:space="preserve">s and is charged with distribution of County Children’s Trust Funds for prevention services. </w:t>
      </w:r>
      <w:r w:rsidR="008669A2">
        <w:rPr>
          <w:b w:val="0"/>
          <w:color w:val="auto"/>
          <w:sz w:val="22"/>
        </w:rPr>
        <w:t xml:space="preserve">The CAPCC is an independent organization within county government.  </w:t>
      </w:r>
      <w:r w:rsidR="002B386D">
        <w:rPr>
          <w:b w:val="0"/>
          <w:color w:val="auto"/>
          <w:sz w:val="22"/>
        </w:rPr>
        <w:t xml:space="preserve">Some of the activities currently funded by the CAPCC include; Legal Services for youth and families, Media and Marketing campaigns and prevention services provided through the Community Services for Families (CSF) contracts countywide.  </w:t>
      </w:r>
      <w:r w:rsidR="008669A2">
        <w:rPr>
          <w:b w:val="0"/>
          <w:color w:val="auto"/>
          <w:sz w:val="22"/>
        </w:rPr>
        <w:t xml:space="preserve">CWS collects information about the programs and services funded under the CAPCC in a variety of ways, such as the CSA and SIP stakeholder meetings and quarterly CAPCC meetings in which there is an opportunity for public comment.  The information is published via the SIP progress report when appropriate, in the annual spending report and the contracted providers regularly present to the board about their programs.  </w:t>
      </w:r>
      <w:r w:rsidR="002B386D">
        <w:rPr>
          <w:b w:val="0"/>
          <w:color w:val="auto"/>
          <w:sz w:val="22"/>
        </w:rPr>
        <w:t>Services and activities are monitored by CWS contracts and the CAPCC coordinator. The County of San Diego does deposit a portion of its CBCAP allocation into the overall CCTF and therefore the CAPCC budget.</w:t>
      </w:r>
    </w:p>
    <w:p w:rsidR="008669A2" w:rsidRDefault="008669A2" w:rsidP="008669A2"/>
    <w:p w:rsidR="008669A2" w:rsidRPr="008669A2" w:rsidRDefault="008669A2" w:rsidP="008669A2">
      <w:pPr>
        <w:rPr>
          <w:rFonts w:ascii="Franklin Gothic Book" w:hAnsi="Franklin Gothic Book"/>
          <w:spacing w:val="20"/>
        </w:rPr>
      </w:pPr>
      <w:r>
        <w:rPr>
          <w:rFonts w:ascii="Franklin Gothic Book" w:hAnsi="Franklin Gothic Book"/>
          <w:spacing w:val="20"/>
        </w:rPr>
        <w:t xml:space="preserve">The PSSF Collaborative </w:t>
      </w:r>
      <w:r w:rsidR="00A0576F">
        <w:rPr>
          <w:rFonts w:ascii="Franklin Gothic Book" w:hAnsi="Franklin Gothic Book"/>
          <w:spacing w:val="20"/>
        </w:rPr>
        <w:t xml:space="preserve">operates through the CAPCC organization.  </w:t>
      </w:r>
    </w:p>
    <w:p w:rsidR="00A75AB8" w:rsidRDefault="005C0893" w:rsidP="00D86A11">
      <w:pPr>
        <w:pStyle w:val="Heading3"/>
        <w:spacing w:line="276" w:lineRule="auto"/>
        <w:rPr>
          <w:b w:val="0"/>
          <w:color w:val="auto"/>
          <w:sz w:val="22"/>
        </w:rPr>
      </w:pPr>
      <w:r>
        <w:rPr>
          <w:b w:val="0"/>
          <w:color w:val="auto"/>
          <w:sz w:val="22"/>
        </w:rPr>
        <w:t xml:space="preserve"> </w:t>
      </w:r>
      <w:r w:rsidR="00D86A11" w:rsidRPr="00020C05">
        <w:rPr>
          <w:b w:val="0"/>
          <w:color w:val="auto"/>
          <w:sz w:val="22"/>
        </w:rPr>
        <w:t xml:space="preserve">CAPIT/CBCAP/PSSF funded services for children at risk of abuse and neglect are referred by CWS social workers to the CSF program. </w:t>
      </w:r>
      <w:r w:rsidR="008669A2">
        <w:rPr>
          <w:b w:val="0"/>
          <w:color w:val="auto"/>
          <w:sz w:val="22"/>
        </w:rPr>
        <w:t xml:space="preserve">It should be noted that each funding stream provides services for appropriate classified and eligible families.  </w:t>
      </w:r>
      <w:r w:rsidR="00D86A11" w:rsidRPr="00020C05">
        <w:rPr>
          <w:b w:val="0"/>
          <w:color w:val="auto"/>
          <w:sz w:val="22"/>
        </w:rPr>
        <w:lastRenderedPageBreak/>
        <w:t xml:space="preserve">Referrals are prioritized and are based on the level of risk as determined by the CWS SDM risk assessment tool. Families that are found to have the highest risk level and an open CWS case are assigned first, second are those families referred by social workers, but do not have an open CWS case, and third, are community referred families. </w:t>
      </w:r>
      <w:r w:rsidR="00D86A11">
        <w:rPr>
          <w:b w:val="0"/>
          <w:color w:val="auto"/>
          <w:sz w:val="22"/>
        </w:rPr>
        <w:t xml:space="preserve"> </w:t>
      </w:r>
    </w:p>
    <w:p w:rsidR="00A75AB8" w:rsidRDefault="00A75AB8">
      <w:pPr>
        <w:spacing w:after="0" w:line="240" w:lineRule="auto"/>
        <w:rPr>
          <w:rFonts w:ascii="Franklin Gothic Book" w:hAnsi="Franklin Gothic Book"/>
          <w:color w:val="auto"/>
          <w:spacing w:val="20"/>
          <w:szCs w:val="24"/>
        </w:rPr>
      </w:pPr>
      <w:r>
        <w:rPr>
          <w:b/>
          <w:color w:val="auto"/>
        </w:rPr>
        <w:br w:type="page"/>
      </w:r>
    </w:p>
    <w:tbl>
      <w:tblPr>
        <w:tblW w:w="9529" w:type="dxa"/>
        <w:jc w:val="center"/>
        <w:tblCellMar>
          <w:top w:w="144" w:type="dxa"/>
          <w:left w:w="0" w:type="dxa"/>
          <w:bottom w:w="144" w:type="dxa"/>
          <w:right w:w="0" w:type="dxa"/>
        </w:tblCellMar>
        <w:tblLook w:val="04A0" w:firstRow="1" w:lastRow="0" w:firstColumn="1" w:lastColumn="0" w:noHBand="0" w:noVBand="1"/>
      </w:tblPr>
      <w:tblGrid>
        <w:gridCol w:w="9529"/>
      </w:tblGrid>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r w:rsidR="00D86A11" w:rsidRPr="00002D1D">
        <w:trPr>
          <w:trHeight w:val="70"/>
          <w:jc w:val="center"/>
        </w:trPr>
        <w:tc>
          <w:tcPr>
            <w:tcW w:w="0" w:type="auto"/>
            <w:shd w:val="clear" w:color="auto" w:fill="013161"/>
            <w:vAlign w:val="center"/>
          </w:tcPr>
          <w:p w:rsidR="000B1863" w:rsidRDefault="00D86A11">
            <w:pPr>
              <w:pStyle w:val="MediumGrid21"/>
              <w:numPr>
                <w:ilvl w:val="0"/>
                <w:numId w:val="17"/>
              </w:numPr>
              <w:jc w:val="center"/>
              <w:rPr>
                <w:rFonts w:ascii="Franklin Gothic Book" w:eastAsia="HGGothicM" w:hAnsi="Franklin Gothic Book" w:cs="Tahoma"/>
                <w:color w:val="FFFFFF"/>
                <w:sz w:val="48"/>
                <w:szCs w:val="72"/>
              </w:rPr>
            </w:pPr>
            <w:r>
              <w:rPr>
                <w:rFonts w:eastAsia="HGGothicM" w:cs="Calibri"/>
                <w:color w:val="FFFFFF"/>
                <w:sz w:val="44"/>
                <w:szCs w:val="64"/>
              </w:rPr>
              <w:t>Systemic Factors</w:t>
            </w:r>
          </w:p>
        </w:tc>
      </w:tr>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bl>
    <w:p w:rsidR="00D86A11" w:rsidRDefault="00D86A11" w:rsidP="00D86A11">
      <w:pPr>
        <w:rPr>
          <w:rFonts w:ascii="Franklin Gothic Book" w:hAnsi="Franklin Gothic Book"/>
          <w:color w:val="014589"/>
          <w:spacing w:val="20"/>
          <w:szCs w:val="28"/>
        </w:rPr>
      </w:pPr>
    </w:p>
    <w:p w:rsidR="00D86A11" w:rsidRPr="00063B02" w:rsidRDefault="00D86A11" w:rsidP="00D86A11">
      <w:pPr>
        <w:rPr>
          <w:rFonts w:ascii="Franklin Gothic Book" w:hAnsi="Franklin Gothic Book"/>
          <w:color w:val="auto"/>
          <w:spacing w:val="20"/>
          <w:szCs w:val="28"/>
        </w:rPr>
      </w:pPr>
      <w:r>
        <w:rPr>
          <w:rFonts w:ascii="Franklin Gothic Book" w:hAnsi="Franklin Gothic Book"/>
          <w:color w:val="auto"/>
          <w:spacing w:val="20"/>
          <w:szCs w:val="28"/>
        </w:rPr>
        <w:t xml:space="preserve">All seven systemic </w:t>
      </w:r>
      <w:r w:rsidRPr="00063B02">
        <w:rPr>
          <w:rFonts w:ascii="Franklin Gothic Book" w:hAnsi="Franklin Gothic Book"/>
          <w:color w:val="auto"/>
          <w:spacing w:val="20"/>
          <w:szCs w:val="28"/>
        </w:rPr>
        <w:t>factors were</w:t>
      </w:r>
      <w:r>
        <w:rPr>
          <w:rFonts w:ascii="Franklin Gothic Book" w:hAnsi="Franklin Gothic Book"/>
          <w:color w:val="auto"/>
          <w:spacing w:val="20"/>
          <w:szCs w:val="28"/>
        </w:rPr>
        <w:t xml:space="preserve"> reviewed and solicited input from stakeholders as part of the CSA process.</w:t>
      </w:r>
      <w:r w:rsidRPr="00063B02">
        <w:rPr>
          <w:rFonts w:ascii="Franklin Gothic Book" w:hAnsi="Franklin Gothic Book"/>
          <w:color w:val="auto"/>
          <w:spacing w:val="20"/>
          <w:szCs w:val="28"/>
        </w:rPr>
        <w:t xml:space="preserve"> This section reviews each of these factors in turn. </w:t>
      </w:r>
    </w:p>
    <w:p w:rsidR="00D86A11" w:rsidRPr="00063B02" w:rsidRDefault="00D86A11" w:rsidP="00D86A11">
      <w:pPr>
        <w:pStyle w:val="Heading1"/>
        <w:rPr>
          <w:color w:val="013161"/>
        </w:rPr>
      </w:pPr>
      <w:r w:rsidRPr="00063B02">
        <w:rPr>
          <w:color w:val="013161"/>
        </w:rPr>
        <w:t>1. Management Information System</w:t>
      </w:r>
      <w:r>
        <w:rPr>
          <w:color w:val="013161"/>
        </w:rPr>
        <w:t xml:space="preserve"> (MIS)</w:t>
      </w:r>
      <w:r w:rsidRPr="00063B02">
        <w:rPr>
          <w:color w:val="013161"/>
        </w:rPr>
        <w:t xml:space="preserve"> </w:t>
      </w:r>
    </w:p>
    <w:p w:rsidR="00D86A11" w:rsidRDefault="00D86A11" w:rsidP="00D86A11">
      <w:pPr>
        <w:pStyle w:val="Heading2"/>
        <w:rPr>
          <w:color w:val="F6872B"/>
        </w:rPr>
      </w:pPr>
      <w:r w:rsidRPr="00063B02">
        <w:rPr>
          <w:color w:val="F6872B"/>
        </w:rPr>
        <w:t>Child Welfare Services Technology Level</w:t>
      </w:r>
    </w:p>
    <w:p w:rsidR="00D86A11" w:rsidRPr="00284E99" w:rsidRDefault="00D86A11" w:rsidP="00D86A11">
      <w:pPr>
        <w:autoSpaceDE w:val="0"/>
        <w:autoSpaceDN w:val="0"/>
        <w:spacing w:line="240" w:lineRule="auto"/>
        <w:rPr>
          <w:rFonts w:ascii="Franklin Gothic Book" w:hAnsi="Franklin Gothic Book"/>
          <w:color w:val="014589"/>
          <w:spacing w:val="20"/>
          <w:sz w:val="2"/>
          <w:szCs w:val="28"/>
        </w:rPr>
      </w:pPr>
    </w:p>
    <w:p w:rsidR="00D86A11" w:rsidRPr="00F01A27" w:rsidRDefault="00D86A11" w:rsidP="00D86A11">
      <w:pPr>
        <w:pStyle w:val="Heading3"/>
        <w:spacing w:line="276" w:lineRule="auto"/>
        <w:rPr>
          <w:b w:val="0"/>
          <w:color w:val="auto"/>
          <w:sz w:val="22"/>
        </w:rPr>
      </w:pPr>
      <w:r w:rsidRPr="00F01A27">
        <w:rPr>
          <w:b w:val="0"/>
          <w:color w:val="auto"/>
          <w:sz w:val="22"/>
        </w:rPr>
        <w:t xml:space="preserve">The hardware listed below facilitates the provision of services by social workers by simplifying access to resources and data entry. </w:t>
      </w:r>
    </w:p>
    <w:p w:rsidR="00D86A11" w:rsidRPr="00F01A27" w:rsidRDefault="00D86A11" w:rsidP="00D86A11">
      <w:pPr>
        <w:numPr>
          <w:ilvl w:val="0"/>
          <w:numId w:val="16"/>
        </w:numPr>
        <w:spacing w:before="120" w:after="0"/>
        <w:ind w:right="130"/>
        <w:rPr>
          <w:rFonts w:ascii="Franklin Gothic Book" w:hAnsi="Franklin Gothic Book"/>
          <w:color w:val="auto"/>
          <w:spacing w:val="20"/>
          <w:szCs w:val="28"/>
        </w:rPr>
      </w:pPr>
      <w:r w:rsidRPr="00F01A27">
        <w:rPr>
          <w:rFonts w:ascii="Franklin Gothic Book" w:hAnsi="Franklin Gothic Book"/>
          <w:color w:val="auto"/>
          <w:spacing w:val="20"/>
          <w:szCs w:val="28"/>
        </w:rPr>
        <w:t>462 desktop computers</w:t>
      </w:r>
    </w:p>
    <w:p w:rsidR="00D86A11" w:rsidRPr="00F01A27" w:rsidRDefault="00D86A11" w:rsidP="00D86A11">
      <w:pPr>
        <w:numPr>
          <w:ilvl w:val="0"/>
          <w:numId w:val="16"/>
        </w:numPr>
        <w:spacing w:before="120" w:after="0"/>
        <w:ind w:right="130"/>
        <w:rPr>
          <w:rFonts w:ascii="Franklin Gothic Book" w:hAnsi="Franklin Gothic Book"/>
          <w:color w:val="auto"/>
          <w:spacing w:val="20"/>
          <w:szCs w:val="28"/>
        </w:rPr>
      </w:pPr>
      <w:r w:rsidRPr="00F01A27">
        <w:rPr>
          <w:rFonts w:ascii="Franklin Gothic Book" w:hAnsi="Franklin Gothic Book"/>
          <w:color w:val="auto"/>
          <w:spacing w:val="20"/>
          <w:szCs w:val="28"/>
        </w:rPr>
        <w:t>863 laptops</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F01A27">
        <w:rPr>
          <w:rFonts w:ascii="Franklin Gothic Book" w:hAnsi="Franklin Gothic Book"/>
          <w:color w:val="auto"/>
          <w:spacing w:val="20"/>
          <w:szCs w:val="28"/>
        </w:rPr>
        <w:t>462 Desktop computers; that have the capability for secure wireless remote connectivity to the County’s network and the CWS/CMS Application. The laptops are also used by CWS court officers to document court related activities that are then recorded into the CWS/CMS Application. With these laptops, staff have the added ability to use:</w:t>
      </w:r>
    </w:p>
    <w:p w:rsidR="00D86A11" w:rsidRPr="00F01A27" w:rsidRDefault="00D86A11" w:rsidP="00D86A11">
      <w:pPr>
        <w:numPr>
          <w:ilvl w:val="1"/>
          <w:numId w:val="16"/>
        </w:numPr>
        <w:spacing w:before="120" w:after="0"/>
        <w:ind w:right="130"/>
        <w:rPr>
          <w:rFonts w:ascii="Franklin Gothic Book" w:hAnsi="Franklin Gothic Book"/>
          <w:color w:val="auto"/>
          <w:spacing w:val="20"/>
          <w:szCs w:val="28"/>
        </w:rPr>
      </w:pPr>
      <w:r w:rsidRPr="00F01A27">
        <w:rPr>
          <w:rFonts w:ascii="Franklin Gothic Book" w:hAnsi="Franklin Gothic Book"/>
          <w:color w:val="auto"/>
          <w:spacing w:val="20"/>
          <w:szCs w:val="28"/>
        </w:rPr>
        <w:t>Camera/video</w:t>
      </w:r>
    </w:p>
    <w:p w:rsidR="00D86A11" w:rsidRPr="00F01A27" w:rsidRDefault="00D86A11" w:rsidP="00D86A11">
      <w:pPr>
        <w:numPr>
          <w:ilvl w:val="1"/>
          <w:numId w:val="16"/>
        </w:numPr>
        <w:spacing w:before="120" w:after="0"/>
        <w:ind w:right="130"/>
        <w:rPr>
          <w:rFonts w:ascii="Franklin Gothic Book" w:hAnsi="Franklin Gothic Book"/>
          <w:color w:val="auto"/>
          <w:spacing w:val="20"/>
          <w:szCs w:val="28"/>
        </w:rPr>
      </w:pPr>
      <w:r w:rsidRPr="00F01A27">
        <w:rPr>
          <w:rFonts w:ascii="Franklin Gothic Book" w:hAnsi="Franklin Gothic Book"/>
          <w:color w:val="auto"/>
          <w:spacing w:val="20"/>
          <w:szCs w:val="28"/>
        </w:rPr>
        <w:t>Dictation software</w:t>
      </w:r>
    </w:p>
    <w:p w:rsidR="00D86A11" w:rsidRPr="00D5791A" w:rsidRDefault="00D86A11" w:rsidP="00D86A11">
      <w:pPr>
        <w:spacing w:before="240"/>
        <w:rPr>
          <w:szCs w:val="22"/>
        </w:rPr>
      </w:pPr>
      <w:r w:rsidRPr="00621E9A">
        <w:rPr>
          <w:rFonts w:ascii="Franklin Gothic Book" w:hAnsi="Franklin Gothic Book"/>
          <w:color w:val="auto"/>
          <w:spacing w:val="20"/>
          <w:szCs w:val="28"/>
        </w:rPr>
        <w:t>In addition, the County uses the software listed below:</w:t>
      </w:r>
    </w:p>
    <w:p w:rsidR="00D86A11" w:rsidRPr="003A5CFA" w:rsidRDefault="00D86A11" w:rsidP="00D86A11">
      <w:pPr>
        <w:numPr>
          <w:ilvl w:val="0"/>
          <w:numId w:val="16"/>
        </w:numPr>
        <w:spacing w:before="120" w:after="0"/>
        <w:ind w:right="130"/>
        <w:rPr>
          <w:rFonts w:ascii="Franklin Gothic Book" w:hAnsi="Franklin Gothic Book"/>
          <w:color w:val="auto"/>
          <w:spacing w:val="20"/>
          <w:szCs w:val="28"/>
        </w:rPr>
      </w:pPr>
      <w:r w:rsidRPr="003A5CFA">
        <w:rPr>
          <w:rFonts w:ascii="Franklin Gothic Book" w:hAnsi="Franklin Gothic Book"/>
          <w:b/>
          <w:color w:val="auto"/>
          <w:spacing w:val="20"/>
          <w:szCs w:val="28"/>
        </w:rPr>
        <w:t>Business Objects:</w:t>
      </w:r>
      <w:r w:rsidRPr="003A5CFA">
        <w:rPr>
          <w:rFonts w:ascii="Franklin Gothic Book" w:hAnsi="Franklin Gothic Book"/>
          <w:color w:val="auto"/>
          <w:spacing w:val="20"/>
          <w:szCs w:val="28"/>
        </w:rPr>
        <w:t xml:space="preserve"> (Nine licenses) Business Objects (BO) is an Administrative tool that allows queries to be run on data that is originated in the CWS/CMS Application. The data output can be used to generate trends, identify problem areas, areas needing improvement, and measures what the users are excelling in. Data reports are created from BO and assists with ongoing monitoring of SIP strategies and program performance. An ongoing challenge has been the outdated nature of the CWS/CMS system. This is an issue CDSS is currently working on including the development of a web-based system that allows greater versatility in ability to work with the data. </w:t>
      </w:r>
      <w:r w:rsidRPr="003A5CFA">
        <w:rPr>
          <w:color w:val="FF0000"/>
        </w:rPr>
        <w:t xml:space="preserve"> </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E05BF6">
        <w:rPr>
          <w:rFonts w:ascii="Franklin Gothic Book" w:hAnsi="Franklin Gothic Book"/>
          <w:b/>
          <w:color w:val="auto"/>
          <w:spacing w:val="20"/>
          <w:szCs w:val="28"/>
        </w:rPr>
        <w:t>SafeMeasures:</w:t>
      </w:r>
      <w:r w:rsidRPr="00621E9A">
        <w:rPr>
          <w:rFonts w:ascii="Franklin Gothic Book" w:hAnsi="Franklin Gothic Book"/>
          <w:color w:val="auto"/>
          <w:spacing w:val="20"/>
          <w:szCs w:val="28"/>
        </w:rPr>
        <w:t xml:space="preserve"> This program has 1051 users and allows social work line staff, supervisors and managers to see compliance measures countywide, within their Region and for their individual units of workers and caseloads</w:t>
      </w:r>
      <w:r>
        <w:rPr>
          <w:rFonts w:ascii="Franklin Gothic Book" w:hAnsi="Franklin Gothic Book"/>
          <w:color w:val="auto"/>
          <w:spacing w:val="20"/>
          <w:szCs w:val="28"/>
        </w:rPr>
        <w:t xml:space="preserve">. </w:t>
      </w:r>
      <w:r w:rsidRPr="00621E9A">
        <w:rPr>
          <w:rFonts w:ascii="Franklin Gothic Book" w:hAnsi="Franklin Gothic Book"/>
          <w:color w:val="auto"/>
          <w:spacing w:val="20"/>
          <w:szCs w:val="28"/>
        </w:rPr>
        <w:t>It is also used to provide staff with alerts to any children in proximity to major disasters or events</w:t>
      </w:r>
      <w:r>
        <w:rPr>
          <w:rFonts w:ascii="Franklin Gothic Book" w:hAnsi="Franklin Gothic Book"/>
          <w:color w:val="auto"/>
          <w:spacing w:val="20"/>
          <w:szCs w:val="28"/>
        </w:rPr>
        <w:t xml:space="preserve">. </w:t>
      </w:r>
      <w:r w:rsidRPr="00621E9A">
        <w:rPr>
          <w:rFonts w:ascii="Franklin Gothic Book" w:hAnsi="Franklin Gothic Book"/>
          <w:color w:val="auto"/>
          <w:spacing w:val="20"/>
          <w:szCs w:val="28"/>
        </w:rPr>
        <w:t xml:space="preserve">SafeMeasures is used from line workers to managers to monitor compliance and performance on outcomes. This information allows for workers to manage the priorities in their workload. </w:t>
      </w:r>
    </w:p>
    <w:p w:rsidR="00D86A11" w:rsidRPr="00202EFA" w:rsidRDefault="00D86A11" w:rsidP="00D86A11">
      <w:pPr>
        <w:numPr>
          <w:ilvl w:val="0"/>
          <w:numId w:val="16"/>
        </w:numPr>
        <w:spacing w:before="120" w:after="0"/>
        <w:ind w:right="130"/>
        <w:rPr>
          <w:rFonts w:ascii="Franklin Gothic Book" w:hAnsi="Franklin Gothic Book"/>
          <w:color w:val="auto"/>
          <w:spacing w:val="20"/>
          <w:szCs w:val="28"/>
        </w:rPr>
      </w:pPr>
      <w:r w:rsidRPr="00621E9A">
        <w:rPr>
          <w:rFonts w:ascii="Franklin Gothic Book" w:hAnsi="Franklin Gothic Book"/>
          <w:color w:val="auto"/>
          <w:spacing w:val="20"/>
          <w:szCs w:val="28"/>
        </w:rPr>
        <w:lastRenderedPageBreak/>
        <w:t xml:space="preserve">CWS use of a </w:t>
      </w:r>
      <w:r w:rsidRPr="00E05BF6">
        <w:rPr>
          <w:rFonts w:ascii="Franklin Gothic Book" w:hAnsi="Franklin Gothic Book"/>
          <w:b/>
          <w:color w:val="auto"/>
          <w:spacing w:val="20"/>
          <w:szCs w:val="28"/>
        </w:rPr>
        <w:t>Geographic Information System (GIS</w:t>
      </w:r>
      <w:r w:rsidRPr="00E05BF6">
        <w:rPr>
          <w:rFonts w:ascii="Franklin Gothic Book" w:hAnsi="Franklin Gothic Book"/>
          <w:color w:val="auto"/>
          <w:spacing w:val="20"/>
          <w:szCs w:val="28"/>
        </w:rPr>
        <w:t>)</w:t>
      </w:r>
      <w:r w:rsidRPr="00621E9A">
        <w:rPr>
          <w:rFonts w:ascii="Franklin Gothic Book" w:hAnsi="Franklin Gothic Book"/>
          <w:color w:val="auto"/>
          <w:spacing w:val="20"/>
          <w:szCs w:val="28"/>
        </w:rPr>
        <w:t xml:space="preserve"> consists of various GIS applications, hardware, software and personnel. HHSA GIS personnel have been using ESRI ArcGIS software to map child welfare services data on an ad hoc basis for program planning and service delivery. GIS data is provided to the Children’s Initiative, a nonprofit child advocacy agency in </w:t>
      </w:r>
      <w:r>
        <w:rPr>
          <w:rFonts w:ascii="Franklin Gothic Book" w:hAnsi="Franklin Gothic Book"/>
          <w:color w:val="auto"/>
          <w:spacing w:val="20"/>
          <w:szCs w:val="28"/>
        </w:rPr>
        <w:t>San Diego, to incorporate into t</w:t>
      </w:r>
      <w:r w:rsidRPr="00621E9A">
        <w:rPr>
          <w:rFonts w:ascii="Franklin Gothic Book" w:hAnsi="Franklin Gothic Book"/>
          <w:color w:val="auto"/>
          <w:spacing w:val="20"/>
          <w:szCs w:val="28"/>
        </w:rPr>
        <w:t>he</w:t>
      </w:r>
      <w:r>
        <w:rPr>
          <w:rFonts w:ascii="Franklin Gothic Book" w:hAnsi="Franklin Gothic Book"/>
          <w:color w:val="auto"/>
          <w:spacing w:val="20"/>
          <w:szCs w:val="28"/>
        </w:rPr>
        <w:t xml:space="preserve"> County of</w:t>
      </w:r>
      <w:r w:rsidRPr="00621E9A">
        <w:rPr>
          <w:rFonts w:ascii="Franklin Gothic Book" w:hAnsi="Franklin Gothic Book"/>
          <w:color w:val="auto"/>
          <w:spacing w:val="20"/>
          <w:szCs w:val="28"/>
        </w:rPr>
        <w:t xml:space="preserve"> San Diego Report Card on Children and Families, which it produces biennially. </w:t>
      </w:r>
      <w:r w:rsidRPr="00202EFA">
        <w:rPr>
          <w:rFonts w:ascii="Franklin Gothic Book" w:hAnsi="Franklin Gothic Book"/>
          <w:color w:val="auto"/>
          <w:spacing w:val="20"/>
          <w:szCs w:val="28"/>
        </w:rPr>
        <w:t>GIS is also used to produce maps for the Native American project with the California Disproportionality Project and the Fairness and Equity meetings.</w:t>
      </w:r>
    </w:p>
    <w:p w:rsidR="00D86A11" w:rsidRPr="00202EFA" w:rsidRDefault="00D86A11" w:rsidP="00D86A11">
      <w:pPr>
        <w:spacing w:before="240"/>
        <w:rPr>
          <w:rFonts w:ascii="Franklin Gothic Book" w:hAnsi="Franklin Gothic Book"/>
          <w:color w:val="auto"/>
          <w:spacing w:val="20"/>
          <w:szCs w:val="28"/>
        </w:rPr>
      </w:pPr>
      <w:r w:rsidRPr="00621E9A">
        <w:rPr>
          <w:rFonts w:ascii="Franklin Gothic Book" w:hAnsi="Franklin Gothic Book"/>
          <w:color w:val="auto"/>
          <w:spacing w:val="20"/>
          <w:szCs w:val="28"/>
        </w:rPr>
        <w:t xml:space="preserve">Other software/applications used in the County are as follows: </w:t>
      </w:r>
    </w:p>
    <w:p w:rsidR="00D86A11" w:rsidRDefault="00D86A11" w:rsidP="00D86A11">
      <w:pPr>
        <w:numPr>
          <w:ilvl w:val="0"/>
          <w:numId w:val="10"/>
        </w:numPr>
        <w:autoSpaceDE w:val="0"/>
        <w:autoSpaceDN w:val="0"/>
        <w:spacing w:after="0" w:line="240" w:lineRule="auto"/>
        <w:rPr>
          <w:rFonts w:ascii="Franklin Gothic Book" w:hAnsi="Franklin Gothic Book"/>
          <w:color w:val="auto"/>
          <w:spacing w:val="20"/>
          <w:szCs w:val="28"/>
        </w:rPr>
      </w:pPr>
      <w:r w:rsidRPr="00621E9A">
        <w:rPr>
          <w:rFonts w:ascii="Franklin Gothic Book" w:hAnsi="Franklin Gothic Book"/>
          <w:b/>
          <w:color w:val="auto"/>
          <w:spacing w:val="20"/>
          <w:szCs w:val="28"/>
        </w:rPr>
        <w:t>Computer Based Training</w:t>
      </w:r>
      <w:r w:rsidRPr="00621E9A">
        <w:rPr>
          <w:rFonts w:ascii="Franklin Gothic Book" w:hAnsi="Franklin Gothic Book"/>
          <w:color w:val="auto"/>
          <w:spacing w:val="20"/>
          <w:szCs w:val="28"/>
        </w:rPr>
        <w:t>: Statewide, online training is available in the STAR application at the State CWS/CMS website</w:t>
      </w:r>
      <w:r>
        <w:rPr>
          <w:rFonts w:ascii="Franklin Gothic Book" w:hAnsi="Franklin Gothic Book"/>
          <w:color w:val="auto"/>
          <w:spacing w:val="20"/>
          <w:szCs w:val="28"/>
        </w:rPr>
        <w:t xml:space="preserve">. </w:t>
      </w:r>
    </w:p>
    <w:p w:rsidR="00D86A11" w:rsidRPr="00621E9A" w:rsidRDefault="00D86A11" w:rsidP="00D86A11">
      <w:pPr>
        <w:autoSpaceDE w:val="0"/>
        <w:autoSpaceDN w:val="0"/>
        <w:spacing w:after="0" w:line="240" w:lineRule="auto"/>
        <w:ind w:left="810"/>
        <w:rPr>
          <w:rFonts w:ascii="Franklin Gothic Book" w:hAnsi="Franklin Gothic Book"/>
          <w:color w:val="auto"/>
          <w:spacing w:val="20"/>
          <w:szCs w:val="28"/>
        </w:rPr>
      </w:pPr>
    </w:p>
    <w:p w:rsidR="00D86A11" w:rsidRPr="00621E9A" w:rsidRDefault="00D86A11" w:rsidP="00D86A11">
      <w:pPr>
        <w:numPr>
          <w:ilvl w:val="0"/>
          <w:numId w:val="10"/>
        </w:numPr>
        <w:autoSpaceDE w:val="0"/>
        <w:autoSpaceDN w:val="0"/>
        <w:spacing w:after="0" w:line="240" w:lineRule="auto"/>
        <w:rPr>
          <w:rFonts w:ascii="Franklin Gothic Book" w:hAnsi="Franklin Gothic Book"/>
          <w:color w:val="auto"/>
          <w:spacing w:val="20"/>
          <w:szCs w:val="28"/>
        </w:rPr>
      </w:pPr>
      <w:r w:rsidRPr="00621E9A">
        <w:rPr>
          <w:rFonts w:ascii="Franklin Gothic Book" w:hAnsi="Franklin Gothic Book"/>
          <w:b/>
          <w:color w:val="auto"/>
          <w:spacing w:val="20"/>
          <w:szCs w:val="28"/>
        </w:rPr>
        <w:t>Training Region</w:t>
      </w:r>
      <w:r w:rsidRPr="00621E9A">
        <w:rPr>
          <w:rFonts w:ascii="Franklin Gothic Book" w:hAnsi="Franklin Gothic Book"/>
          <w:color w:val="auto"/>
          <w:spacing w:val="20"/>
          <w:szCs w:val="28"/>
        </w:rPr>
        <w:t>: A State supported CWS/CMS computer system that is identical to the actual application that allows social workers to practice using the system before they are assigned actual cases</w:t>
      </w:r>
      <w:r>
        <w:rPr>
          <w:rFonts w:ascii="Franklin Gothic Book" w:hAnsi="Franklin Gothic Book"/>
          <w:color w:val="auto"/>
          <w:spacing w:val="20"/>
          <w:szCs w:val="28"/>
        </w:rPr>
        <w:t xml:space="preserve">. </w:t>
      </w:r>
    </w:p>
    <w:p w:rsidR="00D86A11" w:rsidRPr="00621E9A" w:rsidRDefault="00D86A11" w:rsidP="00D86A11">
      <w:pPr>
        <w:autoSpaceDE w:val="0"/>
        <w:autoSpaceDN w:val="0"/>
        <w:spacing w:after="0" w:line="240" w:lineRule="auto"/>
        <w:ind w:left="810"/>
        <w:rPr>
          <w:rFonts w:ascii="Franklin Gothic Book" w:hAnsi="Franklin Gothic Book"/>
          <w:color w:val="auto"/>
          <w:spacing w:val="20"/>
          <w:szCs w:val="28"/>
        </w:rPr>
      </w:pPr>
    </w:p>
    <w:p w:rsidR="00D86A11" w:rsidRDefault="00D86A11" w:rsidP="00D86A11">
      <w:pPr>
        <w:numPr>
          <w:ilvl w:val="0"/>
          <w:numId w:val="10"/>
        </w:numPr>
        <w:autoSpaceDE w:val="0"/>
        <w:autoSpaceDN w:val="0"/>
        <w:spacing w:after="0" w:line="240" w:lineRule="auto"/>
        <w:rPr>
          <w:rFonts w:ascii="Franklin Gothic Book" w:hAnsi="Franklin Gothic Book"/>
          <w:color w:val="auto"/>
          <w:spacing w:val="20"/>
          <w:szCs w:val="28"/>
        </w:rPr>
      </w:pPr>
      <w:r w:rsidRPr="00621E9A">
        <w:rPr>
          <w:rFonts w:ascii="Franklin Gothic Book" w:hAnsi="Franklin Gothic Book"/>
          <w:b/>
          <w:color w:val="auto"/>
          <w:spacing w:val="20"/>
          <w:szCs w:val="28"/>
        </w:rPr>
        <w:t>Scenario Manager:</w:t>
      </w:r>
      <w:r w:rsidRPr="00621E9A">
        <w:rPr>
          <w:rFonts w:ascii="Franklin Gothic Book" w:hAnsi="Franklin Gothic Book"/>
          <w:color w:val="auto"/>
          <w:spacing w:val="20"/>
          <w:szCs w:val="28"/>
        </w:rPr>
        <w:t xml:space="preserve"> This is a practice training program that contains fictional names, referrals and cases and provides a realistic CWS/CMS training scenario</w:t>
      </w:r>
      <w:r>
        <w:rPr>
          <w:rFonts w:ascii="Franklin Gothic Book" w:hAnsi="Franklin Gothic Book"/>
          <w:color w:val="auto"/>
          <w:spacing w:val="20"/>
          <w:szCs w:val="28"/>
        </w:rPr>
        <w:t xml:space="preserve">. </w:t>
      </w:r>
    </w:p>
    <w:p w:rsidR="00D86A11" w:rsidRPr="00621E9A" w:rsidRDefault="00D86A11" w:rsidP="00D86A11">
      <w:pPr>
        <w:autoSpaceDE w:val="0"/>
        <w:autoSpaceDN w:val="0"/>
        <w:spacing w:after="0" w:line="240" w:lineRule="auto"/>
        <w:ind w:left="810"/>
        <w:rPr>
          <w:rFonts w:ascii="Franklin Gothic Book" w:hAnsi="Franklin Gothic Book"/>
          <w:color w:val="auto"/>
          <w:spacing w:val="20"/>
          <w:szCs w:val="28"/>
        </w:rPr>
      </w:pPr>
    </w:p>
    <w:p w:rsidR="00D86A11" w:rsidRPr="00621E9A" w:rsidRDefault="00D86A11" w:rsidP="00D86A11">
      <w:pPr>
        <w:autoSpaceDE w:val="0"/>
        <w:autoSpaceDN w:val="0"/>
        <w:rPr>
          <w:rFonts w:ascii="Franklin Gothic Book" w:hAnsi="Franklin Gothic Book"/>
          <w:color w:val="auto"/>
          <w:spacing w:val="20"/>
          <w:szCs w:val="28"/>
        </w:rPr>
      </w:pPr>
      <w:r w:rsidRPr="00621E9A">
        <w:rPr>
          <w:rFonts w:ascii="Franklin Gothic Book" w:hAnsi="Franklin Gothic Book"/>
          <w:color w:val="auto"/>
          <w:spacing w:val="20"/>
          <w:szCs w:val="28"/>
        </w:rPr>
        <w:t>For all above listed software/applications, real time access to training enhances the ability of staff to understand their job function and the tools they need to deliver their services.</w:t>
      </w:r>
    </w:p>
    <w:p w:rsidR="00D86A11" w:rsidRPr="00621E9A" w:rsidRDefault="00D86A11" w:rsidP="00D86A11">
      <w:pPr>
        <w:autoSpaceDE w:val="0"/>
        <w:autoSpaceDN w:val="0"/>
        <w:spacing w:before="120"/>
        <w:rPr>
          <w:rFonts w:ascii="Franklin Gothic Book" w:hAnsi="Franklin Gothic Book"/>
          <w:b/>
          <w:color w:val="auto"/>
          <w:spacing w:val="20"/>
          <w:szCs w:val="28"/>
        </w:rPr>
      </w:pPr>
      <w:r w:rsidRPr="00621E9A">
        <w:rPr>
          <w:rFonts w:ascii="Franklin Gothic Book" w:hAnsi="Franklin Gothic Book"/>
          <w:b/>
          <w:color w:val="auto"/>
          <w:spacing w:val="20"/>
          <w:szCs w:val="28"/>
        </w:rPr>
        <w:t>CWS Intranet</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480A80">
        <w:rPr>
          <w:rFonts w:ascii="Franklin Gothic Book" w:hAnsi="Franklin Gothic Book"/>
          <w:b/>
          <w:color w:val="auto"/>
          <w:spacing w:val="20"/>
          <w:szCs w:val="28"/>
        </w:rPr>
        <w:t>Policy Manual:</w:t>
      </w:r>
      <w:r w:rsidRPr="00621E9A">
        <w:rPr>
          <w:rFonts w:ascii="Franklin Gothic Book" w:hAnsi="Franklin Gothic Book"/>
          <w:color w:val="auto"/>
          <w:spacing w:val="20"/>
          <w:szCs w:val="28"/>
        </w:rPr>
        <w:t xml:space="preserve"> An intranet based site that lists CWS policies and procedures for every aspect of Child Welfare Services</w:t>
      </w:r>
      <w:r>
        <w:rPr>
          <w:rFonts w:ascii="Franklin Gothic Book" w:hAnsi="Franklin Gothic Book"/>
          <w:color w:val="auto"/>
          <w:spacing w:val="20"/>
          <w:szCs w:val="28"/>
        </w:rPr>
        <w:t xml:space="preserve">. </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480A80">
        <w:rPr>
          <w:rFonts w:ascii="Franklin Gothic Book" w:hAnsi="Franklin Gothic Book"/>
          <w:b/>
          <w:color w:val="auto"/>
          <w:spacing w:val="20"/>
          <w:szCs w:val="28"/>
        </w:rPr>
        <w:t>Desk Guide</w:t>
      </w:r>
      <w:r w:rsidRPr="00480A80">
        <w:rPr>
          <w:rFonts w:ascii="Franklin Gothic Book" w:hAnsi="Franklin Gothic Book"/>
          <w:color w:val="auto"/>
          <w:spacing w:val="20"/>
          <w:szCs w:val="28"/>
        </w:rPr>
        <w:t xml:space="preserve">: </w:t>
      </w:r>
      <w:r w:rsidRPr="00621E9A">
        <w:rPr>
          <w:rFonts w:ascii="Franklin Gothic Book" w:hAnsi="Franklin Gothic Book"/>
          <w:color w:val="auto"/>
          <w:spacing w:val="20"/>
          <w:szCs w:val="28"/>
        </w:rPr>
        <w:t>An intranet based site that lists specific procedures for the use of the CWS/CMS application</w:t>
      </w:r>
      <w:r>
        <w:rPr>
          <w:rFonts w:ascii="Franklin Gothic Book" w:hAnsi="Franklin Gothic Book"/>
          <w:color w:val="auto"/>
          <w:spacing w:val="20"/>
          <w:szCs w:val="28"/>
        </w:rPr>
        <w:t xml:space="preserve">. </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480A80">
        <w:rPr>
          <w:rFonts w:ascii="Franklin Gothic Book" w:hAnsi="Franklin Gothic Book"/>
          <w:b/>
          <w:color w:val="auto"/>
          <w:spacing w:val="20"/>
          <w:szCs w:val="28"/>
        </w:rPr>
        <w:t>Resource Guide:</w:t>
      </w:r>
      <w:r w:rsidRPr="00621E9A">
        <w:rPr>
          <w:rFonts w:ascii="Franklin Gothic Book" w:hAnsi="Franklin Gothic Book"/>
          <w:color w:val="auto"/>
          <w:spacing w:val="20"/>
          <w:szCs w:val="28"/>
        </w:rPr>
        <w:t xml:space="preserve"> An intranet based site that provides information to assist staff with service delivery to clients</w:t>
      </w:r>
      <w:r>
        <w:rPr>
          <w:rFonts w:ascii="Franklin Gothic Book" w:hAnsi="Franklin Gothic Book"/>
          <w:color w:val="auto"/>
          <w:spacing w:val="20"/>
          <w:szCs w:val="28"/>
        </w:rPr>
        <w:t xml:space="preserve">. </w:t>
      </w:r>
    </w:p>
    <w:p w:rsidR="00D86A11" w:rsidRPr="00621E9A" w:rsidRDefault="00D86A11" w:rsidP="00D86A11">
      <w:pPr>
        <w:autoSpaceDE w:val="0"/>
        <w:autoSpaceDN w:val="0"/>
        <w:spacing w:after="0" w:line="240" w:lineRule="auto"/>
        <w:ind w:left="720"/>
        <w:rPr>
          <w:rFonts w:ascii="Franklin Gothic Book" w:hAnsi="Franklin Gothic Book"/>
          <w:color w:val="auto"/>
          <w:spacing w:val="20"/>
          <w:szCs w:val="28"/>
        </w:rPr>
      </w:pPr>
    </w:p>
    <w:p w:rsidR="00D86A11" w:rsidRPr="0029143C" w:rsidRDefault="00D86A11" w:rsidP="00D86A11">
      <w:pPr>
        <w:autoSpaceDE w:val="0"/>
        <w:autoSpaceDN w:val="0"/>
        <w:rPr>
          <w:rFonts w:ascii="Franklin Gothic Book" w:hAnsi="Franklin Gothic Book"/>
          <w:color w:val="auto"/>
          <w:spacing w:val="20"/>
          <w:szCs w:val="28"/>
        </w:rPr>
      </w:pPr>
      <w:r w:rsidRPr="00621E9A">
        <w:rPr>
          <w:rFonts w:ascii="Franklin Gothic Book" w:hAnsi="Franklin Gothic Book"/>
          <w:color w:val="auto"/>
          <w:spacing w:val="20"/>
          <w:szCs w:val="28"/>
        </w:rPr>
        <w:t xml:space="preserve">For all listed programs on the intranet, real time access to policies and procedures enhance the ability of staff to understand their job function and the tools they </w:t>
      </w:r>
      <w:r>
        <w:rPr>
          <w:rFonts w:ascii="Franklin Gothic Book" w:hAnsi="Franklin Gothic Book"/>
          <w:color w:val="auto"/>
          <w:spacing w:val="20"/>
          <w:szCs w:val="28"/>
        </w:rPr>
        <w:t>need to deliver their services.</w:t>
      </w:r>
    </w:p>
    <w:p w:rsidR="00D86A11" w:rsidRPr="00621E9A" w:rsidRDefault="00D86A11" w:rsidP="00D86A11">
      <w:pPr>
        <w:autoSpaceDE w:val="0"/>
        <w:autoSpaceDN w:val="0"/>
        <w:spacing w:before="120"/>
        <w:rPr>
          <w:rFonts w:ascii="Franklin Gothic Book" w:hAnsi="Franklin Gothic Book"/>
          <w:b/>
          <w:color w:val="auto"/>
          <w:spacing w:val="20"/>
          <w:szCs w:val="28"/>
        </w:rPr>
      </w:pPr>
      <w:r>
        <w:rPr>
          <w:rFonts w:ascii="Franklin Gothic Book" w:hAnsi="Franklin Gothic Book"/>
          <w:b/>
          <w:color w:val="auto"/>
          <w:spacing w:val="20"/>
          <w:szCs w:val="28"/>
        </w:rPr>
        <w:t>Other systems used to support CWS work</w:t>
      </w:r>
    </w:p>
    <w:p w:rsidR="00D86A11" w:rsidRPr="002B308F" w:rsidRDefault="00D86A11" w:rsidP="00D86A11">
      <w:pPr>
        <w:numPr>
          <w:ilvl w:val="0"/>
          <w:numId w:val="16"/>
        </w:numPr>
        <w:spacing w:before="120" w:after="0"/>
        <w:ind w:right="130"/>
        <w:rPr>
          <w:rFonts w:ascii="Franklin Gothic Book" w:hAnsi="Franklin Gothic Book"/>
          <w:b/>
          <w:color w:val="auto"/>
          <w:spacing w:val="20"/>
          <w:szCs w:val="28"/>
        </w:rPr>
      </w:pPr>
      <w:r w:rsidRPr="002B308F">
        <w:rPr>
          <w:rFonts w:ascii="Franklin Gothic Book" w:hAnsi="Franklin Gothic Book"/>
          <w:b/>
          <w:color w:val="auto"/>
          <w:spacing w:val="20"/>
          <w:szCs w:val="28"/>
        </w:rPr>
        <w:t>Microsoft Office Outlook</w:t>
      </w:r>
      <w:r>
        <w:rPr>
          <w:rFonts w:ascii="Franklin Gothic Book" w:hAnsi="Franklin Gothic Book"/>
          <w:b/>
          <w:color w:val="auto"/>
          <w:spacing w:val="20"/>
          <w:szCs w:val="28"/>
        </w:rPr>
        <w:t xml:space="preserve">: </w:t>
      </w:r>
      <w:r w:rsidRPr="002B308F">
        <w:rPr>
          <w:rFonts w:ascii="Franklin Gothic Book" w:hAnsi="Franklin Gothic Book"/>
          <w:color w:val="auto"/>
          <w:spacing w:val="20"/>
          <w:szCs w:val="28"/>
        </w:rPr>
        <w:t>Outlook email, calendar, reminders, and contacts all assist users to streamline investigations, court responsibilities and service delivery. Real time access to calendars, email and reminders enhances the ability of staff to more efficiently carry out their duties.</w:t>
      </w:r>
    </w:p>
    <w:p w:rsidR="00D86A11" w:rsidRDefault="00D86A11" w:rsidP="00D86A11">
      <w:pPr>
        <w:numPr>
          <w:ilvl w:val="0"/>
          <w:numId w:val="16"/>
        </w:numPr>
        <w:spacing w:before="120" w:after="0"/>
        <w:ind w:right="130"/>
        <w:rPr>
          <w:rFonts w:ascii="Franklin Gothic Book" w:hAnsi="Franklin Gothic Book"/>
          <w:b/>
          <w:color w:val="auto"/>
          <w:spacing w:val="20"/>
          <w:szCs w:val="28"/>
        </w:rPr>
      </w:pPr>
      <w:r w:rsidRPr="002B308F">
        <w:rPr>
          <w:rFonts w:ascii="Franklin Gothic Book" w:hAnsi="Franklin Gothic Book"/>
          <w:b/>
          <w:color w:val="auto"/>
          <w:spacing w:val="20"/>
          <w:szCs w:val="28"/>
        </w:rPr>
        <w:t>Mandated Reporter Application (MRA)</w:t>
      </w:r>
      <w:r>
        <w:rPr>
          <w:rFonts w:ascii="Franklin Gothic Book" w:hAnsi="Franklin Gothic Book"/>
          <w:b/>
          <w:color w:val="auto"/>
          <w:spacing w:val="20"/>
          <w:szCs w:val="28"/>
        </w:rPr>
        <w:t xml:space="preserve">: </w:t>
      </w:r>
      <w:r w:rsidRPr="00F63620">
        <w:rPr>
          <w:rFonts w:ascii="Franklin Gothic Book" w:hAnsi="Franklin Gothic Book"/>
          <w:color w:val="auto"/>
          <w:spacing w:val="20"/>
          <w:szCs w:val="28"/>
        </w:rPr>
        <w:t xml:space="preserve">Web portal that allows mandated reporters to submit electronic child abuse follow up reports. The web portal </w:t>
      </w:r>
      <w:r w:rsidRPr="00F63620">
        <w:rPr>
          <w:rFonts w:ascii="Franklin Gothic Book" w:hAnsi="Franklin Gothic Book"/>
          <w:color w:val="auto"/>
          <w:spacing w:val="20"/>
          <w:szCs w:val="28"/>
        </w:rPr>
        <w:lastRenderedPageBreak/>
        <w:t>enhances service delivery as it allows mandated reporters to submit their follow up report electronically and quickly.</w:t>
      </w:r>
    </w:p>
    <w:p w:rsidR="00D86A11" w:rsidRPr="005452E8" w:rsidRDefault="00D86A11" w:rsidP="00D86A11">
      <w:pPr>
        <w:numPr>
          <w:ilvl w:val="0"/>
          <w:numId w:val="16"/>
        </w:numPr>
        <w:spacing w:before="120" w:after="0"/>
        <w:ind w:right="130"/>
        <w:rPr>
          <w:rFonts w:ascii="Franklin Gothic Book" w:hAnsi="Franklin Gothic Book"/>
          <w:color w:val="auto"/>
          <w:spacing w:val="20"/>
          <w:szCs w:val="28"/>
        </w:rPr>
      </w:pPr>
      <w:r w:rsidRPr="004604B9">
        <w:rPr>
          <w:rFonts w:ascii="Franklin Gothic Book" w:hAnsi="Franklin Gothic Book"/>
          <w:b/>
          <w:color w:val="auto"/>
          <w:spacing w:val="20"/>
          <w:szCs w:val="28"/>
        </w:rPr>
        <w:t>Social Solutions Efforts To Outcomes (ETO</w:t>
      </w:r>
      <w:r w:rsidRPr="00063B02">
        <w:rPr>
          <w:rFonts w:ascii="Franklin Gothic Book" w:hAnsi="Franklin Gothic Book"/>
          <w:color w:val="auto"/>
          <w:spacing w:val="20"/>
          <w:szCs w:val="28"/>
        </w:rPr>
        <w:t>™</w:t>
      </w:r>
      <w:r w:rsidRPr="004604B9">
        <w:rPr>
          <w:rFonts w:ascii="Franklin Gothic Book" w:hAnsi="Franklin Gothic Book"/>
          <w:b/>
          <w:color w:val="auto"/>
          <w:spacing w:val="20"/>
          <w:szCs w:val="28"/>
        </w:rPr>
        <w:t xml:space="preserve">): </w:t>
      </w:r>
      <w:r w:rsidRPr="005452E8">
        <w:rPr>
          <w:rFonts w:ascii="Franklin Gothic Book" w:hAnsi="Franklin Gothic Book"/>
          <w:color w:val="auto"/>
          <w:spacing w:val="20"/>
          <w:szCs w:val="28"/>
        </w:rPr>
        <w:t>Web based ETO</w:t>
      </w:r>
      <w:r w:rsidRPr="00063B02">
        <w:rPr>
          <w:rFonts w:ascii="Franklin Gothic Book" w:hAnsi="Franklin Gothic Book"/>
          <w:color w:val="auto"/>
          <w:spacing w:val="20"/>
          <w:szCs w:val="28"/>
        </w:rPr>
        <w:t>™</w:t>
      </w:r>
      <w:r w:rsidRPr="005452E8">
        <w:rPr>
          <w:rFonts w:ascii="Franklin Gothic Book" w:hAnsi="Franklin Gothic Book"/>
          <w:color w:val="auto"/>
          <w:spacing w:val="20"/>
          <w:szCs w:val="28"/>
        </w:rPr>
        <w:t xml:space="preserve"> is used by our community partners, Community Services for Families (CSF), Independent Living Skills (ILS) and transitional housing providers to quickly and easily track efforts, outcomes, and participant progress. The use of this product enhances service delivery by allowing the contractors to meet data reporting timelines, in addition to case management required in their contracts.</w:t>
      </w:r>
    </w:p>
    <w:p w:rsidR="00D86A11" w:rsidRPr="005452E8" w:rsidRDefault="00D86A11" w:rsidP="00D86A11">
      <w:pPr>
        <w:numPr>
          <w:ilvl w:val="0"/>
          <w:numId w:val="16"/>
        </w:numPr>
        <w:spacing w:before="120" w:after="0"/>
        <w:ind w:right="130"/>
        <w:rPr>
          <w:rFonts w:ascii="Franklin Gothic Book" w:hAnsi="Franklin Gothic Book"/>
          <w:color w:val="auto"/>
          <w:spacing w:val="20"/>
          <w:szCs w:val="28"/>
        </w:rPr>
      </w:pPr>
      <w:r w:rsidRPr="004604B9">
        <w:rPr>
          <w:rFonts w:ascii="Franklin Gothic Book" w:hAnsi="Franklin Gothic Book"/>
          <w:b/>
          <w:color w:val="auto"/>
          <w:spacing w:val="20"/>
          <w:szCs w:val="28"/>
        </w:rPr>
        <w:t xml:space="preserve">Microsoft SharePoint: </w:t>
      </w:r>
      <w:r w:rsidRPr="005452E8">
        <w:rPr>
          <w:rFonts w:ascii="Franklin Gothic Book" w:hAnsi="Franklin Gothic Book"/>
          <w:color w:val="auto"/>
          <w:spacing w:val="20"/>
          <w:szCs w:val="28"/>
        </w:rPr>
        <w:t>Microsoft SharePoint makes it easier for staff to work together, by allowing them the ability to set up Web sites to share information with others, manage documents from start to finish, and publish reports to help everyone make better decisions, thus enhancing service delivery.</w:t>
      </w:r>
    </w:p>
    <w:p w:rsidR="00D86A11" w:rsidRPr="005452E8" w:rsidRDefault="00D86A11" w:rsidP="00D86A11">
      <w:pPr>
        <w:numPr>
          <w:ilvl w:val="0"/>
          <w:numId w:val="16"/>
        </w:numPr>
        <w:spacing w:before="120" w:after="0"/>
        <w:ind w:right="130"/>
        <w:rPr>
          <w:rFonts w:ascii="Franklin Gothic Book" w:hAnsi="Franklin Gothic Book"/>
          <w:b/>
          <w:color w:val="auto"/>
          <w:spacing w:val="20"/>
          <w:szCs w:val="28"/>
        </w:rPr>
      </w:pPr>
      <w:r w:rsidRPr="00EB3B35">
        <w:rPr>
          <w:rFonts w:ascii="Franklin Gothic Book" w:hAnsi="Franklin Gothic Book"/>
          <w:b/>
          <w:color w:val="auto"/>
          <w:spacing w:val="20"/>
          <w:szCs w:val="28"/>
        </w:rPr>
        <w:t xml:space="preserve">NetMeeting: </w:t>
      </w:r>
      <w:r w:rsidRPr="005452E8">
        <w:rPr>
          <w:rFonts w:ascii="Franklin Gothic Book" w:hAnsi="Franklin Gothic Book"/>
          <w:color w:val="auto"/>
          <w:spacing w:val="20"/>
          <w:szCs w:val="28"/>
        </w:rPr>
        <w:t>Child Welfare helpdesk and support staff use NetMeeting to connect to staff’s computers to assist with resolving problems, thus enhancing service delivery by allowing helpdesk staff to connect immediately to resolve problems</w:t>
      </w:r>
      <w:r w:rsidRPr="005452E8">
        <w:rPr>
          <w:rFonts w:ascii="Franklin Gothic Book" w:hAnsi="Franklin Gothic Book"/>
          <w:b/>
          <w:color w:val="auto"/>
          <w:spacing w:val="20"/>
          <w:szCs w:val="28"/>
        </w:rPr>
        <w:t>.</w:t>
      </w:r>
    </w:p>
    <w:p w:rsidR="00D86A11" w:rsidRPr="005452E8" w:rsidRDefault="00D86A11" w:rsidP="00D86A11">
      <w:pPr>
        <w:numPr>
          <w:ilvl w:val="0"/>
          <w:numId w:val="16"/>
        </w:numPr>
        <w:spacing w:before="120" w:after="0"/>
        <w:ind w:right="130"/>
        <w:rPr>
          <w:rFonts w:ascii="Franklin Gothic Book" w:hAnsi="Franklin Gothic Book"/>
          <w:color w:val="auto"/>
          <w:spacing w:val="20"/>
          <w:szCs w:val="28"/>
        </w:rPr>
      </w:pPr>
      <w:r w:rsidRPr="00EB3B35">
        <w:rPr>
          <w:rFonts w:ascii="Franklin Gothic Book" w:hAnsi="Franklin Gothic Book"/>
          <w:b/>
          <w:color w:val="auto"/>
          <w:spacing w:val="20"/>
          <w:szCs w:val="28"/>
        </w:rPr>
        <w:t xml:space="preserve">WebEx: </w:t>
      </w:r>
      <w:r w:rsidRPr="005452E8">
        <w:rPr>
          <w:rFonts w:ascii="Franklin Gothic Book" w:hAnsi="Franklin Gothic Book"/>
          <w:color w:val="auto"/>
          <w:spacing w:val="20"/>
          <w:szCs w:val="28"/>
        </w:rPr>
        <w:t>WebEx is used to host planned or AdHoc meetings virtually without requiring staff to attend in person, thus enhancing service delivery by allowing staff to eliminate travel to various staff meetings and thus become more efficient.</w:t>
      </w:r>
    </w:p>
    <w:p w:rsidR="00D86A11" w:rsidRPr="005452E8"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b/>
          <w:color w:val="auto"/>
          <w:spacing w:val="20"/>
          <w:szCs w:val="28"/>
        </w:rPr>
        <w:t>Sum Total:</w:t>
      </w:r>
      <w:r w:rsidRPr="00710416">
        <w:rPr>
          <w:rFonts w:ascii="Franklin Gothic Book" w:hAnsi="Franklin Gothic Book"/>
          <w:b/>
          <w:color w:val="auto"/>
          <w:spacing w:val="20"/>
          <w:szCs w:val="28"/>
        </w:rPr>
        <w:t xml:space="preserve"> </w:t>
      </w:r>
      <w:r w:rsidRPr="005452E8">
        <w:rPr>
          <w:rFonts w:ascii="Franklin Gothic Book" w:hAnsi="Franklin Gothic Book"/>
          <w:color w:val="auto"/>
          <w:spacing w:val="20"/>
          <w:szCs w:val="28"/>
        </w:rPr>
        <w:t>Learning Management System (LMS): Sum Total allows us to track training, progress and attendance. This assists us with producing the annual training report due to the State. This enhances service delivery by streamlining the collection of trainings attended by staff, and allows us to be certain that staff are attending the required training necessary to do their jobs.</w:t>
      </w:r>
    </w:p>
    <w:p w:rsidR="00D86A11" w:rsidRPr="00A65269" w:rsidRDefault="00D86A11" w:rsidP="00D86A11">
      <w:pPr>
        <w:numPr>
          <w:ilvl w:val="0"/>
          <w:numId w:val="16"/>
        </w:numPr>
        <w:spacing w:before="120" w:after="0"/>
        <w:ind w:right="130"/>
        <w:rPr>
          <w:rFonts w:ascii="Franklin Gothic Book" w:hAnsi="Franklin Gothic Book"/>
          <w:b/>
          <w:color w:val="auto"/>
          <w:spacing w:val="20"/>
          <w:szCs w:val="28"/>
        </w:rPr>
      </w:pPr>
      <w:r w:rsidRPr="00710416">
        <w:rPr>
          <w:rFonts w:ascii="Franklin Gothic Book" w:hAnsi="Franklin Gothic Book"/>
          <w:b/>
          <w:color w:val="auto"/>
          <w:spacing w:val="20"/>
          <w:szCs w:val="28"/>
        </w:rPr>
        <w:t>Lectora</w:t>
      </w:r>
      <w:r>
        <w:rPr>
          <w:rFonts w:ascii="Franklin Gothic Book" w:hAnsi="Franklin Gothic Book"/>
          <w:b/>
          <w:color w:val="auto"/>
          <w:spacing w:val="20"/>
          <w:szCs w:val="28"/>
        </w:rPr>
        <w:t xml:space="preserve">: </w:t>
      </w:r>
      <w:r w:rsidRPr="001D0DE9">
        <w:rPr>
          <w:rFonts w:ascii="Franklin Gothic Book" w:hAnsi="Franklin Gothic Book"/>
          <w:color w:val="auto"/>
          <w:spacing w:val="20"/>
          <w:szCs w:val="28"/>
        </w:rPr>
        <w:t>Lectora software is used to create on-line trainings that are uploaded to our Learning Management System (LMS). This allows staff to take on-line trainings. This enhances service delivery by allowing staff to take courses at their desk, rather than having to travel to training location.</w:t>
      </w:r>
    </w:p>
    <w:p w:rsidR="00D86A11" w:rsidRPr="00A65269" w:rsidRDefault="00D86A11" w:rsidP="00D86A11">
      <w:pPr>
        <w:numPr>
          <w:ilvl w:val="0"/>
          <w:numId w:val="16"/>
        </w:numPr>
        <w:spacing w:before="120" w:after="0"/>
        <w:ind w:right="130"/>
        <w:rPr>
          <w:rFonts w:ascii="Franklin Gothic Book" w:hAnsi="Franklin Gothic Book"/>
          <w:b/>
          <w:color w:val="auto"/>
          <w:spacing w:val="20"/>
          <w:szCs w:val="28"/>
        </w:rPr>
      </w:pPr>
      <w:r w:rsidRPr="00A65269">
        <w:rPr>
          <w:rFonts w:ascii="Franklin Gothic Book" w:hAnsi="Franklin Gothic Book"/>
          <w:b/>
          <w:color w:val="auto"/>
          <w:spacing w:val="20"/>
          <w:szCs w:val="28"/>
        </w:rPr>
        <w:t>Genogram Analytics</w:t>
      </w:r>
      <w:r>
        <w:rPr>
          <w:rFonts w:ascii="Franklin Gothic Book" w:hAnsi="Franklin Gothic Book"/>
          <w:b/>
          <w:color w:val="auto"/>
          <w:spacing w:val="20"/>
          <w:szCs w:val="28"/>
        </w:rPr>
        <w:t xml:space="preserve">: </w:t>
      </w:r>
      <w:r w:rsidRPr="00A65269">
        <w:rPr>
          <w:rFonts w:ascii="Franklin Gothic Book" w:hAnsi="Franklin Gothic Book"/>
          <w:color w:val="auto"/>
          <w:spacing w:val="20"/>
          <w:szCs w:val="28"/>
        </w:rPr>
        <w:t>Genogram and Ecomap software for social workers to utilize in searching, identifying and locating permanent placements and connections for all children involved in the child welfare system</w:t>
      </w:r>
      <w:r w:rsidRPr="001D0DE9">
        <w:rPr>
          <w:rFonts w:ascii="Franklin Gothic Book" w:hAnsi="Franklin Gothic Book"/>
          <w:color w:val="auto"/>
          <w:spacing w:val="20"/>
          <w:szCs w:val="28"/>
        </w:rPr>
        <w:t>.</w:t>
      </w:r>
    </w:p>
    <w:p w:rsidR="00D86A11" w:rsidRPr="00063B02" w:rsidRDefault="00D86A11" w:rsidP="00D86A11">
      <w:pPr>
        <w:pStyle w:val="Heading2"/>
        <w:rPr>
          <w:color w:val="F6872B"/>
        </w:rPr>
      </w:pPr>
      <w:r w:rsidRPr="00063B02">
        <w:rPr>
          <w:color w:val="F6872B"/>
        </w:rPr>
        <w:t xml:space="preserve">Probation Case Management System (PCMS) </w:t>
      </w:r>
    </w:p>
    <w:p w:rsidR="00D86A11" w:rsidRPr="00284E99" w:rsidRDefault="00D86A11" w:rsidP="00D86A11">
      <w:pPr>
        <w:rPr>
          <w:sz w:val="2"/>
        </w:rPr>
      </w:pPr>
    </w:p>
    <w:p w:rsidR="00D86A11" w:rsidRPr="001E0EC2" w:rsidRDefault="00D86A11" w:rsidP="00D86A11">
      <w:pPr>
        <w:pStyle w:val="Heading3"/>
        <w:spacing w:line="276" w:lineRule="auto"/>
        <w:rPr>
          <w:b w:val="0"/>
          <w:color w:val="auto"/>
          <w:sz w:val="22"/>
        </w:rPr>
      </w:pPr>
      <w:r w:rsidRPr="001E0EC2">
        <w:rPr>
          <w:b w:val="0"/>
          <w:color w:val="auto"/>
          <w:sz w:val="22"/>
        </w:rPr>
        <w:t xml:space="preserve">The Probation Department utilizes the Probation Case Management System (PCMS). The system was developed specifically for Probation and has no interface with other systems that track information for Child Welfare Services. Information regarding Probation wards receiving Child Welfare Services is tracked through the PCMS system, and since October 2010 information is being entered into the Child </w:t>
      </w:r>
      <w:r w:rsidRPr="001E0EC2">
        <w:rPr>
          <w:b w:val="0"/>
          <w:color w:val="auto"/>
          <w:sz w:val="22"/>
        </w:rPr>
        <w:lastRenderedPageBreak/>
        <w:t>Welfare Services/Case Management System (CWS/CMS) by Probation staff. Data is reported to the California Department of Social Services monthly. This information is then gathered along with that of other county Probation Departments throughout the state and submitted to UC Berkley. UC Berkley provides outcomes information regarding Probation wards that receive Child Welfare Services.</w:t>
      </w:r>
    </w:p>
    <w:p w:rsidR="00D86A11" w:rsidRDefault="00D86A11" w:rsidP="00D86A11">
      <w:pPr>
        <w:pStyle w:val="Heading3"/>
        <w:spacing w:line="276" w:lineRule="auto"/>
        <w:rPr>
          <w:b w:val="0"/>
          <w:color w:val="auto"/>
          <w:sz w:val="22"/>
        </w:rPr>
      </w:pPr>
      <w:r w:rsidRPr="00246C52">
        <w:rPr>
          <w:b w:val="0"/>
          <w:color w:val="auto"/>
          <w:sz w:val="22"/>
        </w:rPr>
        <w:t xml:space="preserve">Probation continues to receive training on the entry into CWS/CMS. However, there have been systemic issues with the entry of data and the information that is reported to the state. </w:t>
      </w:r>
      <w:r w:rsidR="002C68BD">
        <w:rPr>
          <w:b w:val="0"/>
          <w:color w:val="auto"/>
          <w:sz w:val="22"/>
          <w:szCs w:val="28"/>
        </w:rPr>
        <w:t>These systemic issues are attributed to the staffing changes due to the growth of the division, and the initial gap in training as the division stabilized and adapted to the sudden growth.  In addition to gap in CWS/CMS training for newly assigned staff, to include supervisory staff, there also was a gap in on-going training and updates on the required data entry fields. As a result, t</w:t>
      </w:r>
      <w:r w:rsidRPr="00246C52">
        <w:rPr>
          <w:b w:val="0"/>
          <w:color w:val="auto"/>
          <w:sz w:val="22"/>
        </w:rPr>
        <w:t xml:space="preserve">he percentages that appear on the state reports are lower than what is actually entered. Probation is working with Child Welfare Services Data Unit to identify any issues that may be causing the poor reports. </w:t>
      </w:r>
    </w:p>
    <w:p w:rsidR="00D86A11" w:rsidRPr="00063B02" w:rsidRDefault="00D86A11" w:rsidP="00D86A11">
      <w:pPr>
        <w:pStyle w:val="Heading2"/>
        <w:rPr>
          <w:color w:val="F6872B"/>
        </w:rPr>
      </w:pPr>
      <w:r w:rsidRPr="00063B02">
        <w:rPr>
          <w:color w:val="F6872B"/>
        </w:rPr>
        <w:t xml:space="preserve">PSSF/CAPIT/CBCAP Funded Providers Management Information System </w:t>
      </w:r>
    </w:p>
    <w:p w:rsidR="00D86A11" w:rsidRPr="00197B43" w:rsidRDefault="00D86A11" w:rsidP="00D86A11">
      <w:pPr>
        <w:rPr>
          <w:sz w:val="2"/>
        </w:rPr>
      </w:pPr>
    </w:p>
    <w:p w:rsidR="00D86A11" w:rsidRPr="00002091" w:rsidRDefault="00D86A11" w:rsidP="00D86A11">
      <w:pPr>
        <w:pStyle w:val="Heading3"/>
        <w:spacing w:line="276" w:lineRule="auto"/>
        <w:rPr>
          <w:b w:val="0"/>
          <w:color w:val="auto"/>
          <w:sz w:val="22"/>
        </w:rPr>
      </w:pPr>
      <w:r w:rsidRPr="00002091">
        <w:rPr>
          <w:b w:val="0"/>
          <w:color w:val="auto"/>
          <w:sz w:val="22"/>
        </w:rPr>
        <w:t xml:space="preserve">All County contractors are required to track data relevant to their programs and provide monthly or quarterly progress reports. The CWS Community Services for Families (CSF) program, the largest PSSF/CAPIT/CBCAP funded program, uses a web-based database that was mutually agreed upon by the CSF contractors. Social Solutions’ Efforts to Outcomes (ETO™) Software is performance management software for human services, connecting efforts to outcomes, people to services and providers and communities to funders. It is web-based and accessible from any Internet-connected personal computer. ETO™ offers customizable program management tools, which facilitates recording information and receives reports for all levels of the work that is done. </w:t>
      </w:r>
    </w:p>
    <w:p w:rsidR="00D86A11" w:rsidRPr="001E0EC2" w:rsidRDefault="00D86A11" w:rsidP="00D86A11">
      <w:pPr>
        <w:pStyle w:val="Heading3"/>
        <w:spacing w:line="276" w:lineRule="auto"/>
        <w:rPr>
          <w:b w:val="0"/>
          <w:color w:val="auto"/>
          <w:sz w:val="22"/>
        </w:rPr>
      </w:pPr>
      <w:r w:rsidRPr="001E0EC2">
        <w:rPr>
          <w:b w:val="0"/>
          <w:color w:val="auto"/>
          <w:sz w:val="22"/>
        </w:rPr>
        <w:t xml:space="preserve">This database system captures client information ranging from basic demographic information to services received. This centralized database is capable of generating the CSF Monthly Progress Report, and information for the Annual State CAPIT Report. The system comes with a robust reporting tool that facilitates ad-hoc report creation on demand. The contractors have this client management tool to track services provided, referrals issued, and goals identified. ETO™ enables agencies to track the progress of clients from initial contact through program completion. Unfortunately </w:t>
      </w:r>
      <w:r>
        <w:rPr>
          <w:b w:val="0"/>
          <w:color w:val="auto"/>
          <w:sz w:val="22"/>
        </w:rPr>
        <w:t>the County of San Diego</w:t>
      </w:r>
      <w:r w:rsidRPr="001E0EC2">
        <w:rPr>
          <w:b w:val="0"/>
          <w:color w:val="auto"/>
          <w:sz w:val="22"/>
        </w:rPr>
        <w:t xml:space="preserve"> has run into barriers in fully utilizing ETO’s capabilities due to compatibility issues with the County’s network. The County is currently working to address these issues and we expect that we will be able to run more robust multi-agency reports in the near future. The other issue currently being addressed in the quest to evaluate CSF outcomes is the challenge in matching program data from the ETO™ database with client outcome data in the CWS/CMS system. There are many challenges when trying to match data across systems including data entry errors, different client names and nicknames, etc. The Data Unit is currently running test reports to check on reliability of data </w:t>
      </w:r>
      <w:r w:rsidRPr="001E0EC2">
        <w:rPr>
          <w:b w:val="0"/>
          <w:color w:val="auto"/>
          <w:sz w:val="22"/>
        </w:rPr>
        <w:lastRenderedPageBreak/>
        <w:t>matching so that outcome data can be run after the program has been in place for two years.</w:t>
      </w:r>
    </w:p>
    <w:p w:rsidR="00D86A11" w:rsidRPr="001E0EC2" w:rsidRDefault="00D86A11" w:rsidP="00D86A11">
      <w:pPr>
        <w:pStyle w:val="Heading3"/>
        <w:spacing w:line="276" w:lineRule="auto"/>
        <w:rPr>
          <w:b w:val="0"/>
          <w:color w:val="auto"/>
          <w:sz w:val="22"/>
        </w:rPr>
      </w:pPr>
      <w:r w:rsidRPr="001E0EC2">
        <w:rPr>
          <w:b w:val="0"/>
          <w:color w:val="auto"/>
          <w:sz w:val="22"/>
        </w:rPr>
        <w:t xml:space="preserve">Through the CSF Managers’ review of the data, SafeCare was identified to be an effective in-home service. SafeCare has been shown in research studies to have a 75.0% success rate in clients not returning to the Child Welfare System. SafeCare is an effective model for parents who lack basic parenting skills. </w:t>
      </w:r>
    </w:p>
    <w:p w:rsidR="00D86A11" w:rsidRPr="001E0EC2" w:rsidRDefault="00D86A11" w:rsidP="00D86A11">
      <w:pPr>
        <w:pStyle w:val="Heading3"/>
        <w:spacing w:line="276" w:lineRule="auto"/>
        <w:rPr>
          <w:b w:val="0"/>
          <w:color w:val="auto"/>
          <w:sz w:val="22"/>
        </w:rPr>
      </w:pPr>
      <w:r w:rsidRPr="001E0EC2">
        <w:rPr>
          <w:b w:val="0"/>
          <w:color w:val="auto"/>
          <w:sz w:val="22"/>
        </w:rPr>
        <w:t>The other effective parenting curriculum utilized by CSF is the program Systematic Training for Effective Parenting (STEP). This is an evidence based curriculum targeted to</w:t>
      </w:r>
      <w:r w:rsidR="00121985" w:rsidRPr="00121985">
        <w:rPr>
          <w:b w:val="0"/>
          <w:color w:val="auto"/>
          <w:sz w:val="22"/>
        </w:rPr>
        <w:t xml:space="preserve"> children 12 years of age and older. The Client Satisfaction Surveys were above average on the satisfaction and success rate of how clients felt about the services they were receiving from CSF (Appendix G). Effective communication and positive parenting skills; basic skills; health education; safety and parent child interaction training are also very effective programs and services offered by CSF.</w:t>
      </w:r>
    </w:p>
    <w:p w:rsidR="00D86A11" w:rsidRDefault="00F1013C" w:rsidP="00D86A11">
      <w:pPr>
        <w:pStyle w:val="Heading1"/>
        <w:rPr>
          <w:color w:val="013161"/>
        </w:rPr>
      </w:pPr>
      <w:r w:rsidRPr="00F1013C">
        <w:rPr>
          <w:color w:val="013161"/>
        </w:rPr>
        <w:t xml:space="preserve">2. County </w:t>
      </w:r>
      <w:r w:rsidR="00D86A11" w:rsidRPr="00063B02">
        <w:rPr>
          <w:color w:val="013161"/>
        </w:rPr>
        <w:t>Case Review System</w:t>
      </w:r>
    </w:p>
    <w:p w:rsidR="00D86A11" w:rsidRPr="00063B02" w:rsidRDefault="00D86A11" w:rsidP="00D86A11">
      <w:pPr>
        <w:pStyle w:val="Heading2"/>
        <w:rPr>
          <w:color w:val="F6872B"/>
        </w:rPr>
      </w:pPr>
      <w:r w:rsidRPr="00063B02">
        <w:rPr>
          <w:color w:val="F6872B"/>
        </w:rPr>
        <w:t>Court Structure/Relationship</w:t>
      </w:r>
    </w:p>
    <w:p w:rsidR="00D86A11" w:rsidRPr="001E0EC2" w:rsidRDefault="00D86A11" w:rsidP="00D86A11">
      <w:pPr>
        <w:pStyle w:val="Heading3"/>
        <w:spacing w:line="276" w:lineRule="auto"/>
        <w:rPr>
          <w:b w:val="0"/>
          <w:color w:val="auto"/>
          <w:sz w:val="22"/>
        </w:rPr>
      </w:pPr>
      <w:r w:rsidRPr="001E0EC2">
        <w:rPr>
          <w:b w:val="0"/>
          <w:color w:val="auto"/>
          <w:sz w:val="22"/>
        </w:rPr>
        <w:t>The County's Juvenile Court handles both dependency (CWS) and delinquency (Probation) cases to determine what is in the best interests of the child within the child's family and community. Below are descriptions of the Juvenile Court’s process for dependency and delinquency cases.</w:t>
      </w:r>
    </w:p>
    <w:p w:rsidR="00D86A11" w:rsidRPr="00240C2A" w:rsidRDefault="00D86A11" w:rsidP="00D86A11">
      <w:pPr>
        <w:pStyle w:val="Heading2"/>
        <w:rPr>
          <w:rStyle w:val="Heading1Char"/>
          <w:b/>
          <w:color w:val="2E7029"/>
          <w:sz w:val="24"/>
          <w:szCs w:val="28"/>
        </w:rPr>
      </w:pPr>
      <w:r w:rsidRPr="00240C2A">
        <w:rPr>
          <w:rStyle w:val="Heading1Char"/>
          <w:b/>
          <w:color w:val="2E7029"/>
          <w:sz w:val="24"/>
        </w:rPr>
        <w:t>Structure of County Juvenile Court for Dependency and Probation Cases</w:t>
      </w:r>
    </w:p>
    <w:p w:rsidR="00D86A11" w:rsidRPr="00BD4E01" w:rsidRDefault="00D86A11" w:rsidP="00D86A11">
      <w:pPr>
        <w:pStyle w:val="BodyText"/>
        <w:rPr>
          <w:rFonts w:ascii="Franklin Gothic Book" w:eastAsia="Perpetua" w:hAnsi="Franklin Gothic Book"/>
          <w:b/>
          <w:spacing w:val="20"/>
          <w:sz w:val="14"/>
        </w:rPr>
      </w:pPr>
    </w:p>
    <w:p w:rsidR="00D86A11" w:rsidRPr="008C6C80" w:rsidRDefault="00D86A11" w:rsidP="00D86A11">
      <w:pPr>
        <w:pStyle w:val="BodyText"/>
        <w:rPr>
          <w:rFonts w:ascii="Franklin Gothic Book" w:eastAsia="Perpetua" w:hAnsi="Franklin Gothic Book"/>
          <w:spacing w:val="20"/>
          <w:szCs w:val="28"/>
        </w:rPr>
      </w:pPr>
      <w:r w:rsidRPr="00063B02">
        <w:rPr>
          <w:rFonts w:ascii="Franklin Gothic Book" w:eastAsia="Perpetua" w:hAnsi="Franklin Gothic Book"/>
          <w:b/>
          <w:spacing w:val="20"/>
          <w:szCs w:val="28"/>
        </w:rPr>
        <w:t>County Dependency Court:</w:t>
      </w:r>
      <w:r w:rsidRPr="00063B02">
        <w:rPr>
          <w:rFonts w:ascii="Franklin Gothic Book" w:eastAsia="Perpetua" w:hAnsi="Franklin Gothic Book"/>
          <w:spacing w:val="20"/>
          <w:szCs w:val="28"/>
        </w:rPr>
        <w:t xml:space="preserve">  </w:t>
      </w:r>
      <w:r w:rsidRPr="008C6C80">
        <w:rPr>
          <w:rFonts w:ascii="Franklin Gothic Book" w:eastAsia="Perpetua" w:hAnsi="Franklin Gothic Book"/>
          <w:spacing w:val="20"/>
          <w:szCs w:val="28"/>
        </w:rPr>
        <w:t>The dependency court system focuses on the protection of children and providing children with permanency through family reunification, adoption and guardianship, wherever possible</w:t>
      </w:r>
      <w:r>
        <w:rPr>
          <w:rFonts w:ascii="Franklin Gothic Book" w:eastAsia="Perpetua" w:hAnsi="Franklin Gothic Book"/>
          <w:spacing w:val="20"/>
          <w:szCs w:val="28"/>
        </w:rPr>
        <w:t xml:space="preserve">. </w:t>
      </w:r>
      <w:r w:rsidRPr="008C6C80">
        <w:rPr>
          <w:rFonts w:ascii="Franklin Gothic Book" w:eastAsia="Perpetua" w:hAnsi="Franklin Gothic Book"/>
          <w:spacing w:val="20"/>
          <w:szCs w:val="28"/>
        </w:rPr>
        <w:t xml:space="preserve">The following step table explains the Juvenile Court dependency system: </w:t>
      </w:r>
    </w:p>
    <w:tbl>
      <w:tblPr>
        <w:tblW w:w="0" w:type="auto"/>
        <w:tblInd w:w="108" w:type="dxa"/>
        <w:tblBorders>
          <w:top w:val="single" w:sz="18" w:space="0" w:color="F6872B"/>
          <w:left w:val="single" w:sz="18" w:space="0" w:color="F6872B"/>
          <w:bottom w:val="single" w:sz="18" w:space="0" w:color="F6872B"/>
          <w:right w:val="single" w:sz="18" w:space="0" w:color="F6872B"/>
        </w:tblBorders>
        <w:tblLook w:val="04A0" w:firstRow="1" w:lastRow="0" w:firstColumn="1" w:lastColumn="0" w:noHBand="0" w:noVBand="1"/>
      </w:tblPr>
      <w:tblGrid>
        <w:gridCol w:w="630"/>
        <w:gridCol w:w="8576"/>
      </w:tblGrid>
      <w:tr w:rsidR="00D86A11">
        <w:tc>
          <w:tcPr>
            <w:tcW w:w="9450" w:type="dxa"/>
            <w:gridSpan w:val="2"/>
            <w:shd w:val="clear" w:color="auto" w:fill="013161"/>
          </w:tcPr>
          <w:p w:rsidR="00D86A11" w:rsidRPr="005D5CBA" w:rsidRDefault="00D86A11" w:rsidP="00D86A11">
            <w:pPr>
              <w:jc w:val="center"/>
              <w:rPr>
                <w:rFonts w:ascii="Calibri" w:hAnsi="Calibri"/>
                <w:b/>
                <w:color w:val="FFFFFF"/>
              </w:rPr>
            </w:pPr>
            <w:r w:rsidRPr="005D5CBA">
              <w:rPr>
                <w:rFonts w:ascii="Calibri" w:hAnsi="Calibri"/>
                <w:b/>
                <w:color w:val="FFFFFF"/>
                <w:sz w:val="24"/>
              </w:rPr>
              <w:t>Exhibit 50. Juvenile Court Dependency System Steps</w:t>
            </w:r>
          </w:p>
        </w:tc>
      </w:tr>
      <w:tr w:rsidR="00D86A11">
        <w:tc>
          <w:tcPr>
            <w:tcW w:w="630" w:type="dxa"/>
            <w:shd w:val="clear" w:color="auto" w:fill="013161"/>
          </w:tcPr>
          <w:p w:rsidR="00D86A11" w:rsidRPr="007A76C3" w:rsidRDefault="00D86A11" w:rsidP="00D86A11">
            <w:pPr>
              <w:pStyle w:val="BodyText"/>
              <w:rPr>
                <w:b/>
              </w:rPr>
            </w:pPr>
            <w:r w:rsidRPr="007A76C3">
              <w:rPr>
                <w:b/>
              </w:rPr>
              <w:t>Step</w:t>
            </w:r>
          </w:p>
        </w:tc>
        <w:tc>
          <w:tcPr>
            <w:tcW w:w="8820" w:type="dxa"/>
            <w:shd w:val="clear" w:color="auto" w:fill="013161"/>
          </w:tcPr>
          <w:p w:rsidR="00D86A11" w:rsidRPr="007A76C3" w:rsidRDefault="00D86A11" w:rsidP="00D86A11">
            <w:pPr>
              <w:pStyle w:val="BodyText"/>
              <w:rPr>
                <w:b/>
              </w:rPr>
            </w:pPr>
            <w:r w:rsidRPr="007A76C3">
              <w:rPr>
                <w:b/>
              </w:rPr>
              <w:t>Action</w:t>
            </w:r>
          </w:p>
        </w:tc>
      </w:tr>
      <w:tr w:rsidR="00D86A11">
        <w:trPr>
          <w:trHeight w:val="414"/>
        </w:trPr>
        <w:tc>
          <w:tcPr>
            <w:tcW w:w="630" w:type="dxa"/>
            <w:shd w:val="clear" w:color="auto" w:fill="DBE5F1"/>
            <w:vAlign w:val="center"/>
          </w:tcPr>
          <w:p w:rsidR="00D86A11" w:rsidRPr="007A76C3" w:rsidRDefault="00D86A11" w:rsidP="00D86A11">
            <w:pPr>
              <w:pStyle w:val="BodyText"/>
              <w:rPr>
                <w:color w:val="013161"/>
              </w:rPr>
            </w:pPr>
            <w:r w:rsidRPr="007A76C3">
              <w:rPr>
                <w:color w:val="013161"/>
              </w:rPr>
              <w:t>1</w:t>
            </w:r>
          </w:p>
        </w:tc>
        <w:tc>
          <w:tcPr>
            <w:tcW w:w="8820" w:type="dxa"/>
            <w:shd w:val="clear" w:color="auto" w:fill="DBE5F1"/>
            <w:vAlign w:val="center"/>
          </w:tcPr>
          <w:p w:rsidR="00D86A11" w:rsidRPr="007A76C3" w:rsidRDefault="00D86A11" w:rsidP="00D86A11">
            <w:pPr>
              <w:pStyle w:val="BodyText"/>
              <w:rPr>
                <w:color w:val="013161"/>
              </w:rPr>
            </w:pPr>
            <w:r w:rsidRPr="007A76C3">
              <w:rPr>
                <w:color w:val="013161"/>
              </w:rPr>
              <w:t>CWS receives a report of suspected abuse or neglect.</w:t>
            </w:r>
          </w:p>
        </w:tc>
      </w:tr>
      <w:tr w:rsidR="00D86A11">
        <w:trPr>
          <w:trHeight w:val="891"/>
        </w:trPr>
        <w:tc>
          <w:tcPr>
            <w:tcW w:w="630" w:type="dxa"/>
            <w:shd w:val="clear" w:color="auto" w:fill="auto"/>
            <w:vAlign w:val="center"/>
          </w:tcPr>
          <w:p w:rsidR="00D86A11" w:rsidRPr="007A76C3" w:rsidRDefault="00D86A11" w:rsidP="00D86A11">
            <w:pPr>
              <w:pStyle w:val="BodyText"/>
              <w:rPr>
                <w:color w:val="013161"/>
              </w:rPr>
            </w:pPr>
            <w:r w:rsidRPr="007A76C3">
              <w:rPr>
                <w:color w:val="013161"/>
              </w:rPr>
              <w:t>2</w:t>
            </w:r>
          </w:p>
        </w:tc>
        <w:tc>
          <w:tcPr>
            <w:tcW w:w="8820" w:type="dxa"/>
            <w:shd w:val="clear" w:color="auto" w:fill="auto"/>
            <w:vAlign w:val="center"/>
          </w:tcPr>
          <w:p w:rsidR="00D86A11" w:rsidRPr="007A76C3" w:rsidRDefault="00D86A11" w:rsidP="00D86A11">
            <w:pPr>
              <w:pStyle w:val="BodyText"/>
              <w:spacing w:after="0" w:line="240" w:lineRule="auto"/>
              <w:rPr>
                <w:color w:val="013161"/>
              </w:rPr>
            </w:pPr>
            <w:r w:rsidRPr="007A76C3">
              <w:rPr>
                <w:color w:val="013161"/>
              </w:rPr>
              <w:t>CWS conducts an investigation to determine the risk of harm to the child, for example: 1) whether child abuse or neglect exists; 2) whether there is immediate danger to the child; and, 3) whether the child can remain at home or with a relative.</w:t>
            </w:r>
          </w:p>
        </w:tc>
      </w:tr>
      <w:tr w:rsidR="00D86A11">
        <w:trPr>
          <w:trHeight w:val="711"/>
        </w:trPr>
        <w:tc>
          <w:tcPr>
            <w:tcW w:w="630" w:type="dxa"/>
            <w:shd w:val="clear" w:color="auto" w:fill="DBE5F1"/>
            <w:vAlign w:val="center"/>
          </w:tcPr>
          <w:p w:rsidR="00D86A11" w:rsidRPr="007A76C3" w:rsidRDefault="00D86A11" w:rsidP="00D86A11">
            <w:pPr>
              <w:pStyle w:val="BodyText"/>
              <w:rPr>
                <w:color w:val="013161"/>
              </w:rPr>
            </w:pPr>
            <w:r w:rsidRPr="007A76C3">
              <w:rPr>
                <w:color w:val="013161"/>
              </w:rPr>
              <w:t>3</w:t>
            </w:r>
          </w:p>
        </w:tc>
        <w:tc>
          <w:tcPr>
            <w:tcW w:w="8820" w:type="dxa"/>
            <w:shd w:val="clear" w:color="auto" w:fill="DBE5F1"/>
            <w:vAlign w:val="center"/>
          </w:tcPr>
          <w:p w:rsidR="00D86A11" w:rsidRPr="007A76C3" w:rsidRDefault="00D86A11" w:rsidP="00D86A11">
            <w:pPr>
              <w:pStyle w:val="BodyText"/>
              <w:spacing w:after="0" w:line="240" w:lineRule="auto"/>
              <w:rPr>
                <w:color w:val="013161"/>
              </w:rPr>
            </w:pPr>
            <w:r w:rsidRPr="007A76C3">
              <w:rPr>
                <w:color w:val="013161"/>
              </w:rPr>
              <w:t>If CWS decides to remove the child from his/her home, CWS has 48 hours to release the child back to the parents or file a petition for dependency.</w:t>
            </w:r>
          </w:p>
        </w:tc>
      </w:tr>
      <w:tr w:rsidR="00D86A11">
        <w:trPr>
          <w:trHeight w:val="1512"/>
        </w:trPr>
        <w:tc>
          <w:tcPr>
            <w:tcW w:w="630" w:type="dxa"/>
            <w:shd w:val="clear" w:color="auto" w:fill="auto"/>
            <w:vAlign w:val="center"/>
          </w:tcPr>
          <w:p w:rsidR="00D86A11" w:rsidRPr="007A76C3" w:rsidRDefault="00D86A11" w:rsidP="00D86A11">
            <w:pPr>
              <w:pStyle w:val="BodyText"/>
              <w:rPr>
                <w:color w:val="013161"/>
              </w:rPr>
            </w:pPr>
            <w:r w:rsidRPr="007A76C3">
              <w:rPr>
                <w:color w:val="013161"/>
              </w:rPr>
              <w:lastRenderedPageBreak/>
              <w:t>4</w:t>
            </w:r>
          </w:p>
        </w:tc>
        <w:tc>
          <w:tcPr>
            <w:tcW w:w="8820" w:type="dxa"/>
            <w:shd w:val="clear" w:color="auto" w:fill="auto"/>
            <w:vAlign w:val="center"/>
          </w:tcPr>
          <w:p w:rsidR="00D86A11" w:rsidRPr="007A76C3" w:rsidRDefault="00D86A11" w:rsidP="00D86A11">
            <w:pPr>
              <w:pStyle w:val="BodyText"/>
              <w:spacing w:after="0" w:line="240" w:lineRule="auto"/>
              <w:rPr>
                <w:color w:val="013161"/>
              </w:rPr>
            </w:pPr>
            <w:r w:rsidRPr="007A76C3">
              <w:rPr>
                <w:color w:val="013161"/>
              </w:rPr>
              <w:t>If CWS files a petition and a Protective Custody Warrant if, the child has not been removed from the home and needs to be removed. Usually the child is removed that day. The Juvenile Court holds a Detention Hearing the next judicial day. At this hearing the Juvenile Court determines if the child must be detained and the child and parents are each appointed an attorney to represent their individual legal interests.</w:t>
            </w:r>
          </w:p>
        </w:tc>
      </w:tr>
      <w:tr w:rsidR="00D86A11">
        <w:tc>
          <w:tcPr>
            <w:tcW w:w="630" w:type="dxa"/>
            <w:shd w:val="clear" w:color="auto" w:fill="DBE5F1"/>
            <w:vAlign w:val="center"/>
          </w:tcPr>
          <w:p w:rsidR="00D86A11" w:rsidRPr="007A76C3" w:rsidRDefault="00D86A11" w:rsidP="00D86A11">
            <w:pPr>
              <w:pStyle w:val="BodyText"/>
              <w:rPr>
                <w:color w:val="013161"/>
              </w:rPr>
            </w:pPr>
            <w:r w:rsidRPr="007A76C3">
              <w:rPr>
                <w:color w:val="013161"/>
              </w:rPr>
              <w:t>5</w:t>
            </w:r>
          </w:p>
        </w:tc>
        <w:tc>
          <w:tcPr>
            <w:tcW w:w="8820" w:type="dxa"/>
            <w:shd w:val="clear" w:color="auto" w:fill="DBE5F1"/>
            <w:vAlign w:val="center"/>
          </w:tcPr>
          <w:p w:rsidR="00D86A11" w:rsidRPr="007A76C3" w:rsidRDefault="00D86A11" w:rsidP="00D86A11">
            <w:pPr>
              <w:pStyle w:val="BodyText"/>
              <w:spacing w:after="0" w:line="240" w:lineRule="auto"/>
              <w:rPr>
                <w:color w:val="013161"/>
              </w:rPr>
            </w:pPr>
            <w:r w:rsidRPr="007A76C3">
              <w:rPr>
                <w:color w:val="013161"/>
              </w:rPr>
              <w:t>Within 21 days after the Detention Hearing, the Juvenile Court holds a Jurisdiction Hearing to determine if there is enough evidence for the child to come under the jurisdiction of the Juvenile Court.</w:t>
            </w:r>
          </w:p>
        </w:tc>
      </w:tr>
      <w:tr w:rsidR="00D86A11">
        <w:trPr>
          <w:trHeight w:val="2646"/>
        </w:trPr>
        <w:tc>
          <w:tcPr>
            <w:tcW w:w="630" w:type="dxa"/>
            <w:shd w:val="clear" w:color="auto" w:fill="auto"/>
            <w:vAlign w:val="center"/>
          </w:tcPr>
          <w:p w:rsidR="00D86A11" w:rsidRPr="007A76C3" w:rsidRDefault="00D86A11" w:rsidP="00D86A11">
            <w:pPr>
              <w:pStyle w:val="BodyText"/>
              <w:rPr>
                <w:color w:val="013161"/>
              </w:rPr>
            </w:pPr>
            <w:r w:rsidRPr="007A76C3">
              <w:rPr>
                <w:color w:val="013161"/>
              </w:rPr>
              <w:t>6</w:t>
            </w:r>
          </w:p>
        </w:tc>
        <w:tc>
          <w:tcPr>
            <w:tcW w:w="8820" w:type="dxa"/>
            <w:shd w:val="clear" w:color="auto" w:fill="auto"/>
            <w:vAlign w:val="center"/>
          </w:tcPr>
          <w:p w:rsidR="00D86A11" w:rsidRPr="00A57556" w:rsidRDefault="00D86A11" w:rsidP="00D86A11">
            <w:pPr>
              <w:pStyle w:val="BodyText"/>
              <w:spacing w:after="0" w:line="240" w:lineRule="auto"/>
              <w:rPr>
                <w:color w:val="013161"/>
              </w:rPr>
            </w:pPr>
            <w:r w:rsidRPr="00A57556">
              <w:rPr>
                <w:color w:val="013161"/>
              </w:rPr>
              <w:t>If the Disposition Hearing is not held immediately after the Jurisdiction Hearing, it must be held within 60 days of the Detention Hearing. At the Disposition Hearing the Juvenile Court decides whether to declare the child a dependent and addresses placement of the child, protective orders, and orders the Case Plan which include specifics regarding visitation and services for the child and family.</w:t>
            </w:r>
          </w:p>
          <w:p w:rsidR="000B1863" w:rsidRDefault="00D86A11">
            <w:pPr>
              <w:pStyle w:val="ColorfulList-Accent11"/>
              <w:numPr>
                <w:ilvl w:val="0"/>
                <w:numId w:val="11"/>
              </w:numPr>
              <w:rPr>
                <w:rFonts w:ascii="Calibri" w:hAnsi="Calibri"/>
                <w:color w:val="013161"/>
              </w:rPr>
            </w:pPr>
            <w:r w:rsidRPr="009A4D3F">
              <w:rPr>
                <w:rFonts w:ascii="Calibri" w:hAnsi="Calibri" w:cs="Perpetua"/>
                <w:color w:val="013161"/>
                <w:sz w:val="22"/>
                <w:szCs w:val="22"/>
              </w:rPr>
              <w:t xml:space="preserve">If the child is adjudicated a dependent, the family will receive a Family Maintenance or Reunification plan. </w:t>
            </w:r>
          </w:p>
          <w:p w:rsidR="000B1863" w:rsidRDefault="00D86A11">
            <w:pPr>
              <w:pStyle w:val="ColorfulList-Accent11"/>
              <w:numPr>
                <w:ilvl w:val="0"/>
                <w:numId w:val="11"/>
              </w:numPr>
              <w:rPr>
                <w:color w:val="013161"/>
              </w:rPr>
            </w:pPr>
            <w:r w:rsidRPr="00B24B33">
              <w:rPr>
                <w:rFonts w:ascii="Calibri" w:hAnsi="Calibri" w:cs="Perpetua"/>
                <w:color w:val="013161"/>
                <w:sz w:val="22"/>
                <w:szCs w:val="22"/>
              </w:rPr>
              <w:t>If the child is not adjudicated a dependent, the Juvenile Court may dismiss the case or order Voluntary Services for the child and family.</w:t>
            </w:r>
          </w:p>
        </w:tc>
      </w:tr>
      <w:tr w:rsidR="00D86A11">
        <w:tc>
          <w:tcPr>
            <w:tcW w:w="630" w:type="dxa"/>
            <w:shd w:val="clear" w:color="auto" w:fill="DBE5F1"/>
            <w:vAlign w:val="center"/>
          </w:tcPr>
          <w:p w:rsidR="00D86A11" w:rsidRPr="007A76C3" w:rsidRDefault="00D86A11" w:rsidP="00D86A11">
            <w:pPr>
              <w:pStyle w:val="BodyText"/>
              <w:rPr>
                <w:color w:val="013161"/>
              </w:rPr>
            </w:pPr>
            <w:r w:rsidRPr="007A76C3">
              <w:rPr>
                <w:color w:val="013161"/>
              </w:rPr>
              <w:t>7</w:t>
            </w:r>
          </w:p>
        </w:tc>
        <w:tc>
          <w:tcPr>
            <w:tcW w:w="8820" w:type="dxa"/>
            <w:shd w:val="clear" w:color="auto" w:fill="DBE5F1"/>
            <w:vAlign w:val="center"/>
          </w:tcPr>
          <w:p w:rsidR="00D86A11" w:rsidRPr="007A76C3" w:rsidRDefault="00D86A11" w:rsidP="00D86A11">
            <w:pPr>
              <w:pStyle w:val="BodyText"/>
              <w:spacing w:after="0" w:line="240" w:lineRule="auto"/>
              <w:rPr>
                <w:color w:val="013161"/>
              </w:rPr>
            </w:pPr>
            <w:r w:rsidRPr="007A76C3">
              <w:rPr>
                <w:color w:val="013161"/>
              </w:rPr>
              <w:t>After the Disposition Hearing, the social worker is responsible for assisting the family with the case plan ordered by the Juvenile Court.</w:t>
            </w:r>
          </w:p>
        </w:tc>
      </w:tr>
      <w:tr w:rsidR="00D86A11">
        <w:trPr>
          <w:trHeight w:val="657"/>
        </w:trPr>
        <w:tc>
          <w:tcPr>
            <w:tcW w:w="630" w:type="dxa"/>
            <w:shd w:val="clear" w:color="auto" w:fill="auto"/>
            <w:vAlign w:val="center"/>
          </w:tcPr>
          <w:p w:rsidR="00D86A11" w:rsidRPr="007A76C3" w:rsidRDefault="00D86A11" w:rsidP="00D86A11">
            <w:pPr>
              <w:pStyle w:val="BodyText"/>
              <w:rPr>
                <w:color w:val="013161"/>
              </w:rPr>
            </w:pPr>
            <w:r w:rsidRPr="007A76C3">
              <w:rPr>
                <w:color w:val="013161"/>
              </w:rPr>
              <w:t>8</w:t>
            </w:r>
          </w:p>
        </w:tc>
        <w:tc>
          <w:tcPr>
            <w:tcW w:w="8820" w:type="dxa"/>
            <w:shd w:val="clear" w:color="auto" w:fill="auto"/>
            <w:vAlign w:val="center"/>
          </w:tcPr>
          <w:p w:rsidR="00D86A11" w:rsidRPr="00AD6B4A" w:rsidRDefault="00D86A11" w:rsidP="00D86A11">
            <w:pPr>
              <w:pStyle w:val="BodyText"/>
              <w:spacing w:after="0" w:line="240" w:lineRule="auto"/>
              <w:rPr>
                <w:color w:val="013161"/>
              </w:rPr>
            </w:pPr>
            <w:r w:rsidRPr="00AD6B4A">
              <w:rPr>
                <w:color w:val="013161"/>
              </w:rPr>
              <w:t>Review Hearings are held at six-month intervals to evaluate the progress of the child and family and to facilitate permanency.</w:t>
            </w:r>
          </w:p>
        </w:tc>
      </w:tr>
      <w:tr w:rsidR="00D86A11">
        <w:trPr>
          <w:trHeight w:val="288"/>
        </w:trPr>
        <w:tc>
          <w:tcPr>
            <w:tcW w:w="630" w:type="dxa"/>
            <w:shd w:val="clear" w:color="auto" w:fill="DBE5F1"/>
            <w:vAlign w:val="center"/>
          </w:tcPr>
          <w:p w:rsidR="00D86A11" w:rsidRPr="007A76C3" w:rsidRDefault="00D86A11" w:rsidP="00D86A11">
            <w:pPr>
              <w:pStyle w:val="BodyText"/>
              <w:rPr>
                <w:color w:val="013161"/>
              </w:rPr>
            </w:pPr>
            <w:r w:rsidRPr="007A76C3">
              <w:rPr>
                <w:color w:val="013161"/>
              </w:rPr>
              <w:t>9</w:t>
            </w:r>
          </w:p>
        </w:tc>
        <w:tc>
          <w:tcPr>
            <w:tcW w:w="8820" w:type="dxa"/>
            <w:shd w:val="clear" w:color="auto" w:fill="DBE5F1"/>
            <w:vAlign w:val="center"/>
          </w:tcPr>
          <w:p w:rsidR="00D86A11" w:rsidRPr="00AD6B4A" w:rsidRDefault="00D86A11" w:rsidP="00D86A11">
            <w:pPr>
              <w:rPr>
                <w:rFonts w:ascii="Calibri" w:hAnsi="Calibri" w:cs="Perpetua"/>
                <w:color w:val="013161"/>
                <w:szCs w:val="22"/>
              </w:rPr>
            </w:pPr>
            <w:r w:rsidRPr="00AD6B4A">
              <w:rPr>
                <w:rFonts w:ascii="Calibri" w:hAnsi="Calibri" w:cs="Perpetua"/>
                <w:color w:val="013161"/>
                <w:szCs w:val="22"/>
              </w:rPr>
              <w:t>If the child has not reunified within the 12 month reunification time period allotted</w:t>
            </w:r>
            <w:r>
              <w:rPr>
                <w:rFonts w:ascii="Calibri" w:hAnsi="Calibri" w:cs="Perpetua"/>
                <w:color w:val="013161"/>
                <w:szCs w:val="22"/>
              </w:rPr>
              <w:t>,</w:t>
            </w:r>
            <w:r w:rsidRPr="00AD6B4A">
              <w:rPr>
                <w:rFonts w:ascii="Calibri" w:hAnsi="Calibri" w:cs="Perpetua"/>
                <w:color w:val="013161"/>
                <w:szCs w:val="22"/>
              </w:rPr>
              <w:t xml:space="preserve"> the agency must make a recommendation for a permanent plan for the child. This is accomplished at the WIC 366.26 Selection and Implementation Hearing. Adoption is the most preferred permanent plan; however it is not appropriate for all children/youth and their caregivers. Guardianship is an option for some children and for other “permanent placement with a fit and willing relative” is the most appropriate plan.</w:t>
            </w:r>
          </w:p>
        </w:tc>
      </w:tr>
    </w:tbl>
    <w:p w:rsidR="00D86A11" w:rsidRPr="00063B02" w:rsidRDefault="00D86A11" w:rsidP="00D86A11">
      <w:pPr>
        <w:pStyle w:val="BodyText"/>
        <w:rPr>
          <w:rFonts w:ascii="Franklin Gothic Book" w:eastAsia="Perpetua" w:hAnsi="Franklin Gothic Book"/>
          <w:b/>
          <w:spacing w:val="20"/>
          <w:szCs w:val="28"/>
        </w:rPr>
      </w:pPr>
    </w:p>
    <w:p w:rsidR="00D86A11" w:rsidRPr="00063B02" w:rsidRDefault="00D86A11" w:rsidP="00D86A11">
      <w:pPr>
        <w:pStyle w:val="BodyText"/>
        <w:rPr>
          <w:rFonts w:ascii="Franklin Gothic Book" w:eastAsia="Perpetua" w:hAnsi="Franklin Gothic Book"/>
          <w:spacing w:val="20"/>
          <w:szCs w:val="28"/>
        </w:rPr>
      </w:pPr>
      <w:r w:rsidRPr="00063B02">
        <w:rPr>
          <w:rFonts w:ascii="Franklin Gothic Book" w:eastAsia="Perpetua" w:hAnsi="Franklin Gothic Book"/>
          <w:b/>
          <w:spacing w:val="20"/>
          <w:szCs w:val="28"/>
        </w:rPr>
        <w:t>Probation’s Delinquency Court System</w:t>
      </w:r>
      <w:r w:rsidRPr="00063B02">
        <w:rPr>
          <w:rFonts w:ascii="Franklin Gothic Book" w:eastAsia="Perpetua" w:hAnsi="Franklin Gothic Book"/>
          <w:spacing w:val="20"/>
          <w:szCs w:val="28"/>
        </w:rPr>
        <w:t>: The delinquency system focuses on the rehabilitation of the child and protection of the community</w:t>
      </w:r>
      <w:r>
        <w:rPr>
          <w:rFonts w:ascii="Franklin Gothic Book" w:eastAsia="Perpetua" w:hAnsi="Franklin Gothic Book"/>
          <w:spacing w:val="20"/>
          <w:szCs w:val="28"/>
        </w:rPr>
        <w:t xml:space="preserve">. </w:t>
      </w:r>
      <w:r w:rsidRPr="00063B02">
        <w:rPr>
          <w:rFonts w:ascii="Franklin Gothic Book" w:eastAsia="Perpetua" w:hAnsi="Franklin Gothic Book"/>
          <w:spacing w:val="20"/>
          <w:szCs w:val="28"/>
        </w:rPr>
        <w:t xml:space="preserve">The Juvenile Court delinquency system proceeds, in general, as follows: </w:t>
      </w:r>
    </w:p>
    <w:tbl>
      <w:tblPr>
        <w:tblW w:w="0" w:type="auto"/>
        <w:tblBorders>
          <w:top w:val="single" w:sz="18" w:space="0" w:color="F6872B"/>
          <w:left w:val="single" w:sz="18" w:space="0" w:color="F6872B"/>
          <w:bottom w:val="single" w:sz="18" w:space="0" w:color="F6872B"/>
          <w:right w:val="single" w:sz="18" w:space="0" w:color="F6872B"/>
        </w:tblBorders>
        <w:tblLayout w:type="fixed"/>
        <w:tblLook w:val="01E0" w:firstRow="1" w:lastRow="1" w:firstColumn="1" w:lastColumn="1" w:noHBand="0" w:noVBand="0"/>
      </w:tblPr>
      <w:tblGrid>
        <w:gridCol w:w="810"/>
        <w:gridCol w:w="8658"/>
      </w:tblGrid>
      <w:tr w:rsidR="00D86A11" w:rsidRPr="004229F9">
        <w:tc>
          <w:tcPr>
            <w:tcW w:w="9468" w:type="dxa"/>
            <w:gridSpan w:val="2"/>
            <w:shd w:val="clear" w:color="auto" w:fill="013161"/>
          </w:tcPr>
          <w:p w:rsidR="00D86A11" w:rsidRPr="009A4D3F" w:rsidRDefault="00D86A11" w:rsidP="00D86A11">
            <w:pPr>
              <w:spacing w:before="60" w:after="60"/>
              <w:jc w:val="center"/>
              <w:rPr>
                <w:rFonts w:ascii="Calibri" w:eastAsia="Times New Roman" w:hAnsi="Calibri"/>
                <w:b/>
                <w:bCs/>
                <w:color w:val="FFFFFF"/>
                <w:szCs w:val="22"/>
              </w:rPr>
            </w:pPr>
            <w:r w:rsidRPr="009A4D3F">
              <w:rPr>
                <w:rFonts w:ascii="Calibri" w:eastAsia="Times New Roman" w:hAnsi="Calibri"/>
                <w:b/>
                <w:bCs/>
                <w:szCs w:val="22"/>
              </w:rPr>
              <w:br w:type="page"/>
            </w:r>
            <w:r w:rsidRPr="00DB1585">
              <w:rPr>
                <w:rFonts w:ascii="Calibri" w:eastAsia="Times New Roman" w:hAnsi="Calibri" w:cs="Arial"/>
                <w:b/>
                <w:bCs/>
                <w:color w:val="FFFFFF"/>
                <w:sz w:val="24"/>
                <w:szCs w:val="22"/>
              </w:rPr>
              <w:t>Exhibit</w:t>
            </w:r>
            <w:r>
              <w:rPr>
                <w:rFonts w:ascii="Calibri" w:eastAsia="Times New Roman" w:hAnsi="Calibri" w:cs="Arial"/>
                <w:b/>
                <w:bCs/>
                <w:color w:val="FFFFFF"/>
                <w:sz w:val="24"/>
                <w:szCs w:val="22"/>
              </w:rPr>
              <w:t xml:space="preserve"> 51</w:t>
            </w:r>
            <w:r w:rsidRPr="00DB1585">
              <w:rPr>
                <w:rFonts w:ascii="Calibri" w:eastAsia="Times New Roman" w:hAnsi="Calibri" w:cs="Arial"/>
                <w:b/>
                <w:bCs/>
                <w:color w:val="FFFFFF"/>
                <w:sz w:val="24"/>
                <w:szCs w:val="22"/>
              </w:rPr>
              <w:t>. Juvenile Court Delinquency System Steps</w:t>
            </w:r>
          </w:p>
        </w:tc>
      </w:tr>
      <w:tr w:rsidR="00D86A11" w:rsidRPr="004229F9">
        <w:tc>
          <w:tcPr>
            <w:tcW w:w="810" w:type="dxa"/>
            <w:shd w:val="clear" w:color="auto" w:fill="013161"/>
          </w:tcPr>
          <w:p w:rsidR="00D86A11" w:rsidRPr="009A4D3F" w:rsidRDefault="00D86A11" w:rsidP="00D86A11">
            <w:pPr>
              <w:spacing w:before="60" w:after="60"/>
              <w:rPr>
                <w:rFonts w:ascii="Calibri" w:eastAsia="Times New Roman" w:hAnsi="Calibri"/>
                <w:b/>
                <w:bCs/>
                <w:color w:val="FFFFFF"/>
                <w:szCs w:val="22"/>
              </w:rPr>
            </w:pPr>
            <w:r w:rsidRPr="009A4D3F">
              <w:rPr>
                <w:rFonts w:ascii="Calibri" w:eastAsia="Times New Roman" w:hAnsi="Calibri"/>
                <w:b/>
                <w:bCs/>
                <w:color w:val="FFFFFF"/>
                <w:szCs w:val="22"/>
              </w:rPr>
              <w:t>Step</w:t>
            </w:r>
          </w:p>
        </w:tc>
        <w:tc>
          <w:tcPr>
            <w:tcW w:w="8658" w:type="dxa"/>
            <w:shd w:val="clear" w:color="auto" w:fill="013161"/>
          </w:tcPr>
          <w:p w:rsidR="00D86A11" w:rsidRPr="009A4D3F" w:rsidRDefault="00D86A11" w:rsidP="00D86A11">
            <w:pPr>
              <w:spacing w:before="60" w:after="60"/>
              <w:rPr>
                <w:rFonts w:ascii="Calibri" w:eastAsia="Times New Roman" w:hAnsi="Calibri"/>
                <w:b/>
                <w:bCs/>
                <w:color w:val="FFFFFF"/>
                <w:szCs w:val="22"/>
              </w:rPr>
            </w:pPr>
            <w:r w:rsidRPr="009A4D3F">
              <w:rPr>
                <w:rFonts w:ascii="Calibri" w:eastAsia="Times New Roman" w:hAnsi="Calibri"/>
                <w:b/>
                <w:bCs/>
                <w:color w:val="FFFFFF"/>
                <w:szCs w:val="22"/>
              </w:rPr>
              <w:t>Action</w:t>
            </w:r>
          </w:p>
        </w:tc>
      </w:tr>
      <w:tr w:rsidR="00D86A11" w:rsidRPr="004229F9">
        <w:tc>
          <w:tcPr>
            <w:tcW w:w="810" w:type="dxa"/>
            <w:shd w:val="clear" w:color="auto" w:fill="DBE5F1"/>
            <w:vAlign w:val="center"/>
          </w:tcPr>
          <w:p w:rsidR="00D86A11" w:rsidRPr="009A4D3F" w:rsidRDefault="00D86A11" w:rsidP="00D86A11">
            <w:pPr>
              <w:spacing w:before="60" w:after="60"/>
              <w:rPr>
                <w:rFonts w:ascii="Calibri" w:eastAsia="Times New Roman" w:hAnsi="Calibri"/>
                <w:b/>
                <w:bCs/>
                <w:color w:val="013161"/>
                <w:szCs w:val="22"/>
              </w:rPr>
            </w:pPr>
            <w:r w:rsidRPr="009A4D3F">
              <w:rPr>
                <w:rFonts w:ascii="Calibri" w:eastAsia="Times New Roman" w:hAnsi="Calibri"/>
                <w:b/>
                <w:bCs/>
                <w:color w:val="013161"/>
                <w:szCs w:val="22"/>
              </w:rPr>
              <w:t>1</w:t>
            </w:r>
          </w:p>
        </w:tc>
        <w:tc>
          <w:tcPr>
            <w:tcW w:w="8658" w:type="dxa"/>
            <w:shd w:val="clear" w:color="auto" w:fill="DBE5F1"/>
            <w:vAlign w:val="center"/>
          </w:tcPr>
          <w:p w:rsidR="00D86A11" w:rsidRPr="009A4D3F" w:rsidRDefault="00D86A11" w:rsidP="00D86A11">
            <w:pPr>
              <w:spacing w:before="60" w:after="60"/>
              <w:rPr>
                <w:rFonts w:ascii="Calibri" w:eastAsia="Times New Roman" w:hAnsi="Calibri"/>
                <w:bCs/>
                <w:color w:val="013161"/>
                <w:szCs w:val="22"/>
              </w:rPr>
            </w:pPr>
            <w:r w:rsidRPr="009A4D3F">
              <w:rPr>
                <w:rFonts w:ascii="Calibri" w:eastAsia="Times New Roman" w:hAnsi="Calibri"/>
                <w:bCs/>
                <w:color w:val="013161"/>
                <w:szCs w:val="22"/>
              </w:rPr>
              <w:t>When law enforcement takes a child into custody, law enforcement decides whether to: 1) detain the child in Juvenile Hall; 2) release the child to his/her parents, or 3) release and refer the child to a diversion program</w:t>
            </w:r>
            <w:r>
              <w:rPr>
                <w:rFonts w:ascii="Calibri" w:eastAsia="Times New Roman" w:hAnsi="Calibri"/>
                <w:bCs/>
                <w:color w:val="013161"/>
                <w:szCs w:val="22"/>
              </w:rPr>
              <w:t xml:space="preserve">. </w:t>
            </w:r>
            <w:r w:rsidRPr="009A4D3F">
              <w:rPr>
                <w:rFonts w:ascii="Calibri" w:eastAsia="Times New Roman" w:hAnsi="Calibri"/>
                <w:bCs/>
                <w:color w:val="013161"/>
                <w:szCs w:val="22"/>
              </w:rPr>
              <w:t>Note: If the child is not detained, the case proceeds to Step five</w:t>
            </w:r>
            <w:r>
              <w:rPr>
                <w:rFonts w:ascii="Calibri" w:eastAsia="Times New Roman" w:hAnsi="Calibri"/>
                <w:bCs/>
                <w:color w:val="013161"/>
                <w:szCs w:val="22"/>
              </w:rPr>
              <w:t xml:space="preserve">. </w:t>
            </w:r>
          </w:p>
        </w:tc>
      </w:tr>
      <w:tr w:rsidR="00D86A11" w:rsidRPr="004229F9">
        <w:tc>
          <w:tcPr>
            <w:tcW w:w="810" w:type="dxa"/>
            <w:shd w:val="clear" w:color="auto" w:fill="FFFFFF"/>
            <w:vAlign w:val="center"/>
          </w:tcPr>
          <w:p w:rsidR="00D86A11" w:rsidRPr="009A4D3F" w:rsidRDefault="00D86A11" w:rsidP="00D86A11">
            <w:pPr>
              <w:spacing w:before="60" w:after="60"/>
              <w:rPr>
                <w:rFonts w:ascii="Calibri" w:eastAsia="Times New Roman" w:hAnsi="Calibri"/>
                <w:b/>
                <w:bCs/>
                <w:color w:val="013161"/>
                <w:szCs w:val="22"/>
              </w:rPr>
            </w:pPr>
            <w:r w:rsidRPr="009A4D3F">
              <w:rPr>
                <w:rFonts w:ascii="Calibri" w:eastAsia="Times New Roman" w:hAnsi="Calibri"/>
                <w:b/>
                <w:bCs/>
                <w:color w:val="013161"/>
                <w:szCs w:val="22"/>
              </w:rPr>
              <w:t>2</w:t>
            </w:r>
          </w:p>
        </w:tc>
        <w:tc>
          <w:tcPr>
            <w:tcW w:w="8658" w:type="dxa"/>
            <w:shd w:val="clear" w:color="auto" w:fill="FFFFFF"/>
            <w:vAlign w:val="center"/>
          </w:tcPr>
          <w:p w:rsidR="00D86A11" w:rsidRPr="009A4D3F" w:rsidRDefault="00D86A11" w:rsidP="00D86A11">
            <w:pPr>
              <w:spacing w:before="60" w:after="60"/>
              <w:rPr>
                <w:rFonts w:ascii="Calibri" w:eastAsia="Times New Roman" w:hAnsi="Calibri"/>
                <w:bCs/>
                <w:color w:val="013161"/>
                <w:szCs w:val="22"/>
              </w:rPr>
            </w:pPr>
            <w:r w:rsidRPr="009A4D3F">
              <w:rPr>
                <w:rFonts w:ascii="Calibri" w:eastAsia="Times New Roman" w:hAnsi="Calibri"/>
                <w:bCs/>
                <w:color w:val="013161"/>
                <w:szCs w:val="22"/>
              </w:rPr>
              <w:t>Probation Department’s Intake Unit assesses each case to determine whether to request the filing of a petition for wardship.</w:t>
            </w:r>
          </w:p>
        </w:tc>
      </w:tr>
      <w:tr w:rsidR="00D86A11" w:rsidRPr="004229F9">
        <w:tc>
          <w:tcPr>
            <w:tcW w:w="810" w:type="dxa"/>
            <w:shd w:val="clear" w:color="auto" w:fill="DBE5F1"/>
            <w:vAlign w:val="center"/>
          </w:tcPr>
          <w:p w:rsidR="00D86A11" w:rsidRPr="009A4D3F" w:rsidRDefault="00D86A11" w:rsidP="00D86A11">
            <w:pPr>
              <w:spacing w:before="60" w:after="60"/>
              <w:rPr>
                <w:rFonts w:ascii="Calibri" w:eastAsia="Times New Roman" w:hAnsi="Calibri"/>
                <w:b/>
                <w:bCs/>
                <w:color w:val="013161"/>
                <w:szCs w:val="22"/>
              </w:rPr>
            </w:pPr>
            <w:r w:rsidRPr="009A4D3F">
              <w:rPr>
                <w:rFonts w:ascii="Calibri" w:eastAsia="Times New Roman" w:hAnsi="Calibri"/>
                <w:b/>
                <w:bCs/>
                <w:color w:val="013161"/>
                <w:szCs w:val="22"/>
              </w:rPr>
              <w:lastRenderedPageBreak/>
              <w:t>3</w:t>
            </w:r>
          </w:p>
        </w:tc>
        <w:tc>
          <w:tcPr>
            <w:tcW w:w="8658" w:type="dxa"/>
            <w:shd w:val="clear" w:color="auto" w:fill="DBE5F1"/>
            <w:vAlign w:val="center"/>
          </w:tcPr>
          <w:p w:rsidR="00D86A11" w:rsidRPr="009A4D3F" w:rsidRDefault="00D86A11" w:rsidP="00D86A11">
            <w:pPr>
              <w:spacing w:before="60" w:after="60"/>
              <w:rPr>
                <w:rFonts w:ascii="Calibri" w:eastAsia="Times New Roman" w:hAnsi="Calibri"/>
                <w:bCs/>
                <w:color w:val="013161"/>
                <w:szCs w:val="22"/>
              </w:rPr>
            </w:pPr>
            <w:r w:rsidRPr="009A4D3F">
              <w:rPr>
                <w:rFonts w:ascii="Calibri" w:eastAsia="Times New Roman" w:hAnsi="Calibri"/>
                <w:bCs/>
                <w:color w:val="013161"/>
                <w:szCs w:val="22"/>
              </w:rPr>
              <w:t>If a petition is requested, the District Attorney files a petition and the Probation Department conducts an investigation to ascertain the facts of the allegations for the detention report.</w:t>
            </w:r>
          </w:p>
        </w:tc>
      </w:tr>
      <w:tr w:rsidR="00D86A11" w:rsidRPr="004229F9">
        <w:tc>
          <w:tcPr>
            <w:tcW w:w="810" w:type="dxa"/>
            <w:shd w:val="clear" w:color="auto" w:fill="FFFFFF"/>
            <w:vAlign w:val="center"/>
          </w:tcPr>
          <w:p w:rsidR="00D86A11" w:rsidRPr="009A4D3F" w:rsidRDefault="00D86A11" w:rsidP="00D86A11">
            <w:pPr>
              <w:spacing w:before="60" w:after="60"/>
              <w:rPr>
                <w:rFonts w:ascii="Calibri" w:eastAsia="Times New Roman" w:hAnsi="Calibri"/>
                <w:b/>
                <w:bCs/>
                <w:color w:val="013161"/>
                <w:szCs w:val="22"/>
              </w:rPr>
            </w:pPr>
            <w:r w:rsidRPr="009A4D3F">
              <w:rPr>
                <w:rFonts w:ascii="Calibri" w:eastAsia="Times New Roman" w:hAnsi="Calibri"/>
                <w:b/>
                <w:bCs/>
                <w:color w:val="013161"/>
                <w:szCs w:val="22"/>
              </w:rPr>
              <w:t>4</w:t>
            </w:r>
          </w:p>
        </w:tc>
        <w:tc>
          <w:tcPr>
            <w:tcW w:w="8658" w:type="dxa"/>
            <w:shd w:val="clear" w:color="auto" w:fill="FFFFFF"/>
            <w:vAlign w:val="center"/>
          </w:tcPr>
          <w:p w:rsidR="00D86A11" w:rsidRPr="009A4D3F" w:rsidRDefault="00D86A11" w:rsidP="00D86A11">
            <w:pPr>
              <w:spacing w:before="60" w:after="60"/>
              <w:rPr>
                <w:rFonts w:ascii="Calibri" w:eastAsia="Times New Roman" w:hAnsi="Calibri"/>
                <w:bCs/>
                <w:color w:val="013161"/>
                <w:szCs w:val="22"/>
              </w:rPr>
            </w:pPr>
            <w:r w:rsidRPr="009A4D3F">
              <w:rPr>
                <w:rFonts w:ascii="Calibri" w:eastAsia="Times New Roman" w:hAnsi="Calibri"/>
                <w:bCs/>
                <w:color w:val="013161"/>
                <w:szCs w:val="22"/>
              </w:rPr>
              <w:t>If the child is detained, the Juvenile Court holds a Detention Hearing. At this hearing the child is appointed an attorney to represent the child's legal interests</w:t>
            </w:r>
            <w:r>
              <w:rPr>
                <w:rFonts w:ascii="Calibri" w:eastAsia="Times New Roman" w:hAnsi="Calibri"/>
                <w:bCs/>
                <w:color w:val="013161"/>
                <w:szCs w:val="22"/>
              </w:rPr>
              <w:t xml:space="preserve">. </w:t>
            </w:r>
            <w:r w:rsidRPr="009A4D3F">
              <w:rPr>
                <w:rFonts w:ascii="Calibri" w:eastAsia="Times New Roman" w:hAnsi="Calibri"/>
                <w:bCs/>
                <w:color w:val="013161"/>
                <w:szCs w:val="22"/>
              </w:rPr>
              <w:t>During this hearing, the Juvenile Court reviews the petition and determines whether the child should be either returned home (with or without restrictions) or detained in Juvenile Hall</w:t>
            </w:r>
            <w:r>
              <w:rPr>
                <w:rFonts w:ascii="Calibri" w:eastAsia="Times New Roman" w:hAnsi="Calibri"/>
                <w:bCs/>
                <w:color w:val="013161"/>
                <w:szCs w:val="22"/>
              </w:rPr>
              <w:t xml:space="preserve">. </w:t>
            </w:r>
          </w:p>
        </w:tc>
      </w:tr>
      <w:tr w:rsidR="00D86A11" w:rsidRPr="004229F9">
        <w:tc>
          <w:tcPr>
            <w:tcW w:w="810" w:type="dxa"/>
            <w:shd w:val="clear" w:color="auto" w:fill="DBE5F1"/>
            <w:vAlign w:val="center"/>
          </w:tcPr>
          <w:p w:rsidR="00D86A11" w:rsidRPr="009A4D3F" w:rsidRDefault="00D86A11" w:rsidP="00D86A11">
            <w:pPr>
              <w:spacing w:before="60" w:after="60"/>
              <w:rPr>
                <w:rFonts w:ascii="Calibri" w:eastAsia="Times New Roman" w:hAnsi="Calibri"/>
                <w:b/>
                <w:bCs/>
                <w:color w:val="013161"/>
                <w:szCs w:val="22"/>
              </w:rPr>
            </w:pPr>
            <w:r w:rsidRPr="009A4D3F">
              <w:rPr>
                <w:rFonts w:ascii="Calibri" w:eastAsia="Times New Roman" w:hAnsi="Calibri"/>
                <w:b/>
                <w:bCs/>
                <w:color w:val="013161"/>
                <w:szCs w:val="22"/>
              </w:rPr>
              <w:t>5</w:t>
            </w:r>
          </w:p>
        </w:tc>
        <w:tc>
          <w:tcPr>
            <w:tcW w:w="8658" w:type="dxa"/>
            <w:shd w:val="clear" w:color="auto" w:fill="DBE5F1"/>
            <w:vAlign w:val="center"/>
          </w:tcPr>
          <w:p w:rsidR="00D86A11" w:rsidRPr="009A4D3F" w:rsidRDefault="00D86A11" w:rsidP="00D86A11">
            <w:pPr>
              <w:spacing w:before="60" w:after="60"/>
              <w:rPr>
                <w:rFonts w:ascii="Calibri" w:eastAsia="Times New Roman" w:hAnsi="Calibri"/>
                <w:bCs/>
                <w:color w:val="013161"/>
                <w:szCs w:val="22"/>
              </w:rPr>
            </w:pPr>
            <w:r w:rsidRPr="009A4D3F">
              <w:rPr>
                <w:rFonts w:ascii="Calibri" w:eastAsia="Times New Roman" w:hAnsi="Calibri"/>
                <w:bCs/>
                <w:color w:val="013161"/>
                <w:szCs w:val="22"/>
              </w:rPr>
              <w:t>The next hearing is a Readiness Hearing</w:t>
            </w:r>
            <w:r>
              <w:rPr>
                <w:rFonts w:ascii="Calibri" w:eastAsia="Times New Roman" w:hAnsi="Calibri"/>
                <w:bCs/>
                <w:color w:val="013161"/>
                <w:szCs w:val="22"/>
              </w:rPr>
              <w:t xml:space="preserve">. </w:t>
            </w:r>
            <w:r w:rsidRPr="009A4D3F">
              <w:rPr>
                <w:rFonts w:ascii="Calibri" w:eastAsia="Times New Roman" w:hAnsi="Calibri"/>
                <w:bCs/>
                <w:color w:val="013161"/>
                <w:szCs w:val="22"/>
              </w:rPr>
              <w:t xml:space="preserve">At the Readiness Hearing, the Juvenile Court accepts the child's admission or denial to the charges presented in the petition:  </w:t>
            </w:r>
          </w:p>
          <w:p w:rsidR="00D86A11" w:rsidRPr="009A4D3F" w:rsidRDefault="00D86A11" w:rsidP="00D86A11">
            <w:pPr>
              <w:numPr>
                <w:ilvl w:val="0"/>
                <w:numId w:val="7"/>
              </w:numPr>
              <w:spacing w:before="60" w:after="0" w:line="240" w:lineRule="auto"/>
              <w:rPr>
                <w:rFonts w:ascii="Calibri" w:eastAsia="Times New Roman" w:hAnsi="Calibri"/>
                <w:bCs/>
                <w:color w:val="013161"/>
                <w:szCs w:val="22"/>
              </w:rPr>
            </w:pPr>
            <w:r w:rsidRPr="009A4D3F">
              <w:rPr>
                <w:rFonts w:ascii="Calibri" w:eastAsia="Times New Roman" w:hAnsi="Calibri"/>
                <w:bCs/>
                <w:color w:val="013161"/>
                <w:szCs w:val="22"/>
              </w:rPr>
              <w:t>If the child admits the charges, the case is then set for disposition</w:t>
            </w:r>
            <w:r>
              <w:rPr>
                <w:rFonts w:ascii="Calibri" w:eastAsia="Times New Roman" w:hAnsi="Calibri"/>
                <w:bCs/>
                <w:color w:val="013161"/>
                <w:szCs w:val="22"/>
              </w:rPr>
              <w:t xml:space="preserve">. </w:t>
            </w:r>
          </w:p>
          <w:p w:rsidR="00D86A11" w:rsidRPr="009A4D3F" w:rsidRDefault="00D86A11" w:rsidP="00D86A11">
            <w:pPr>
              <w:numPr>
                <w:ilvl w:val="0"/>
                <w:numId w:val="8"/>
              </w:numPr>
              <w:spacing w:before="60" w:after="60" w:line="240" w:lineRule="auto"/>
              <w:rPr>
                <w:rFonts w:ascii="Calibri" w:eastAsia="Times New Roman" w:hAnsi="Calibri"/>
                <w:bCs/>
                <w:color w:val="013161"/>
                <w:szCs w:val="22"/>
              </w:rPr>
            </w:pPr>
            <w:r w:rsidRPr="009A4D3F">
              <w:rPr>
                <w:rFonts w:ascii="Calibri" w:eastAsia="Times New Roman" w:hAnsi="Calibri"/>
                <w:bCs/>
                <w:color w:val="013161"/>
                <w:szCs w:val="22"/>
              </w:rPr>
              <w:t>If the child denies the charges, the case will be set for an Adjudication Hearing, which is similar to a trial</w:t>
            </w:r>
            <w:r>
              <w:rPr>
                <w:rFonts w:ascii="Calibri" w:eastAsia="Times New Roman" w:hAnsi="Calibri"/>
                <w:bCs/>
                <w:color w:val="013161"/>
                <w:szCs w:val="22"/>
              </w:rPr>
              <w:t xml:space="preserve">. </w:t>
            </w:r>
            <w:r w:rsidRPr="009A4D3F">
              <w:rPr>
                <w:rFonts w:ascii="Calibri" w:eastAsia="Times New Roman" w:hAnsi="Calibri"/>
                <w:bCs/>
                <w:color w:val="013161"/>
                <w:szCs w:val="22"/>
              </w:rPr>
              <w:t>At the Adjudication Hearing, if the Juvenile Court finds the allegations in the petition true, the Court sets a Disposition Hearing</w:t>
            </w:r>
            <w:r>
              <w:rPr>
                <w:rFonts w:ascii="Calibri" w:eastAsia="Times New Roman" w:hAnsi="Calibri"/>
                <w:bCs/>
                <w:color w:val="013161"/>
                <w:szCs w:val="22"/>
              </w:rPr>
              <w:t xml:space="preserve">. </w:t>
            </w:r>
            <w:r w:rsidRPr="009A4D3F">
              <w:rPr>
                <w:rFonts w:ascii="Calibri" w:eastAsia="Times New Roman" w:hAnsi="Calibri"/>
                <w:bCs/>
                <w:color w:val="013161"/>
                <w:szCs w:val="22"/>
              </w:rPr>
              <w:t>If the Juvenile Court finds the allegations false, the petition is dismissed.</w:t>
            </w:r>
          </w:p>
        </w:tc>
      </w:tr>
      <w:tr w:rsidR="00D86A11" w:rsidRPr="004229F9">
        <w:tc>
          <w:tcPr>
            <w:tcW w:w="810" w:type="dxa"/>
            <w:shd w:val="clear" w:color="auto" w:fill="FFFFFF"/>
            <w:vAlign w:val="center"/>
          </w:tcPr>
          <w:p w:rsidR="00D86A11" w:rsidRPr="009A4D3F" w:rsidRDefault="00D86A11" w:rsidP="00D86A11">
            <w:pPr>
              <w:spacing w:before="60" w:after="60"/>
              <w:rPr>
                <w:rFonts w:ascii="Calibri" w:eastAsia="Times New Roman" w:hAnsi="Calibri"/>
                <w:b/>
                <w:bCs/>
                <w:color w:val="013161"/>
                <w:szCs w:val="22"/>
              </w:rPr>
            </w:pPr>
            <w:r w:rsidRPr="009A4D3F">
              <w:rPr>
                <w:rFonts w:ascii="Calibri" w:eastAsia="Times New Roman" w:hAnsi="Calibri"/>
                <w:b/>
                <w:bCs/>
                <w:color w:val="013161"/>
                <w:szCs w:val="22"/>
              </w:rPr>
              <w:t>6</w:t>
            </w:r>
          </w:p>
        </w:tc>
        <w:tc>
          <w:tcPr>
            <w:tcW w:w="8658" w:type="dxa"/>
            <w:shd w:val="clear" w:color="auto" w:fill="FFFFFF"/>
            <w:vAlign w:val="center"/>
          </w:tcPr>
          <w:p w:rsidR="00D86A11" w:rsidRPr="009A4D3F" w:rsidRDefault="00D86A11" w:rsidP="00D86A11">
            <w:pPr>
              <w:spacing w:before="60" w:after="60"/>
              <w:rPr>
                <w:rFonts w:ascii="Calibri" w:eastAsia="Times New Roman" w:hAnsi="Calibri"/>
                <w:bCs/>
                <w:color w:val="013161"/>
                <w:szCs w:val="22"/>
              </w:rPr>
            </w:pPr>
            <w:r w:rsidRPr="009A4D3F">
              <w:rPr>
                <w:rFonts w:ascii="Calibri" w:eastAsia="Times New Roman" w:hAnsi="Calibri"/>
                <w:bCs/>
                <w:color w:val="013161"/>
                <w:szCs w:val="22"/>
              </w:rPr>
              <w:t>At the Disposition Hearing, the Juvenile Court decides whether or not to declare the child a ward of the Court</w:t>
            </w:r>
            <w:r>
              <w:rPr>
                <w:rFonts w:ascii="Calibri" w:eastAsia="Times New Roman" w:hAnsi="Calibri"/>
                <w:bCs/>
                <w:color w:val="013161"/>
                <w:szCs w:val="22"/>
              </w:rPr>
              <w:t xml:space="preserve">. </w:t>
            </w:r>
            <w:r w:rsidRPr="009A4D3F">
              <w:rPr>
                <w:rFonts w:ascii="Calibri" w:eastAsia="Times New Roman" w:hAnsi="Calibri"/>
                <w:bCs/>
                <w:color w:val="013161"/>
                <w:szCs w:val="22"/>
              </w:rPr>
              <w:t xml:space="preserve">If declared a ward, the Court sets probation conditions for the child and determines the child's placement while on probation. </w:t>
            </w:r>
          </w:p>
        </w:tc>
      </w:tr>
      <w:tr w:rsidR="00D86A11" w:rsidRPr="004229F9">
        <w:tc>
          <w:tcPr>
            <w:tcW w:w="810" w:type="dxa"/>
            <w:shd w:val="clear" w:color="auto" w:fill="DBE5F1"/>
            <w:vAlign w:val="center"/>
          </w:tcPr>
          <w:p w:rsidR="00D86A11" w:rsidRPr="009A4D3F" w:rsidRDefault="00D86A11" w:rsidP="00D86A11">
            <w:pPr>
              <w:spacing w:before="60" w:after="60"/>
              <w:rPr>
                <w:rFonts w:ascii="Calibri" w:eastAsia="Times New Roman" w:hAnsi="Calibri"/>
                <w:b/>
                <w:bCs/>
                <w:color w:val="013161"/>
                <w:szCs w:val="22"/>
              </w:rPr>
            </w:pPr>
            <w:r w:rsidRPr="009A4D3F">
              <w:rPr>
                <w:rFonts w:ascii="Calibri" w:eastAsia="Times New Roman" w:hAnsi="Calibri"/>
                <w:b/>
                <w:bCs/>
                <w:color w:val="013161"/>
                <w:szCs w:val="22"/>
              </w:rPr>
              <w:t>7</w:t>
            </w:r>
          </w:p>
        </w:tc>
        <w:tc>
          <w:tcPr>
            <w:tcW w:w="8658" w:type="dxa"/>
            <w:shd w:val="clear" w:color="auto" w:fill="DBE5F1"/>
            <w:vAlign w:val="center"/>
          </w:tcPr>
          <w:p w:rsidR="00D86A11" w:rsidRPr="009A4D3F" w:rsidRDefault="00D86A11" w:rsidP="00D86A11">
            <w:pPr>
              <w:spacing w:before="60" w:after="60"/>
              <w:rPr>
                <w:rFonts w:ascii="Calibri" w:eastAsia="Times New Roman" w:hAnsi="Calibri"/>
                <w:bCs/>
                <w:color w:val="013161"/>
                <w:szCs w:val="22"/>
              </w:rPr>
            </w:pPr>
            <w:r w:rsidRPr="009A4D3F">
              <w:rPr>
                <w:rFonts w:ascii="Calibri" w:eastAsia="Times New Roman" w:hAnsi="Calibri"/>
                <w:bCs/>
                <w:color w:val="013161"/>
                <w:szCs w:val="22"/>
              </w:rPr>
              <w:t xml:space="preserve">After the Disposition Hearing, Review Hearings </w:t>
            </w:r>
            <w:r w:rsidRPr="005C6698">
              <w:rPr>
                <w:rFonts w:ascii="Calibri" w:eastAsia="Times New Roman" w:hAnsi="Calibri"/>
                <w:bCs/>
                <w:color w:val="013161"/>
                <w:szCs w:val="22"/>
              </w:rPr>
              <w:t>are scheduled at 12-month intervals for non-foster care youth and at six-month intervals for foster-care</w:t>
            </w:r>
            <w:r>
              <w:rPr>
                <w:rFonts w:ascii="Calibri" w:eastAsia="Times New Roman" w:hAnsi="Calibri"/>
                <w:bCs/>
                <w:color w:val="013161"/>
                <w:szCs w:val="22"/>
              </w:rPr>
              <w:t xml:space="preserve"> youth</w:t>
            </w:r>
            <w:r w:rsidRPr="009A4D3F">
              <w:rPr>
                <w:rFonts w:ascii="Calibri" w:eastAsia="Times New Roman" w:hAnsi="Calibri"/>
                <w:bCs/>
                <w:color w:val="013161"/>
                <w:szCs w:val="22"/>
              </w:rPr>
              <w:t xml:space="preserve"> to monitor the child's progress while on probation. </w:t>
            </w:r>
          </w:p>
        </w:tc>
      </w:tr>
    </w:tbl>
    <w:p w:rsidR="00D86A11" w:rsidRPr="00B06033" w:rsidRDefault="00D86A11" w:rsidP="00D86A11">
      <w:pPr>
        <w:pStyle w:val="Heading4"/>
        <w:rPr>
          <w:b w:val="0"/>
          <w:color w:val="2E7029"/>
          <w:szCs w:val="28"/>
        </w:rPr>
      </w:pPr>
      <w:r w:rsidRPr="00B06033">
        <w:rPr>
          <w:b w:val="0"/>
          <w:color w:val="2E7029"/>
          <w:szCs w:val="28"/>
        </w:rPr>
        <w:t>CWS and Juvenile Court Relationship</w:t>
      </w:r>
    </w:p>
    <w:p w:rsidR="00D86A11" w:rsidRPr="005D2195" w:rsidRDefault="00D86A11" w:rsidP="00D86A11">
      <w:pPr>
        <w:pStyle w:val="Heading3"/>
        <w:spacing w:line="276" w:lineRule="auto"/>
        <w:rPr>
          <w:b w:val="0"/>
          <w:color w:val="auto"/>
          <w:sz w:val="22"/>
        </w:rPr>
      </w:pPr>
      <w:r w:rsidRPr="005D2195">
        <w:rPr>
          <w:b w:val="0"/>
          <w:color w:val="auto"/>
          <w:sz w:val="22"/>
        </w:rPr>
        <w:t xml:space="preserve">The Juvenile Court Policy group meets </w:t>
      </w:r>
      <w:r>
        <w:rPr>
          <w:b w:val="0"/>
          <w:color w:val="auto"/>
          <w:sz w:val="22"/>
        </w:rPr>
        <w:t xml:space="preserve">two months a quarter </w:t>
      </w:r>
      <w:r w:rsidRPr="005D2195">
        <w:rPr>
          <w:b w:val="0"/>
          <w:color w:val="auto"/>
          <w:sz w:val="22"/>
        </w:rPr>
        <w:t xml:space="preserve">to discuss issues pertaining to the Juvenile Court and child welfare services. The policy group includes the following: the CWS Director, presiding Juvenile Court Judge and other court personnel, Chief Deputy County Counsel, minors’ and parents’ attorneys, CWS Policy and Program Support staff, and Court Appointment Special Advocates (CASA). </w:t>
      </w:r>
    </w:p>
    <w:p w:rsidR="00D86A11" w:rsidRDefault="00D86A11" w:rsidP="00D86A11">
      <w:pPr>
        <w:pStyle w:val="Heading3"/>
        <w:spacing w:line="276" w:lineRule="auto"/>
        <w:rPr>
          <w:b w:val="0"/>
          <w:color w:val="auto"/>
          <w:sz w:val="22"/>
        </w:rPr>
      </w:pPr>
      <w:r w:rsidRPr="00BD0EF6">
        <w:rPr>
          <w:b w:val="0"/>
          <w:color w:val="auto"/>
          <w:sz w:val="22"/>
        </w:rPr>
        <w:t xml:space="preserve">The Administrative Office of the Court (AOC) has a contract for dependency legal services with Dependency Legal Group of San Diego (DLG). DLG has four different offices: Minor Counsel Office, Primary Parent Office, Conflict Parent Office and Conflict Office Counsel. Each office has a non-case carrying supervising attorney and assistant supervising attorney. </w:t>
      </w:r>
      <w:r>
        <w:rPr>
          <w:b w:val="0"/>
          <w:color w:val="auto"/>
          <w:sz w:val="22"/>
        </w:rPr>
        <w:t xml:space="preserve">DLG’s contract ends October 31, 2016 and effective November 1, 2016, the transition to the new legal teams will be complete.  The providers are Dependency Legal Services of San Diego for parents and Children’s Legal Services of San Diego for children. </w:t>
      </w:r>
      <w:r w:rsidRPr="00366412">
        <w:rPr>
          <w:b w:val="0"/>
          <w:color w:val="auto"/>
          <w:sz w:val="22"/>
        </w:rPr>
        <w:t>CWS and Probation also participate in the Blue Ribbon Commission meeting</w:t>
      </w:r>
      <w:r>
        <w:rPr>
          <w:b w:val="0"/>
          <w:color w:val="auto"/>
          <w:sz w:val="22"/>
        </w:rPr>
        <w:t xml:space="preserve"> which meets the </w:t>
      </w:r>
      <w:r w:rsidRPr="00565A5E">
        <w:rPr>
          <w:b w:val="0"/>
          <w:color w:val="auto"/>
          <w:sz w:val="22"/>
        </w:rPr>
        <w:t>third month in the quarter to</w:t>
      </w:r>
      <w:r w:rsidRPr="00366412">
        <w:rPr>
          <w:b w:val="0"/>
          <w:color w:val="auto"/>
          <w:sz w:val="22"/>
        </w:rPr>
        <w:t xml:space="preserve"> discuss joint issues pertaining to </w:t>
      </w:r>
      <w:r>
        <w:rPr>
          <w:b w:val="0"/>
          <w:color w:val="auto"/>
          <w:sz w:val="22"/>
        </w:rPr>
        <w:t>the Court, CWS, and Probation.</w:t>
      </w:r>
      <w:r w:rsidRPr="00366412">
        <w:rPr>
          <w:b w:val="0"/>
          <w:color w:val="auto"/>
          <w:sz w:val="22"/>
        </w:rPr>
        <w:t xml:space="preserve"> The </w:t>
      </w:r>
      <w:r w:rsidR="00121985" w:rsidRPr="00121985">
        <w:rPr>
          <w:b w:val="0"/>
          <w:color w:val="auto"/>
          <w:sz w:val="22"/>
        </w:rPr>
        <w:t xml:space="preserve">Blue Ribbon Commission group includes the same people as the policy group but with the addition of community stakeholders. The Delinquency Policy Group meets on a quarterly basis to discuss issues pertaining to the Juvenile Court and Probation. The meeting is attended by the Presiding Juvenile Court Judge, the Chief </w:t>
      </w:r>
      <w:r w:rsidR="00121985" w:rsidRPr="00121985">
        <w:rPr>
          <w:b w:val="0"/>
          <w:color w:val="auto"/>
          <w:sz w:val="22"/>
        </w:rPr>
        <w:lastRenderedPageBreak/>
        <w:t xml:space="preserve">Probation Officer, the Deputy Chief of Juvenile Field Services, Division Chiefs from Juvenile Field Services and Institutional services, Juvenile Court Judges, the District Attorney’s Office, and the Public Defender’s Office. </w:t>
      </w:r>
    </w:p>
    <w:p w:rsidR="00D86A11" w:rsidRPr="00771551" w:rsidRDefault="00121985" w:rsidP="00D86A11">
      <w:pPr>
        <w:pStyle w:val="Heading3"/>
        <w:spacing w:line="276" w:lineRule="auto"/>
        <w:rPr>
          <w:b w:val="0"/>
          <w:color w:val="auto"/>
          <w:sz w:val="22"/>
        </w:rPr>
      </w:pPr>
      <w:r w:rsidRPr="00121985">
        <w:rPr>
          <w:b w:val="0"/>
          <w:color w:val="auto"/>
          <w:sz w:val="22"/>
        </w:rPr>
        <w:t xml:space="preserve">The Juvenile Field Service and Institutional Services management and executive management teams also meet on a quarterly basis with the Juvenile Court Judges to provide updates and to discuss any issues. </w:t>
      </w:r>
    </w:p>
    <w:p w:rsidR="00D86A11" w:rsidRPr="00B06033" w:rsidRDefault="00D86A11" w:rsidP="00D86A11">
      <w:pPr>
        <w:pStyle w:val="Heading4"/>
        <w:rPr>
          <w:b w:val="0"/>
          <w:color w:val="2E7029"/>
          <w:szCs w:val="28"/>
        </w:rPr>
      </w:pPr>
      <w:r w:rsidRPr="00B06033">
        <w:rPr>
          <w:b w:val="0"/>
          <w:color w:val="2E7029"/>
          <w:szCs w:val="28"/>
        </w:rPr>
        <w:t>Effectiveness of Juvenile Court and CWS to:</w:t>
      </w:r>
    </w:p>
    <w:p w:rsidR="00D86A11" w:rsidRPr="000602BA" w:rsidRDefault="00D86A11" w:rsidP="00D86A11">
      <w:pPr>
        <w:pStyle w:val="Heading6"/>
        <w:rPr>
          <w:color w:val="800929"/>
        </w:rPr>
      </w:pPr>
      <w:r w:rsidRPr="000602BA">
        <w:rPr>
          <w:color w:val="800929"/>
        </w:rPr>
        <w:t>Continuances</w:t>
      </w:r>
    </w:p>
    <w:p w:rsidR="00D86A11" w:rsidRPr="00586FD4" w:rsidRDefault="00D86A11" w:rsidP="00D86A11">
      <w:pPr>
        <w:pStyle w:val="Heading3"/>
        <w:spacing w:line="276" w:lineRule="auto"/>
        <w:rPr>
          <w:color w:val="auto"/>
          <w:szCs w:val="28"/>
        </w:rPr>
      </w:pPr>
      <w:r w:rsidRPr="00290299">
        <w:rPr>
          <w:b w:val="0"/>
          <w:color w:val="auto"/>
          <w:sz w:val="22"/>
        </w:rPr>
        <w:t>The use of court hearing continuances can influence the effectiveness of the dependency and delinquency court systems. Court continuances impact CWS’s state and federal outcome measures. Continuances delay permanency being achieved within 12 months. Court continuances occur for a variety of reasons</w:t>
      </w:r>
      <w:r>
        <w:rPr>
          <w:b w:val="0"/>
          <w:color w:val="auto"/>
          <w:sz w:val="22"/>
        </w:rPr>
        <w:t>.</w:t>
      </w:r>
      <w:r w:rsidRPr="00290299">
        <w:rPr>
          <w:b w:val="0"/>
          <w:color w:val="auto"/>
          <w:sz w:val="22"/>
        </w:rPr>
        <w:t xml:space="preserve"> </w:t>
      </w:r>
    </w:p>
    <w:p w:rsidR="00D86A11" w:rsidRPr="0024668C" w:rsidRDefault="00D86A11" w:rsidP="00D86A11">
      <w:pPr>
        <w:pStyle w:val="Heading3"/>
        <w:spacing w:line="276" w:lineRule="auto"/>
        <w:rPr>
          <w:b w:val="0"/>
          <w:color w:val="auto"/>
          <w:sz w:val="22"/>
        </w:rPr>
      </w:pPr>
      <w:r w:rsidRPr="0024668C">
        <w:rPr>
          <w:b w:val="0"/>
          <w:color w:val="auto"/>
          <w:sz w:val="22"/>
        </w:rPr>
        <w:t>In order for the hearing to be considered timely, the following items have to be documented:</w:t>
      </w:r>
    </w:p>
    <w:p w:rsidR="00D86A11" w:rsidRPr="0024668C"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Correct findings and orders</w:t>
      </w:r>
    </w:p>
    <w:p w:rsidR="00D86A11" w:rsidRPr="0024668C"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Required court reports</w:t>
      </w:r>
    </w:p>
    <w:p w:rsidR="00D86A11" w:rsidRPr="0024668C" w:rsidRDefault="00D86A11" w:rsidP="00D86A11">
      <w:pPr>
        <w:numPr>
          <w:ilvl w:val="0"/>
          <w:numId w:val="16"/>
        </w:numPr>
        <w:spacing w:before="120" w:after="0"/>
        <w:ind w:right="130"/>
        <w:rPr>
          <w:rFonts w:ascii="Franklin Gothic Book" w:hAnsi="Franklin Gothic Book"/>
          <w:color w:val="auto"/>
          <w:spacing w:val="20"/>
          <w:szCs w:val="28"/>
        </w:rPr>
      </w:pPr>
      <w:r w:rsidRPr="0024668C">
        <w:rPr>
          <w:rFonts w:ascii="Franklin Gothic Book" w:hAnsi="Franklin Gothic Book"/>
          <w:color w:val="auto"/>
          <w:spacing w:val="20"/>
          <w:szCs w:val="28"/>
        </w:rPr>
        <w:t xml:space="preserve">Case plans </w:t>
      </w:r>
    </w:p>
    <w:p w:rsidR="00D86A11" w:rsidRPr="0024668C" w:rsidRDefault="00D86A11" w:rsidP="00D86A11">
      <w:pPr>
        <w:numPr>
          <w:ilvl w:val="0"/>
          <w:numId w:val="16"/>
        </w:numPr>
        <w:spacing w:before="120" w:after="0"/>
        <w:ind w:right="130"/>
        <w:rPr>
          <w:rFonts w:ascii="Franklin Gothic Book" w:hAnsi="Franklin Gothic Book"/>
          <w:color w:val="auto"/>
          <w:spacing w:val="20"/>
          <w:szCs w:val="28"/>
        </w:rPr>
      </w:pPr>
      <w:r w:rsidRPr="0024668C">
        <w:rPr>
          <w:rFonts w:ascii="Franklin Gothic Book" w:hAnsi="Franklin Gothic Book"/>
          <w:color w:val="auto"/>
          <w:spacing w:val="20"/>
          <w:szCs w:val="28"/>
        </w:rPr>
        <w:t>Required legal timelines must be followed</w:t>
      </w:r>
    </w:p>
    <w:p w:rsidR="00D86A11" w:rsidRPr="006C68F8" w:rsidRDefault="00D86A11" w:rsidP="00D86A11">
      <w:pPr>
        <w:pStyle w:val="Heading3"/>
        <w:spacing w:line="276" w:lineRule="auto"/>
        <w:rPr>
          <w:b w:val="0"/>
          <w:color w:val="auto"/>
          <w:sz w:val="22"/>
        </w:rPr>
      </w:pPr>
      <w:r w:rsidRPr="0004427F">
        <w:rPr>
          <w:b w:val="0"/>
          <w:color w:val="auto"/>
          <w:sz w:val="22"/>
        </w:rPr>
        <w:t xml:space="preserve">Exhibit 52 (next page) details the summary of our court hearings from 2010 and 2016. </w:t>
      </w:r>
      <w:r w:rsidRPr="006C68F8">
        <w:rPr>
          <w:b w:val="0"/>
          <w:color w:val="auto"/>
          <w:sz w:val="22"/>
        </w:rPr>
        <w:t xml:space="preserve">The court held all reviewed detention hearings and post-permanency hearings timely. When Pre-permanency and Permanency hearings are not held timely, our permanency measures are significantly impacted. Historically this has been a challenge for CWS. The court and CWS work collaboratively to improve permanency for the children we serve but this has continued to be a difficult area to impact. </w:t>
      </w:r>
    </w:p>
    <w:tbl>
      <w:tblPr>
        <w:tblpPr w:leftFromText="180" w:rightFromText="180" w:vertAnchor="text" w:horzAnchor="margin" w:tblpY="2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2250"/>
        <w:gridCol w:w="2413"/>
      </w:tblGrid>
      <w:tr w:rsidR="00D86A11" w:rsidRPr="009A4D3F">
        <w:trPr>
          <w:trHeight w:val="366"/>
        </w:trPr>
        <w:tc>
          <w:tcPr>
            <w:tcW w:w="9091" w:type="dxa"/>
            <w:gridSpan w:val="3"/>
            <w:tcBorders>
              <w:top w:val="single" w:sz="18" w:space="0" w:color="F6872B"/>
              <w:left w:val="nil"/>
              <w:bottom w:val="nil"/>
              <w:right w:val="nil"/>
            </w:tcBorders>
            <w:shd w:val="clear" w:color="auto" w:fill="013161"/>
            <w:vAlign w:val="center"/>
          </w:tcPr>
          <w:p w:rsidR="00D86A11" w:rsidRPr="009A4D3F" w:rsidRDefault="00D86A11" w:rsidP="00D86A11">
            <w:pPr>
              <w:spacing w:after="0" w:line="240" w:lineRule="auto"/>
              <w:ind w:left="1080" w:hanging="360"/>
              <w:jc w:val="center"/>
              <w:rPr>
                <w:rFonts w:ascii="Calibri" w:eastAsia="Calibri" w:hAnsi="Calibri"/>
                <w:b/>
                <w:color w:val="auto"/>
                <w:szCs w:val="22"/>
                <w:u w:color="FF66FF"/>
              </w:rPr>
            </w:pPr>
            <w:r>
              <w:rPr>
                <w:rFonts w:ascii="Calibri" w:eastAsia="Calibri" w:hAnsi="Calibri"/>
                <w:b/>
                <w:color w:val="auto"/>
                <w:szCs w:val="22"/>
                <w:u w:color="FF66FF"/>
              </w:rPr>
              <w:t xml:space="preserve">Exhibit 52. </w:t>
            </w:r>
            <w:r w:rsidRPr="009A4D3F">
              <w:rPr>
                <w:rFonts w:ascii="Calibri" w:eastAsia="Calibri" w:hAnsi="Calibri"/>
                <w:b/>
                <w:color w:val="auto"/>
                <w:szCs w:val="22"/>
                <w:u w:color="FF66FF"/>
              </w:rPr>
              <w:t>Court Hearing Timeliness</w:t>
            </w:r>
          </w:p>
        </w:tc>
      </w:tr>
      <w:tr w:rsidR="00D86A11" w:rsidRPr="009A4D3F">
        <w:trPr>
          <w:trHeight w:val="349"/>
        </w:trPr>
        <w:tc>
          <w:tcPr>
            <w:tcW w:w="4428" w:type="dxa"/>
            <w:tcBorders>
              <w:top w:val="nil"/>
              <w:left w:val="nil"/>
              <w:bottom w:val="nil"/>
              <w:right w:val="nil"/>
            </w:tcBorders>
            <w:shd w:val="clear" w:color="auto" w:fill="013161"/>
          </w:tcPr>
          <w:p w:rsidR="00D86A11" w:rsidRPr="009A4D3F" w:rsidRDefault="00D86A11" w:rsidP="00D86A11">
            <w:pPr>
              <w:spacing w:after="0" w:line="240" w:lineRule="auto"/>
              <w:ind w:left="1080" w:hanging="360"/>
              <w:jc w:val="center"/>
              <w:rPr>
                <w:rFonts w:ascii="Calibri" w:eastAsia="Calibri" w:hAnsi="Calibri"/>
                <w:color w:val="auto"/>
                <w:szCs w:val="22"/>
                <w:u w:color="FF66FF"/>
              </w:rPr>
            </w:pPr>
          </w:p>
        </w:tc>
        <w:tc>
          <w:tcPr>
            <w:tcW w:w="2250" w:type="dxa"/>
            <w:tcBorders>
              <w:top w:val="nil"/>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b/>
                <w:color w:val="auto"/>
                <w:szCs w:val="22"/>
                <w:u w:color="FF66FF"/>
              </w:rPr>
            </w:pPr>
            <w:r w:rsidRPr="009A4D3F">
              <w:rPr>
                <w:rFonts w:ascii="Calibri" w:eastAsia="Calibri" w:hAnsi="Calibri"/>
                <w:b/>
                <w:color w:val="auto"/>
                <w:szCs w:val="22"/>
                <w:u w:color="FF66FF"/>
              </w:rPr>
              <w:t>2010</w:t>
            </w:r>
          </w:p>
        </w:tc>
        <w:tc>
          <w:tcPr>
            <w:tcW w:w="2413" w:type="dxa"/>
            <w:tcBorders>
              <w:top w:val="nil"/>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b/>
                <w:color w:val="auto"/>
                <w:szCs w:val="22"/>
                <w:u w:color="FF66FF"/>
              </w:rPr>
            </w:pPr>
            <w:r w:rsidRPr="009A4D3F">
              <w:rPr>
                <w:rFonts w:ascii="Calibri" w:eastAsia="Calibri" w:hAnsi="Calibri"/>
                <w:b/>
                <w:color w:val="auto"/>
                <w:szCs w:val="22"/>
                <w:u w:color="FF66FF"/>
              </w:rPr>
              <w:t>2016</w:t>
            </w:r>
          </w:p>
        </w:tc>
      </w:tr>
      <w:tr w:rsidR="00D86A11" w:rsidRPr="009A4D3F">
        <w:trPr>
          <w:trHeight w:val="349"/>
        </w:trPr>
        <w:tc>
          <w:tcPr>
            <w:tcW w:w="4428" w:type="dxa"/>
            <w:tcBorders>
              <w:top w:val="nil"/>
              <w:left w:val="nil"/>
              <w:bottom w:val="nil"/>
              <w:right w:val="nil"/>
            </w:tcBorders>
            <w:shd w:val="clear" w:color="auto" w:fill="DBE5F1"/>
          </w:tcPr>
          <w:p w:rsidR="00D86A11" w:rsidRPr="004C6FE7" w:rsidRDefault="00D86A11" w:rsidP="00D86A11">
            <w:pPr>
              <w:spacing w:after="0" w:line="240" w:lineRule="auto"/>
              <w:rPr>
                <w:rFonts w:ascii="Calibri" w:eastAsia="Calibri" w:hAnsi="Calibri"/>
                <w:b/>
                <w:color w:val="013161"/>
                <w:szCs w:val="22"/>
                <w:u w:color="FF66FF"/>
              </w:rPr>
            </w:pPr>
            <w:r w:rsidRPr="004C6FE7">
              <w:rPr>
                <w:rFonts w:ascii="Calibri" w:eastAsia="Calibri" w:hAnsi="Calibri"/>
                <w:b/>
                <w:color w:val="013161"/>
                <w:szCs w:val="22"/>
                <w:u w:color="FF66FF"/>
              </w:rPr>
              <w:t>Detention Hearing</w:t>
            </w:r>
          </w:p>
        </w:tc>
        <w:tc>
          <w:tcPr>
            <w:tcW w:w="2250" w:type="dxa"/>
            <w:tcBorders>
              <w:top w:val="nil"/>
              <w:left w:val="nil"/>
              <w:bottom w:val="nil"/>
              <w:right w:val="nil"/>
            </w:tcBorders>
            <w:shd w:val="clear" w:color="auto" w:fill="DBE5F1"/>
            <w:vAlign w:val="center"/>
          </w:tcPr>
          <w:p w:rsidR="00D86A11" w:rsidRPr="004C6FE7" w:rsidRDefault="00D86A11" w:rsidP="00D86A11">
            <w:pPr>
              <w:spacing w:after="0" w:line="240" w:lineRule="auto"/>
              <w:jc w:val="center"/>
              <w:rPr>
                <w:rFonts w:ascii="Calibri" w:eastAsia="Calibri" w:hAnsi="Calibri"/>
                <w:b/>
                <w:color w:val="013161"/>
                <w:szCs w:val="22"/>
                <w:u w:color="FF66FF"/>
              </w:rPr>
            </w:pPr>
            <w:r w:rsidRPr="004C6FE7">
              <w:rPr>
                <w:rFonts w:ascii="Calibri" w:eastAsia="Calibri" w:hAnsi="Calibri"/>
                <w:b/>
                <w:color w:val="013161"/>
                <w:szCs w:val="22"/>
                <w:u w:color="FF66FF"/>
              </w:rPr>
              <w:t>100%</w:t>
            </w:r>
          </w:p>
        </w:tc>
        <w:tc>
          <w:tcPr>
            <w:tcW w:w="2413" w:type="dxa"/>
            <w:tcBorders>
              <w:top w:val="nil"/>
              <w:left w:val="nil"/>
              <w:bottom w:val="nil"/>
              <w:right w:val="nil"/>
            </w:tcBorders>
            <w:shd w:val="clear" w:color="auto" w:fill="DBE5F1"/>
            <w:vAlign w:val="center"/>
          </w:tcPr>
          <w:p w:rsidR="00D86A11" w:rsidRPr="004C6FE7" w:rsidRDefault="00D86A11" w:rsidP="00D86A11">
            <w:pPr>
              <w:spacing w:after="0" w:line="240" w:lineRule="auto"/>
              <w:jc w:val="center"/>
              <w:rPr>
                <w:rFonts w:ascii="Calibri" w:eastAsia="Calibri" w:hAnsi="Calibri"/>
                <w:b/>
                <w:color w:val="013161"/>
                <w:szCs w:val="22"/>
                <w:u w:color="FF66FF"/>
              </w:rPr>
            </w:pPr>
            <w:r w:rsidRPr="004C6FE7">
              <w:rPr>
                <w:rFonts w:ascii="Calibri" w:eastAsia="Calibri" w:hAnsi="Calibri"/>
                <w:b/>
                <w:color w:val="013161"/>
                <w:szCs w:val="22"/>
                <w:u w:color="FF66FF"/>
              </w:rPr>
              <w:t>97%</w:t>
            </w:r>
          </w:p>
        </w:tc>
      </w:tr>
      <w:tr w:rsidR="00D86A11" w:rsidRPr="009A4D3F">
        <w:trPr>
          <w:trHeight w:val="349"/>
        </w:trPr>
        <w:tc>
          <w:tcPr>
            <w:tcW w:w="4428" w:type="dxa"/>
            <w:tcBorders>
              <w:top w:val="nil"/>
              <w:left w:val="nil"/>
              <w:bottom w:val="nil"/>
              <w:right w:val="nil"/>
            </w:tcBorders>
            <w:shd w:val="clear" w:color="auto" w:fill="auto"/>
          </w:tcPr>
          <w:p w:rsidR="00D86A11" w:rsidRPr="004C6FE7" w:rsidRDefault="00D86A11" w:rsidP="00D86A11">
            <w:pPr>
              <w:spacing w:after="0" w:line="240" w:lineRule="auto"/>
              <w:rPr>
                <w:rFonts w:ascii="Calibri" w:eastAsia="Calibri" w:hAnsi="Calibri"/>
                <w:b/>
                <w:color w:val="013161"/>
                <w:szCs w:val="22"/>
                <w:u w:color="FF66FF"/>
              </w:rPr>
            </w:pPr>
            <w:r w:rsidRPr="004C6FE7">
              <w:rPr>
                <w:rFonts w:ascii="Calibri" w:eastAsia="Calibri" w:hAnsi="Calibri"/>
                <w:b/>
                <w:color w:val="013161"/>
                <w:szCs w:val="22"/>
                <w:u w:color="FF66FF"/>
              </w:rPr>
              <w:t>Pre-permanency Hearing</w:t>
            </w:r>
          </w:p>
        </w:tc>
        <w:tc>
          <w:tcPr>
            <w:tcW w:w="2250" w:type="dxa"/>
            <w:tcBorders>
              <w:top w:val="nil"/>
              <w:left w:val="nil"/>
              <w:bottom w:val="nil"/>
              <w:right w:val="nil"/>
            </w:tcBorders>
            <w:shd w:val="clear" w:color="auto" w:fill="auto"/>
            <w:vAlign w:val="center"/>
          </w:tcPr>
          <w:p w:rsidR="00D86A11" w:rsidRPr="004C6FE7" w:rsidRDefault="00D86A11" w:rsidP="00D86A11">
            <w:pPr>
              <w:spacing w:after="0" w:line="240" w:lineRule="auto"/>
              <w:jc w:val="center"/>
              <w:rPr>
                <w:rFonts w:ascii="Calibri" w:eastAsia="Calibri" w:hAnsi="Calibri"/>
                <w:b/>
                <w:color w:val="013161"/>
                <w:szCs w:val="22"/>
                <w:u w:color="FF66FF"/>
              </w:rPr>
            </w:pPr>
            <w:r w:rsidRPr="004C6FE7">
              <w:rPr>
                <w:rFonts w:ascii="Calibri" w:eastAsia="Calibri" w:hAnsi="Calibri"/>
                <w:b/>
                <w:color w:val="013161"/>
                <w:szCs w:val="22"/>
                <w:u w:color="FF66FF"/>
              </w:rPr>
              <w:t>77%</w:t>
            </w:r>
          </w:p>
        </w:tc>
        <w:tc>
          <w:tcPr>
            <w:tcW w:w="2413" w:type="dxa"/>
            <w:tcBorders>
              <w:top w:val="nil"/>
              <w:left w:val="nil"/>
              <w:bottom w:val="nil"/>
              <w:right w:val="nil"/>
            </w:tcBorders>
            <w:shd w:val="clear" w:color="auto" w:fill="auto"/>
            <w:vAlign w:val="center"/>
          </w:tcPr>
          <w:p w:rsidR="00D86A11" w:rsidRPr="004C6FE7" w:rsidRDefault="00D86A11" w:rsidP="00D86A11">
            <w:pPr>
              <w:spacing w:after="0" w:line="240" w:lineRule="auto"/>
              <w:jc w:val="center"/>
              <w:rPr>
                <w:rFonts w:ascii="Calibri" w:eastAsia="Calibri" w:hAnsi="Calibri"/>
                <w:b/>
                <w:color w:val="013161"/>
                <w:szCs w:val="22"/>
                <w:u w:color="FF66FF"/>
              </w:rPr>
            </w:pPr>
            <w:r w:rsidRPr="004C6FE7">
              <w:rPr>
                <w:rFonts w:ascii="Calibri" w:eastAsia="Calibri" w:hAnsi="Calibri"/>
                <w:b/>
                <w:color w:val="013161"/>
                <w:szCs w:val="22"/>
                <w:u w:color="FF66FF"/>
              </w:rPr>
              <w:t>64%</w:t>
            </w:r>
          </w:p>
        </w:tc>
      </w:tr>
      <w:tr w:rsidR="00D86A11" w:rsidRPr="009A4D3F">
        <w:trPr>
          <w:trHeight w:val="349"/>
        </w:trPr>
        <w:tc>
          <w:tcPr>
            <w:tcW w:w="4428" w:type="dxa"/>
            <w:tcBorders>
              <w:top w:val="nil"/>
              <w:left w:val="nil"/>
              <w:bottom w:val="nil"/>
              <w:right w:val="nil"/>
            </w:tcBorders>
            <w:shd w:val="clear" w:color="auto" w:fill="DBE5F1"/>
          </w:tcPr>
          <w:p w:rsidR="00D86A11" w:rsidRPr="004C6FE7" w:rsidRDefault="00D86A11" w:rsidP="00D86A11">
            <w:pPr>
              <w:spacing w:after="0" w:line="240" w:lineRule="auto"/>
              <w:rPr>
                <w:rFonts w:ascii="Calibri" w:eastAsia="Calibri" w:hAnsi="Calibri"/>
                <w:b/>
                <w:color w:val="013161"/>
                <w:szCs w:val="22"/>
                <w:u w:color="FF66FF"/>
              </w:rPr>
            </w:pPr>
            <w:r w:rsidRPr="004C6FE7">
              <w:rPr>
                <w:rFonts w:ascii="Calibri" w:eastAsia="Calibri" w:hAnsi="Calibri"/>
                <w:b/>
                <w:color w:val="013161"/>
                <w:szCs w:val="22"/>
                <w:u w:color="FF66FF"/>
              </w:rPr>
              <w:t>Permanency Hearing</w:t>
            </w:r>
          </w:p>
        </w:tc>
        <w:tc>
          <w:tcPr>
            <w:tcW w:w="2250" w:type="dxa"/>
            <w:tcBorders>
              <w:top w:val="nil"/>
              <w:left w:val="nil"/>
              <w:bottom w:val="nil"/>
              <w:right w:val="nil"/>
            </w:tcBorders>
            <w:shd w:val="clear" w:color="auto" w:fill="DBE5F1"/>
            <w:vAlign w:val="center"/>
          </w:tcPr>
          <w:p w:rsidR="00D86A11" w:rsidRPr="004C6FE7" w:rsidRDefault="00D86A11" w:rsidP="00D86A11">
            <w:pPr>
              <w:spacing w:after="0" w:line="240" w:lineRule="auto"/>
              <w:jc w:val="center"/>
              <w:rPr>
                <w:rFonts w:ascii="Calibri" w:eastAsia="Calibri" w:hAnsi="Calibri"/>
                <w:b/>
                <w:color w:val="013161"/>
                <w:szCs w:val="22"/>
                <w:u w:color="FF66FF"/>
              </w:rPr>
            </w:pPr>
            <w:r w:rsidRPr="004C6FE7">
              <w:rPr>
                <w:rFonts w:ascii="Calibri" w:eastAsia="Calibri" w:hAnsi="Calibri"/>
                <w:b/>
                <w:color w:val="013161"/>
                <w:szCs w:val="22"/>
                <w:u w:color="FF66FF"/>
              </w:rPr>
              <w:t>53%</w:t>
            </w:r>
          </w:p>
        </w:tc>
        <w:tc>
          <w:tcPr>
            <w:tcW w:w="2413" w:type="dxa"/>
            <w:tcBorders>
              <w:top w:val="nil"/>
              <w:left w:val="nil"/>
              <w:bottom w:val="nil"/>
              <w:right w:val="nil"/>
            </w:tcBorders>
            <w:shd w:val="clear" w:color="auto" w:fill="DBE5F1"/>
            <w:vAlign w:val="center"/>
          </w:tcPr>
          <w:p w:rsidR="00D86A11" w:rsidRPr="004C6FE7" w:rsidRDefault="00D86A11" w:rsidP="00D86A11">
            <w:pPr>
              <w:spacing w:after="0" w:line="240" w:lineRule="auto"/>
              <w:jc w:val="center"/>
              <w:rPr>
                <w:rFonts w:ascii="Calibri" w:eastAsia="Calibri" w:hAnsi="Calibri"/>
                <w:b/>
                <w:color w:val="013161"/>
                <w:szCs w:val="22"/>
                <w:u w:color="FF66FF"/>
              </w:rPr>
            </w:pPr>
            <w:r w:rsidRPr="004C6FE7">
              <w:rPr>
                <w:rFonts w:ascii="Calibri" w:eastAsia="Calibri" w:hAnsi="Calibri"/>
                <w:b/>
                <w:color w:val="013161"/>
                <w:szCs w:val="22"/>
                <w:u w:color="FF66FF"/>
              </w:rPr>
              <w:t>62%</w:t>
            </w:r>
          </w:p>
        </w:tc>
      </w:tr>
      <w:tr w:rsidR="00D86A11" w:rsidRPr="009A4D3F">
        <w:trPr>
          <w:trHeight w:val="366"/>
        </w:trPr>
        <w:tc>
          <w:tcPr>
            <w:tcW w:w="4428" w:type="dxa"/>
            <w:tcBorders>
              <w:top w:val="nil"/>
              <w:left w:val="nil"/>
              <w:bottom w:val="single" w:sz="18" w:space="0" w:color="F6872B"/>
              <w:right w:val="nil"/>
            </w:tcBorders>
            <w:shd w:val="clear" w:color="auto" w:fill="auto"/>
          </w:tcPr>
          <w:p w:rsidR="00D86A11" w:rsidRPr="004C6FE7" w:rsidRDefault="00D86A11" w:rsidP="00D86A11">
            <w:pPr>
              <w:spacing w:after="0" w:line="240" w:lineRule="auto"/>
              <w:rPr>
                <w:rFonts w:ascii="Calibri" w:eastAsia="Calibri" w:hAnsi="Calibri"/>
                <w:b/>
                <w:color w:val="013161"/>
                <w:szCs w:val="22"/>
                <w:u w:color="FF66FF"/>
              </w:rPr>
            </w:pPr>
            <w:r w:rsidRPr="004C6FE7">
              <w:rPr>
                <w:rFonts w:ascii="Calibri" w:eastAsia="Calibri" w:hAnsi="Calibri"/>
                <w:b/>
                <w:color w:val="013161"/>
                <w:szCs w:val="22"/>
                <w:u w:color="FF66FF"/>
              </w:rPr>
              <w:t>Post-Permanency Hearing</w:t>
            </w:r>
          </w:p>
        </w:tc>
        <w:tc>
          <w:tcPr>
            <w:tcW w:w="2250" w:type="dxa"/>
            <w:tcBorders>
              <w:top w:val="nil"/>
              <w:left w:val="nil"/>
              <w:bottom w:val="single" w:sz="18" w:space="0" w:color="F6872B"/>
              <w:right w:val="nil"/>
            </w:tcBorders>
            <w:shd w:val="clear" w:color="auto" w:fill="auto"/>
            <w:vAlign w:val="center"/>
          </w:tcPr>
          <w:p w:rsidR="00D86A11" w:rsidRPr="004C6FE7" w:rsidRDefault="00D86A11" w:rsidP="00D86A11">
            <w:pPr>
              <w:spacing w:after="0" w:line="240" w:lineRule="auto"/>
              <w:jc w:val="center"/>
              <w:rPr>
                <w:rFonts w:ascii="Calibri" w:eastAsia="Calibri" w:hAnsi="Calibri"/>
                <w:b/>
                <w:color w:val="013161"/>
                <w:szCs w:val="22"/>
                <w:u w:color="FF66FF"/>
              </w:rPr>
            </w:pPr>
            <w:r w:rsidRPr="004C6FE7">
              <w:rPr>
                <w:rFonts w:ascii="Calibri" w:eastAsia="Calibri" w:hAnsi="Calibri"/>
                <w:b/>
                <w:color w:val="013161"/>
                <w:szCs w:val="22"/>
                <w:u w:color="FF66FF"/>
              </w:rPr>
              <w:t>93%</w:t>
            </w:r>
          </w:p>
        </w:tc>
        <w:tc>
          <w:tcPr>
            <w:tcW w:w="2413" w:type="dxa"/>
            <w:tcBorders>
              <w:top w:val="nil"/>
              <w:left w:val="nil"/>
              <w:bottom w:val="single" w:sz="18" w:space="0" w:color="F6872B"/>
              <w:right w:val="nil"/>
            </w:tcBorders>
            <w:shd w:val="clear" w:color="auto" w:fill="auto"/>
            <w:vAlign w:val="center"/>
          </w:tcPr>
          <w:p w:rsidR="00D86A11" w:rsidRPr="004C6FE7" w:rsidRDefault="00D86A11" w:rsidP="00D86A11">
            <w:pPr>
              <w:spacing w:after="0" w:line="240" w:lineRule="auto"/>
              <w:jc w:val="center"/>
              <w:rPr>
                <w:rFonts w:ascii="Calibri" w:eastAsia="Calibri" w:hAnsi="Calibri"/>
                <w:b/>
                <w:color w:val="013161"/>
                <w:szCs w:val="22"/>
                <w:u w:color="FF66FF"/>
              </w:rPr>
            </w:pPr>
            <w:r w:rsidRPr="004C6FE7">
              <w:rPr>
                <w:rFonts w:ascii="Calibri" w:eastAsia="Calibri" w:hAnsi="Calibri"/>
                <w:b/>
                <w:color w:val="013161"/>
                <w:szCs w:val="22"/>
                <w:u w:color="FF66FF"/>
              </w:rPr>
              <w:t>93%</w:t>
            </w:r>
          </w:p>
        </w:tc>
      </w:tr>
    </w:tbl>
    <w:p w:rsidR="00D86A11" w:rsidRPr="00C950BA" w:rsidRDefault="00D86A11" w:rsidP="00D86A11">
      <w:pPr>
        <w:pStyle w:val="Heading6"/>
        <w:rPr>
          <w:color w:val="800929"/>
        </w:rPr>
      </w:pPr>
      <w:r w:rsidRPr="000602BA">
        <w:rPr>
          <w:color w:val="800929"/>
        </w:rPr>
        <w:t xml:space="preserve"> Termination of Parental Rights </w:t>
      </w:r>
      <w:r>
        <w:rPr>
          <w:color w:val="800929"/>
        </w:rPr>
        <w:t>(TPR)</w:t>
      </w:r>
    </w:p>
    <w:p w:rsidR="00D86A11" w:rsidRPr="00390548" w:rsidRDefault="00D86A11" w:rsidP="00D86A11">
      <w:pPr>
        <w:pStyle w:val="Heading3"/>
        <w:spacing w:line="276" w:lineRule="auto"/>
        <w:rPr>
          <w:b w:val="0"/>
          <w:color w:val="auto"/>
          <w:sz w:val="22"/>
        </w:rPr>
      </w:pPr>
      <w:r w:rsidRPr="00390548">
        <w:rPr>
          <w:b w:val="0"/>
          <w:color w:val="auto"/>
          <w:sz w:val="22"/>
        </w:rPr>
        <w:t>CWS has a unit called, Permanency Planning Assessment Unit (PPAU), which performs the following activities:</w:t>
      </w:r>
    </w:p>
    <w:p w:rsidR="00D86A11" w:rsidRPr="00390548" w:rsidRDefault="00D86A11" w:rsidP="00D86A11">
      <w:pPr>
        <w:numPr>
          <w:ilvl w:val="0"/>
          <w:numId w:val="16"/>
        </w:numPr>
        <w:spacing w:before="120" w:after="0"/>
        <w:ind w:right="130"/>
        <w:rPr>
          <w:rFonts w:ascii="Franklin Gothic Book" w:hAnsi="Franklin Gothic Book"/>
          <w:color w:val="auto"/>
          <w:spacing w:val="20"/>
          <w:szCs w:val="28"/>
        </w:rPr>
      </w:pPr>
      <w:r w:rsidRPr="00390548">
        <w:rPr>
          <w:rFonts w:ascii="Franklin Gothic Book" w:hAnsi="Franklin Gothic Book"/>
          <w:color w:val="auto"/>
          <w:spacing w:val="20"/>
          <w:szCs w:val="28"/>
        </w:rPr>
        <w:t>Assess children for adoptive placements.</w:t>
      </w:r>
    </w:p>
    <w:p w:rsidR="00D86A11" w:rsidRPr="00390548" w:rsidRDefault="00D86A11" w:rsidP="00D86A11">
      <w:pPr>
        <w:numPr>
          <w:ilvl w:val="0"/>
          <w:numId w:val="16"/>
        </w:numPr>
        <w:spacing w:before="120" w:after="0"/>
        <w:ind w:right="130"/>
        <w:rPr>
          <w:rFonts w:ascii="Franklin Gothic Book" w:hAnsi="Franklin Gothic Book"/>
          <w:color w:val="auto"/>
          <w:spacing w:val="20"/>
          <w:szCs w:val="28"/>
        </w:rPr>
      </w:pPr>
      <w:r w:rsidRPr="00390548">
        <w:rPr>
          <w:rFonts w:ascii="Franklin Gothic Book" w:hAnsi="Franklin Gothic Book"/>
          <w:color w:val="auto"/>
          <w:spacing w:val="20"/>
          <w:szCs w:val="28"/>
        </w:rPr>
        <w:lastRenderedPageBreak/>
        <w:t>Complete</w:t>
      </w:r>
      <w:r>
        <w:rPr>
          <w:rFonts w:ascii="Franklin Gothic Book" w:hAnsi="Franklin Gothic Book"/>
          <w:color w:val="auto"/>
          <w:spacing w:val="20"/>
          <w:szCs w:val="28"/>
        </w:rPr>
        <w:t>s</w:t>
      </w:r>
      <w:r w:rsidRPr="00390548">
        <w:rPr>
          <w:rFonts w:ascii="Franklin Gothic Book" w:hAnsi="Franklin Gothic Book"/>
          <w:color w:val="auto"/>
          <w:spacing w:val="20"/>
          <w:szCs w:val="28"/>
        </w:rPr>
        <w:t xml:space="preserve"> the pre-assessments required prior to the 366.21/366.22 hearing when a 366.26 is recommended, or any post-PPH when the recommendation is to change the permanent plan.</w:t>
      </w:r>
    </w:p>
    <w:p w:rsidR="00D86A11" w:rsidRPr="00390548" w:rsidRDefault="00D86A11" w:rsidP="00D86A11">
      <w:pPr>
        <w:numPr>
          <w:ilvl w:val="0"/>
          <w:numId w:val="16"/>
        </w:numPr>
        <w:spacing w:before="120" w:after="0"/>
        <w:ind w:right="130"/>
        <w:rPr>
          <w:rFonts w:ascii="Franklin Gothic Book" w:hAnsi="Franklin Gothic Book"/>
          <w:color w:val="auto"/>
          <w:spacing w:val="20"/>
          <w:szCs w:val="28"/>
        </w:rPr>
      </w:pPr>
      <w:r w:rsidRPr="00390548">
        <w:rPr>
          <w:rFonts w:ascii="Franklin Gothic Book" w:hAnsi="Franklin Gothic Book"/>
          <w:color w:val="auto"/>
          <w:spacing w:val="20"/>
          <w:szCs w:val="28"/>
        </w:rPr>
        <w:t>Notice</w:t>
      </w:r>
      <w:r>
        <w:rPr>
          <w:rFonts w:ascii="Franklin Gothic Book" w:hAnsi="Franklin Gothic Book"/>
          <w:color w:val="auto"/>
          <w:spacing w:val="20"/>
          <w:szCs w:val="28"/>
        </w:rPr>
        <w:t>s</w:t>
      </w:r>
      <w:r w:rsidRPr="00390548">
        <w:rPr>
          <w:rFonts w:ascii="Franklin Gothic Book" w:hAnsi="Franklin Gothic Book"/>
          <w:color w:val="auto"/>
          <w:spacing w:val="20"/>
          <w:szCs w:val="28"/>
        </w:rPr>
        <w:t xml:space="preserve"> all required parties of the 366.26 Hearing.</w:t>
      </w:r>
    </w:p>
    <w:p w:rsidR="00D86A11" w:rsidRPr="00390548" w:rsidRDefault="00D86A11" w:rsidP="00D86A11">
      <w:pPr>
        <w:numPr>
          <w:ilvl w:val="0"/>
          <w:numId w:val="16"/>
        </w:numPr>
        <w:spacing w:before="120" w:after="0"/>
        <w:ind w:right="130"/>
        <w:rPr>
          <w:rFonts w:ascii="Franklin Gothic Book" w:hAnsi="Franklin Gothic Book"/>
          <w:color w:val="auto"/>
          <w:spacing w:val="20"/>
          <w:szCs w:val="28"/>
        </w:rPr>
      </w:pPr>
      <w:r w:rsidRPr="00390548">
        <w:rPr>
          <w:rFonts w:ascii="Franklin Gothic Book" w:hAnsi="Franklin Gothic Book"/>
          <w:color w:val="auto"/>
          <w:spacing w:val="20"/>
          <w:szCs w:val="28"/>
        </w:rPr>
        <w:t>Update</w:t>
      </w:r>
      <w:r>
        <w:rPr>
          <w:rFonts w:ascii="Franklin Gothic Book" w:hAnsi="Franklin Gothic Book"/>
          <w:color w:val="auto"/>
          <w:spacing w:val="20"/>
          <w:szCs w:val="28"/>
        </w:rPr>
        <w:t>s</w:t>
      </w:r>
      <w:r w:rsidRPr="00390548">
        <w:rPr>
          <w:rFonts w:ascii="Franklin Gothic Book" w:hAnsi="Franklin Gothic Book"/>
          <w:color w:val="auto"/>
          <w:spacing w:val="20"/>
          <w:szCs w:val="28"/>
        </w:rPr>
        <w:t xml:space="preserve"> all parent searches and prepare the Declaration of Due Diligence on any absent parents.</w:t>
      </w:r>
    </w:p>
    <w:p w:rsidR="00D86A11" w:rsidRPr="00390548" w:rsidRDefault="00D86A11" w:rsidP="00D86A11">
      <w:pPr>
        <w:numPr>
          <w:ilvl w:val="0"/>
          <w:numId w:val="16"/>
        </w:numPr>
        <w:spacing w:before="120" w:after="0"/>
        <w:ind w:right="130"/>
        <w:rPr>
          <w:rFonts w:ascii="Franklin Gothic Book" w:hAnsi="Franklin Gothic Book"/>
          <w:color w:val="auto"/>
          <w:spacing w:val="20"/>
          <w:szCs w:val="28"/>
        </w:rPr>
      </w:pPr>
      <w:r w:rsidRPr="00390548">
        <w:rPr>
          <w:rFonts w:ascii="Franklin Gothic Book" w:hAnsi="Franklin Gothic Book"/>
          <w:color w:val="auto"/>
          <w:spacing w:val="20"/>
          <w:szCs w:val="28"/>
        </w:rPr>
        <w:t>Facilitate</w:t>
      </w:r>
      <w:r>
        <w:rPr>
          <w:rFonts w:ascii="Franklin Gothic Book" w:hAnsi="Franklin Gothic Book"/>
          <w:color w:val="auto"/>
          <w:spacing w:val="20"/>
          <w:szCs w:val="28"/>
        </w:rPr>
        <w:t>s</w:t>
      </w:r>
      <w:r w:rsidRPr="00390548">
        <w:rPr>
          <w:rFonts w:ascii="Franklin Gothic Book" w:hAnsi="Franklin Gothic Book"/>
          <w:color w:val="auto"/>
          <w:spacing w:val="20"/>
          <w:szCs w:val="28"/>
        </w:rPr>
        <w:t xml:space="preserve"> the transfer of the case to the Adoption or Guardianship program.</w:t>
      </w:r>
    </w:p>
    <w:p w:rsidR="00D86A11" w:rsidRPr="00F165A6" w:rsidRDefault="00D86A11" w:rsidP="00D86A11">
      <w:pPr>
        <w:spacing w:before="120"/>
        <w:rPr>
          <w:rFonts w:ascii="Franklin Gothic Book" w:hAnsi="Franklin Gothic Book"/>
          <w:i/>
          <w:color w:val="auto"/>
          <w:spacing w:val="20"/>
          <w:szCs w:val="28"/>
        </w:rPr>
      </w:pPr>
      <w:r w:rsidRPr="00586175">
        <w:rPr>
          <w:rFonts w:ascii="Franklin Gothic Book" w:hAnsi="Franklin Gothic Book"/>
          <w:color w:val="auto"/>
          <w:spacing w:val="20"/>
          <w:szCs w:val="28"/>
        </w:rPr>
        <w:t>Some of the reasons for delaying the TPR Hearing are for unresolved paternity, ICWA issues, and contested hearing by the child’s parent(s). Parents have the legal right to contest the TPR Hearing or any other Permanent Plan Hearing</w:t>
      </w:r>
      <w:r w:rsidRPr="00586175">
        <w:rPr>
          <w:rFonts w:ascii="Franklin Gothic Book" w:hAnsi="Franklin Gothic Book"/>
          <w:i/>
          <w:color w:val="auto"/>
          <w:spacing w:val="20"/>
          <w:szCs w:val="28"/>
        </w:rPr>
        <w:t>.</w:t>
      </w:r>
      <w:r>
        <w:rPr>
          <w:rFonts w:ascii="Franklin Gothic Book" w:hAnsi="Franklin Gothic Book"/>
          <w:i/>
          <w:color w:val="auto"/>
          <w:spacing w:val="20"/>
          <w:szCs w:val="28"/>
        </w:rPr>
        <w:t xml:space="preserve"> </w:t>
      </w:r>
    </w:p>
    <w:p w:rsidR="00D86A11" w:rsidRPr="000602BA" w:rsidRDefault="00D86A11" w:rsidP="00D86A11">
      <w:pPr>
        <w:pStyle w:val="Heading6"/>
        <w:rPr>
          <w:color w:val="800929"/>
        </w:rPr>
      </w:pPr>
      <w:r w:rsidRPr="000602BA">
        <w:rPr>
          <w:color w:val="800929"/>
        </w:rPr>
        <w:t>Facilities available for children and parents</w:t>
      </w:r>
    </w:p>
    <w:p w:rsidR="00D86A11" w:rsidRPr="00FA05F3" w:rsidRDefault="00D86A11" w:rsidP="00D86A11">
      <w:pPr>
        <w:pStyle w:val="Heading3"/>
        <w:spacing w:line="276" w:lineRule="auto"/>
        <w:rPr>
          <w:b w:val="0"/>
          <w:color w:val="auto"/>
          <w:sz w:val="22"/>
        </w:rPr>
      </w:pPr>
      <w:r w:rsidRPr="00FA05F3">
        <w:rPr>
          <w:b w:val="0"/>
          <w:color w:val="auto"/>
          <w:sz w:val="22"/>
        </w:rPr>
        <w:t>“Kids in Court” is a program funded by a grant from Rady Children’s Hospital serving children, regardless of age, who are called as witnesses in Juvenile Court. Each child is provided with an explanation of court procedures as part of preparation for the court experience. The program provides advocacy and support to the child at the time of testimony and is available to assist with transportation if needed. Children can wait for any court appearances in staffed waiting rooms while at the court houses.</w:t>
      </w:r>
    </w:p>
    <w:p w:rsidR="00D86A11" w:rsidRPr="000602BA" w:rsidRDefault="00D86A11" w:rsidP="00D86A11">
      <w:pPr>
        <w:pStyle w:val="Heading6"/>
        <w:rPr>
          <w:color w:val="800929"/>
        </w:rPr>
      </w:pPr>
      <w:r w:rsidRPr="000602BA">
        <w:rPr>
          <w:color w:val="800929"/>
        </w:rPr>
        <w:t>Use of alternative dispute resolution</w:t>
      </w:r>
    </w:p>
    <w:p w:rsidR="00D86A11" w:rsidRPr="007A5312" w:rsidRDefault="00D86A11" w:rsidP="00D86A11">
      <w:pPr>
        <w:pStyle w:val="Heading3"/>
        <w:spacing w:line="276" w:lineRule="auto"/>
        <w:rPr>
          <w:b w:val="0"/>
          <w:color w:val="auto"/>
          <w:sz w:val="22"/>
        </w:rPr>
      </w:pPr>
      <w:r w:rsidRPr="007A5312">
        <w:rPr>
          <w:b w:val="0"/>
          <w:color w:val="auto"/>
          <w:sz w:val="22"/>
        </w:rPr>
        <w:t xml:space="preserve">Probation uses alternative dispute resolution when working through an </w:t>
      </w:r>
      <w:r w:rsidRPr="00BE2818">
        <w:rPr>
          <w:b w:val="0"/>
          <w:color w:val="auto"/>
          <w:sz w:val="22"/>
        </w:rPr>
        <w:t>arrangement between the victim and the perpetrator of the crime. Restorative Justice, a local nonprofit, provides this service to Probation. Child Welfare Services has worked to implement alternative dispute resolution service with dependency youth. Due to the confidential nature, case complexities and the need to obtain caregiver support, it has not been possible to implement this solution in dependency cases.</w:t>
      </w:r>
    </w:p>
    <w:p w:rsidR="00D86A11" w:rsidRPr="000602BA" w:rsidRDefault="00D86A11" w:rsidP="00D86A11">
      <w:pPr>
        <w:pStyle w:val="Heading2"/>
        <w:rPr>
          <w:color w:val="F6872B"/>
        </w:rPr>
      </w:pPr>
      <w:r w:rsidRPr="000602BA">
        <w:rPr>
          <w:color w:val="F6872B"/>
        </w:rPr>
        <w:t>Process for Timely Notification of Hearings</w:t>
      </w:r>
    </w:p>
    <w:p w:rsidR="00D86A11" w:rsidRPr="00EC2213" w:rsidRDefault="00763E81" w:rsidP="00D86A11">
      <w:pPr>
        <w:pStyle w:val="Heading3"/>
        <w:spacing w:line="276" w:lineRule="auto"/>
        <w:rPr>
          <w:b w:val="0"/>
          <w:color w:val="auto"/>
          <w:sz w:val="22"/>
        </w:rPr>
      </w:pPr>
      <w:r>
        <w:rPr>
          <w:noProof/>
        </w:rPr>
        <mc:AlternateContent>
          <mc:Choice Requires="wps">
            <w:drawing>
              <wp:anchor distT="91440" distB="91440" distL="182880" distR="182880" simplePos="0" relativeHeight="251655168" behindDoc="1" locked="0" layoutInCell="0" allowOverlap="1">
                <wp:simplePos x="0" y="0"/>
                <wp:positionH relativeFrom="margin">
                  <wp:posOffset>3470275</wp:posOffset>
                </wp:positionH>
                <wp:positionV relativeFrom="margin">
                  <wp:posOffset>6855460</wp:posOffset>
                </wp:positionV>
                <wp:extent cx="2458720" cy="1473200"/>
                <wp:effectExtent l="0" t="0" r="0" b="0"/>
                <wp:wrapSquare wrapText="bothSides"/>
                <wp:docPr id="26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720" cy="1473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103E6" w:rsidRPr="00194511" w:rsidRDefault="009103E6" w:rsidP="00D86A11">
                            <w:pPr>
                              <w:pBdr>
                                <w:top w:val="single" w:sz="4" w:space="2" w:color="A7BFDE"/>
                                <w:bottom w:val="single" w:sz="4" w:space="10" w:color="A7BFDE"/>
                              </w:pBdr>
                              <w:spacing w:after="0"/>
                              <w:jc w:val="center"/>
                              <w:rPr>
                                <w:b/>
                                <w:i/>
                                <w:iCs/>
                                <w:color w:val="2E7029"/>
                                <w:sz w:val="12"/>
                                <w:szCs w:val="28"/>
                              </w:rPr>
                            </w:pPr>
                          </w:p>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w:t>
                            </w:r>
                            <w:r w:rsidRPr="00894D01">
                              <w:rPr>
                                <w:b/>
                                <w:i/>
                                <w:iCs/>
                                <w:color w:val="2E7029"/>
                                <w:sz w:val="28"/>
                                <w:szCs w:val="28"/>
                              </w:rPr>
                              <w:t>The partnership between the Tribes and CWS should be celebrated in this county and serve as a model for other counties</w:t>
                            </w:r>
                            <w:r>
                              <w:rPr>
                                <w:b/>
                                <w:i/>
                                <w:iCs/>
                                <w:color w:val="2E7029"/>
                                <w:sz w:val="28"/>
                                <w:szCs w:val="28"/>
                              </w:rPr>
                              <w:t>”</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sidRPr="004D2A28">
                              <w:rPr>
                                <w:b/>
                                <w:i/>
                                <w:iCs/>
                                <w:color w:val="F6872B"/>
                                <w:sz w:val="28"/>
                                <w:szCs w:val="28"/>
                              </w:rPr>
                              <w:t>- CSA Stakeholder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 o:spid="_x0000_s1068" style="position:absolute;margin-left:273.25pt;margin-top:539.8pt;width:193.6pt;height:116pt;z-index:-251661312;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" o:allowincell="f" filled="f" stroked="f" strokecolor="#90b5e3" strokeweight="6pt">
                <v:textbox inset="0,0,0,0">
                  <w:txbxContent>
                    <w:p w:rsidR="009103E6" w:rsidRPr="00194511" w:rsidRDefault="009103E6" w:rsidP="00D86A11">
                      <w:pPr>
                        <w:pBdr>
                          <w:top w:val="single" w:sz="4" w:space="2" w:color="A7BFDE"/>
                          <w:bottom w:val="single" w:sz="4" w:space="10" w:color="A7BFDE"/>
                        </w:pBdr>
                        <w:spacing w:after="0"/>
                        <w:jc w:val="center"/>
                        <w:rPr>
                          <w:b/>
                          <w:i/>
                          <w:iCs/>
                          <w:color w:val="2E7029"/>
                          <w:sz w:val="12"/>
                          <w:szCs w:val="28"/>
                        </w:rPr>
                      </w:pPr>
                    </w:p>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w:t>
                      </w:r>
                      <w:r w:rsidRPr="00894D01">
                        <w:rPr>
                          <w:b/>
                          <w:i/>
                          <w:iCs/>
                          <w:color w:val="2E7029"/>
                          <w:sz w:val="28"/>
                          <w:szCs w:val="28"/>
                        </w:rPr>
                        <w:t>The partnership between the Tribes and CWS should be celebrated in this county and serve as a model for other counties</w:t>
                      </w:r>
                      <w:r>
                        <w:rPr>
                          <w:b/>
                          <w:i/>
                          <w:iCs/>
                          <w:color w:val="2E7029"/>
                          <w:sz w:val="28"/>
                          <w:szCs w:val="28"/>
                        </w:rPr>
                        <w:t>”</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sidRPr="004D2A28">
                        <w:rPr>
                          <w:b/>
                          <w:i/>
                          <w:iCs/>
                          <w:color w:val="F6872B"/>
                          <w:sz w:val="28"/>
                          <w:szCs w:val="28"/>
                        </w:rPr>
                        <w:t>- CSA Stakeholder</w:t>
                      </w:r>
                    </w:p>
                  </w:txbxContent>
                </v:textbox>
                <w10:wrap type="square" anchorx="margin" anchory="margin"/>
              </v:rect>
            </w:pict>
          </mc:Fallback>
        </mc:AlternateContent>
      </w:r>
      <w:r w:rsidR="00D86A11" w:rsidRPr="00EC2213">
        <w:rPr>
          <w:b w:val="0"/>
          <w:color w:val="auto"/>
          <w:sz w:val="22"/>
        </w:rPr>
        <w:t>The County provides timely notice to all parties involved in dependency and delinquency cases (e.g., foster parents, tribes, pre-adoptive parents; relative caregivers; and, non-relat</w:t>
      </w:r>
      <w:r w:rsidR="002B1011">
        <w:rPr>
          <w:b w:val="0"/>
          <w:color w:val="auto"/>
          <w:sz w:val="22"/>
        </w:rPr>
        <w:t xml:space="preserve">ive extended family members.) </w:t>
      </w:r>
      <w:r w:rsidR="00D86A11" w:rsidRPr="00EC2213">
        <w:rPr>
          <w:b w:val="0"/>
          <w:color w:val="auto"/>
          <w:sz w:val="22"/>
        </w:rPr>
        <w:t xml:space="preserve">County Counsel and CWS work together to ensure proper ICWA noticing by providing social work staff with clear instructions on procedures. The AOC developed an ICWA inquiry form regarding possible Native American background for use by social workers at the first hearing parents attend. The parents’ attorneys are responsible for reviewing the questionnaire with the parents to ensure accuracy of </w:t>
      </w:r>
      <w:r w:rsidR="00D86A11" w:rsidRPr="00EC2213">
        <w:rPr>
          <w:b w:val="0"/>
          <w:color w:val="auto"/>
          <w:sz w:val="22"/>
        </w:rPr>
        <w:lastRenderedPageBreak/>
        <w:t xml:space="preserve">information provided. Under current policies and procedures, all caregivers may address the Juvenile Court at hearings in person or in writing. </w:t>
      </w:r>
    </w:p>
    <w:p w:rsidR="00D86A11" w:rsidRPr="007D0B88" w:rsidRDefault="00D86A11" w:rsidP="00D86A11">
      <w:pPr>
        <w:pStyle w:val="Heading3"/>
        <w:spacing w:line="276" w:lineRule="auto"/>
        <w:rPr>
          <w:b w:val="0"/>
          <w:color w:val="auto"/>
          <w:sz w:val="22"/>
        </w:rPr>
      </w:pPr>
      <w:r w:rsidRPr="007D0B88">
        <w:rPr>
          <w:b w:val="0"/>
          <w:color w:val="auto"/>
          <w:sz w:val="22"/>
        </w:rPr>
        <w:t>Notice for Detention Hearings is given verbal</w:t>
      </w:r>
      <w:r>
        <w:rPr>
          <w:b w:val="0"/>
          <w:color w:val="auto"/>
          <w:sz w:val="22"/>
        </w:rPr>
        <w:t>ly</w:t>
      </w:r>
      <w:r w:rsidRPr="007D0B88">
        <w:rPr>
          <w:b w:val="0"/>
          <w:color w:val="auto"/>
          <w:sz w:val="22"/>
        </w:rPr>
        <w:t xml:space="preserve"> by the social worker. The Court clerks send the petition and notice of the Jurisdictional hearing to the parents. Notice for review hearings are served by first class mail and not earlier than 30 days and not later than 15 days before the hearing. Notice is sent to the following parties:</w:t>
      </w:r>
    </w:p>
    <w:p w:rsidR="00D86A11" w:rsidRPr="00F165A6"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parents</w:t>
      </w:r>
      <w:r w:rsidRPr="00F165A6">
        <w:rPr>
          <w:rFonts w:ascii="Franklin Gothic Book" w:hAnsi="Franklin Gothic Book"/>
          <w:color w:val="auto"/>
          <w:spacing w:val="20"/>
          <w:szCs w:val="28"/>
        </w:rPr>
        <w:t xml:space="preserve"> </w:t>
      </w:r>
    </w:p>
    <w:p w:rsidR="00D86A11" w:rsidRPr="00F165A6"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 xml:space="preserve">caregivers </w:t>
      </w:r>
    </w:p>
    <w:p w:rsidR="00D86A11" w:rsidRPr="00F165A6" w:rsidRDefault="00D86A11" w:rsidP="00D86A11">
      <w:pPr>
        <w:numPr>
          <w:ilvl w:val="0"/>
          <w:numId w:val="16"/>
        </w:numPr>
        <w:spacing w:before="120" w:after="0"/>
        <w:ind w:right="130"/>
        <w:rPr>
          <w:rFonts w:ascii="Franklin Gothic Book" w:hAnsi="Franklin Gothic Book"/>
          <w:color w:val="auto"/>
          <w:spacing w:val="20"/>
          <w:szCs w:val="28"/>
        </w:rPr>
      </w:pPr>
      <w:r w:rsidRPr="00F165A6">
        <w:rPr>
          <w:rFonts w:ascii="Franklin Gothic Book" w:hAnsi="Franklin Gothic Book"/>
          <w:color w:val="auto"/>
          <w:spacing w:val="20"/>
          <w:szCs w:val="28"/>
        </w:rPr>
        <w:t>dependent</w:t>
      </w:r>
      <w:r>
        <w:rPr>
          <w:rFonts w:ascii="Franklin Gothic Book" w:hAnsi="Franklin Gothic Book"/>
          <w:color w:val="auto"/>
          <w:spacing w:val="20"/>
          <w:szCs w:val="28"/>
        </w:rPr>
        <w:t xml:space="preserve"> children over 10 years old</w:t>
      </w:r>
    </w:p>
    <w:p w:rsidR="00D86A11" w:rsidRPr="00F165A6" w:rsidRDefault="00D86A11" w:rsidP="00D86A11">
      <w:pPr>
        <w:numPr>
          <w:ilvl w:val="0"/>
          <w:numId w:val="16"/>
        </w:numPr>
        <w:spacing w:before="120" w:after="0"/>
        <w:ind w:right="130"/>
        <w:rPr>
          <w:rFonts w:ascii="Franklin Gothic Book" w:hAnsi="Franklin Gothic Book"/>
          <w:color w:val="auto"/>
          <w:spacing w:val="20"/>
          <w:szCs w:val="28"/>
        </w:rPr>
      </w:pPr>
      <w:r w:rsidRPr="00F165A6">
        <w:rPr>
          <w:rFonts w:ascii="Franklin Gothic Book" w:hAnsi="Franklin Gothic Book"/>
          <w:color w:val="auto"/>
          <w:spacing w:val="20"/>
          <w:szCs w:val="28"/>
        </w:rPr>
        <w:t>siblings of depe</w:t>
      </w:r>
      <w:r>
        <w:rPr>
          <w:rFonts w:ascii="Franklin Gothic Book" w:hAnsi="Franklin Gothic Book"/>
          <w:color w:val="auto"/>
          <w:spacing w:val="20"/>
          <w:szCs w:val="28"/>
        </w:rPr>
        <w:t>ndent children who are over 10</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F165A6">
        <w:rPr>
          <w:rFonts w:ascii="Franklin Gothic Book" w:hAnsi="Franklin Gothic Book"/>
          <w:color w:val="auto"/>
          <w:spacing w:val="20"/>
          <w:szCs w:val="28"/>
        </w:rPr>
        <w:t>attorneys and caregivers of those siblings</w:t>
      </w:r>
    </w:p>
    <w:p w:rsidR="00D86A11" w:rsidRDefault="00D86A11" w:rsidP="00D86A11">
      <w:pPr>
        <w:spacing w:after="0" w:line="240" w:lineRule="auto"/>
        <w:contextualSpacing/>
        <w:rPr>
          <w:rFonts w:ascii="Franklin Gothic Book" w:hAnsi="Franklin Gothic Book"/>
          <w:color w:val="auto"/>
          <w:spacing w:val="20"/>
          <w:szCs w:val="28"/>
        </w:rPr>
      </w:pPr>
    </w:p>
    <w:p w:rsidR="00D86A11" w:rsidRPr="003D0837" w:rsidRDefault="00D86A11" w:rsidP="00D86A11">
      <w:pPr>
        <w:spacing w:after="0" w:line="240" w:lineRule="auto"/>
        <w:contextualSpacing/>
        <w:rPr>
          <w:rFonts w:ascii="Franklin Gothic Book" w:hAnsi="Franklin Gothic Book"/>
          <w:color w:val="auto"/>
          <w:spacing w:val="20"/>
          <w:szCs w:val="28"/>
        </w:rPr>
      </w:pPr>
      <w:r w:rsidRPr="00F165A6">
        <w:rPr>
          <w:rFonts w:ascii="Franklin Gothic Book" w:hAnsi="Franklin Gothic Book"/>
          <w:color w:val="auto"/>
          <w:spacing w:val="20"/>
          <w:szCs w:val="28"/>
        </w:rPr>
        <w:t>T</w:t>
      </w:r>
      <w:r w:rsidRPr="003D0837">
        <w:rPr>
          <w:rFonts w:ascii="Franklin Gothic Book" w:hAnsi="Franklin Gothic Book"/>
          <w:color w:val="auto"/>
          <w:spacing w:val="20"/>
          <w:szCs w:val="28"/>
        </w:rPr>
        <w:t xml:space="preserve">he agency has a system to ensure proper and timely notice is provided to clients. </w:t>
      </w:r>
    </w:p>
    <w:p w:rsidR="00D86A11" w:rsidRDefault="00D86A11" w:rsidP="00D86A11">
      <w:pPr>
        <w:pStyle w:val="Heading3"/>
        <w:spacing w:line="276" w:lineRule="auto"/>
        <w:rPr>
          <w:b w:val="0"/>
          <w:color w:val="auto"/>
          <w:sz w:val="22"/>
        </w:rPr>
      </w:pPr>
      <w:r w:rsidRPr="008148AB">
        <w:rPr>
          <w:b w:val="0"/>
          <w:color w:val="auto"/>
          <w:sz w:val="22"/>
        </w:rPr>
        <w:t>The agency and court conduct reasonable inquiry to determine if a child may have Indian heritage. If a parent or other family member identifies a tribe the agency notices the tribe or tribes and all other required parties of the hearing using the Judicial Council ICWA 030. Each Region has an assigned ICWA notice specialist as the process is detailed and time consuming. If the child is determined to be a tribal member the case is managed by the Indian Specialty Unit whose members have specialized training and work closely with the tribes.</w:t>
      </w:r>
    </w:p>
    <w:p w:rsidR="00D86A11" w:rsidRPr="006E2AF5" w:rsidRDefault="00D86A11" w:rsidP="00D86A11">
      <w:pPr>
        <w:pStyle w:val="Heading3"/>
        <w:spacing w:line="276" w:lineRule="auto"/>
        <w:rPr>
          <w:b w:val="0"/>
          <w:color w:val="auto"/>
          <w:sz w:val="22"/>
        </w:rPr>
      </w:pPr>
      <w:r w:rsidRPr="006E2AF5">
        <w:rPr>
          <w:b w:val="0"/>
          <w:color w:val="auto"/>
          <w:sz w:val="22"/>
        </w:rPr>
        <w:t xml:space="preserve">Notice for WIC 366.26 hearings must be done by personal service. Parents are noticed by CWS or County Counsel staff at court if they are present when the hearing is set. If notice is not effectuated in court the Permanency Planning Assessment Unit conducts searches and personally serves notice. </w:t>
      </w:r>
    </w:p>
    <w:p w:rsidR="00D86A11" w:rsidRPr="006E2AF5" w:rsidRDefault="00D86A11" w:rsidP="00D86A11">
      <w:pPr>
        <w:pStyle w:val="Heading3"/>
        <w:spacing w:line="276" w:lineRule="auto"/>
        <w:rPr>
          <w:b w:val="0"/>
          <w:color w:val="auto"/>
          <w:sz w:val="22"/>
        </w:rPr>
      </w:pPr>
      <w:r w:rsidRPr="006E2AF5">
        <w:rPr>
          <w:b w:val="0"/>
          <w:color w:val="auto"/>
          <w:sz w:val="22"/>
        </w:rPr>
        <w:t>Caregivers, including pre-adoptive parents, receive notice of court hearings every six months and are provided the opportunity to submit input to the court for consideration. During case planning with the family and child, the social worker ensures issues of permanency are discussed every 6 months and appropriate recommendations are made to the court.</w:t>
      </w:r>
    </w:p>
    <w:p w:rsidR="00D86A11" w:rsidRPr="00765311" w:rsidRDefault="00D86A11" w:rsidP="00D86A11">
      <w:pPr>
        <w:pStyle w:val="Heading2"/>
        <w:rPr>
          <w:color w:val="F6872B"/>
        </w:rPr>
      </w:pPr>
      <w:r w:rsidRPr="000602BA">
        <w:rPr>
          <w:color w:val="F6872B"/>
        </w:rPr>
        <w:t>Process for parent-child-youth participation in case planning</w:t>
      </w:r>
    </w:p>
    <w:p w:rsidR="00D86A11" w:rsidRDefault="00D86A11" w:rsidP="00D86A11">
      <w:pPr>
        <w:pStyle w:val="Heading3"/>
        <w:spacing w:line="276" w:lineRule="auto"/>
        <w:rPr>
          <w:b w:val="0"/>
          <w:color w:val="auto"/>
          <w:sz w:val="22"/>
        </w:rPr>
      </w:pPr>
      <w:r w:rsidRPr="006E4B63">
        <w:rPr>
          <w:b w:val="0"/>
          <w:color w:val="auto"/>
          <w:sz w:val="22"/>
        </w:rPr>
        <w:t xml:space="preserve">CWS policy requires social workers complete the SDM® Family Strengths and Needs Assessment (FSNA), a tool intended to be completed with significant input from the family, prior to developing the initial and subsequent case plans. Each case plan is discussed and reviewed with the child and his/her parents. CWS policies and procedures require that case plans be individualized to each family's situation utilizing the FSNA. The social worker meets with the youth and the parents to discuss the family’s perception of their needs and resources available to successfully reunify the family. </w:t>
      </w:r>
    </w:p>
    <w:p w:rsidR="00D86A11" w:rsidRPr="00D67A31" w:rsidRDefault="00D86A11" w:rsidP="00D86A11">
      <w:pPr>
        <w:pStyle w:val="Heading3"/>
        <w:spacing w:line="276" w:lineRule="auto"/>
        <w:rPr>
          <w:b w:val="0"/>
          <w:color w:val="auto"/>
          <w:sz w:val="22"/>
        </w:rPr>
      </w:pPr>
      <w:r w:rsidRPr="00D67A31">
        <w:rPr>
          <w:b w:val="0"/>
          <w:color w:val="auto"/>
          <w:sz w:val="22"/>
        </w:rPr>
        <w:lastRenderedPageBreak/>
        <w:t xml:space="preserve">The case plan includes the following elements:  </w:t>
      </w:r>
    </w:p>
    <w:p w:rsidR="00D86A11" w:rsidRPr="00CC1730" w:rsidRDefault="00D86A11" w:rsidP="00D86A11">
      <w:pPr>
        <w:numPr>
          <w:ilvl w:val="0"/>
          <w:numId w:val="16"/>
        </w:numPr>
        <w:spacing w:before="120" w:after="0"/>
        <w:ind w:right="130"/>
        <w:rPr>
          <w:rFonts w:ascii="Franklin Gothic Book" w:hAnsi="Franklin Gothic Book"/>
          <w:color w:val="auto"/>
          <w:spacing w:val="20"/>
          <w:szCs w:val="28"/>
        </w:rPr>
      </w:pPr>
      <w:r w:rsidRPr="00CC1730">
        <w:rPr>
          <w:rFonts w:ascii="Franklin Gothic Book" w:hAnsi="Franklin Gothic Book"/>
          <w:color w:val="auto"/>
          <w:spacing w:val="20"/>
          <w:szCs w:val="28"/>
        </w:rPr>
        <w:t>Relevant social, cultural and physical factors for the child, parent and any other significant person(s) who reside in the home</w:t>
      </w:r>
    </w:p>
    <w:p w:rsidR="00D86A11" w:rsidRPr="00CC1730" w:rsidRDefault="00D86A11" w:rsidP="00D86A11">
      <w:pPr>
        <w:numPr>
          <w:ilvl w:val="0"/>
          <w:numId w:val="16"/>
        </w:numPr>
        <w:spacing w:before="120" w:after="0"/>
        <w:ind w:right="130"/>
        <w:rPr>
          <w:rFonts w:ascii="Franklin Gothic Book" w:hAnsi="Franklin Gothic Book"/>
          <w:color w:val="auto"/>
          <w:spacing w:val="20"/>
          <w:szCs w:val="28"/>
        </w:rPr>
      </w:pPr>
      <w:r w:rsidRPr="00CC1730">
        <w:rPr>
          <w:rFonts w:ascii="Franklin Gothic Book" w:hAnsi="Franklin Gothic Book"/>
          <w:color w:val="auto"/>
          <w:spacing w:val="20"/>
          <w:szCs w:val="28"/>
        </w:rPr>
        <w:t>A Danger statement which summarizes the agency’s concerns about the child’s future safety Incorporates the voice of the child or youth</w:t>
      </w:r>
    </w:p>
    <w:p w:rsidR="00D86A11" w:rsidRPr="00CC1730" w:rsidRDefault="00D86A11" w:rsidP="00D86A11">
      <w:pPr>
        <w:numPr>
          <w:ilvl w:val="0"/>
          <w:numId w:val="16"/>
        </w:numPr>
        <w:spacing w:before="120" w:after="0"/>
        <w:ind w:right="130"/>
        <w:rPr>
          <w:rFonts w:ascii="Franklin Gothic Book" w:hAnsi="Franklin Gothic Book"/>
          <w:color w:val="auto"/>
          <w:spacing w:val="20"/>
          <w:szCs w:val="28"/>
        </w:rPr>
      </w:pPr>
      <w:r w:rsidRPr="00CC1730">
        <w:rPr>
          <w:rFonts w:ascii="Franklin Gothic Book" w:hAnsi="Franklin Gothic Book"/>
          <w:color w:val="auto"/>
          <w:spacing w:val="20"/>
          <w:szCs w:val="28"/>
        </w:rPr>
        <w:t>A Safety Goal which outlines the goal the family needs to address to insure the child’s safety</w:t>
      </w:r>
    </w:p>
    <w:p w:rsidR="00D86A11" w:rsidRPr="00CC1730" w:rsidRDefault="00D86A11" w:rsidP="00D86A11">
      <w:pPr>
        <w:numPr>
          <w:ilvl w:val="0"/>
          <w:numId w:val="16"/>
        </w:numPr>
        <w:spacing w:before="120" w:after="0"/>
        <w:ind w:right="130"/>
        <w:rPr>
          <w:rFonts w:ascii="Franklin Gothic Book" w:hAnsi="Franklin Gothic Book"/>
          <w:color w:val="auto"/>
          <w:spacing w:val="20"/>
          <w:szCs w:val="28"/>
        </w:rPr>
      </w:pPr>
      <w:r w:rsidRPr="00CC1730">
        <w:rPr>
          <w:rFonts w:ascii="Franklin Gothic Book" w:hAnsi="Franklin Gothic Book"/>
          <w:color w:val="auto"/>
          <w:spacing w:val="20"/>
          <w:szCs w:val="28"/>
        </w:rPr>
        <w:t>Plans to build and or strengthen the family’s support network</w:t>
      </w:r>
    </w:p>
    <w:p w:rsidR="00D86A11" w:rsidRPr="002E354A" w:rsidRDefault="00D86A11" w:rsidP="00D86A11">
      <w:pPr>
        <w:numPr>
          <w:ilvl w:val="0"/>
          <w:numId w:val="16"/>
        </w:numPr>
        <w:spacing w:before="120" w:after="0"/>
        <w:ind w:right="130"/>
        <w:rPr>
          <w:rFonts w:ascii="Franklin Gothic Book" w:hAnsi="Franklin Gothic Book"/>
          <w:color w:val="auto"/>
          <w:spacing w:val="20"/>
          <w:szCs w:val="28"/>
        </w:rPr>
      </w:pPr>
      <w:r w:rsidRPr="002E354A">
        <w:rPr>
          <w:rFonts w:ascii="Franklin Gothic Book" w:hAnsi="Franklin Gothic Book"/>
          <w:color w:val="auto"/>
          <w:spacing w:val="20"/>
          <w:szCs w:val="28"/>
        </w:rPr>
        <w:t>Identifies the acts of protection the family has exhibited</w:t>
      </w:r>
    </w:p>
    <w:p w:rsidR="00D86A11" w:rsidRPr="002E354A" w:rsidRDefault="00D86A11" w:rsidP="00D86A11">
      <w:pPr>
        <w:numPr>
          <w:ilvl w:val="0"/>
          <w:numId w:val="16"/>
        </w:numPr>
        <w:spacing w:before="120" w:after="0"/>
        <w:ind w:right="130"/>
        <w:rPr>
          <w:rFonts w:ascii="Franklin Gothic Book" w:hAnsi="Franklin Gothic Book"/>
          <w:color w:val="auto"/>
          <w:spacing w:val="20"/>
          <w:szCs w:val="28"/>
        </w:rPr>
      </w:pPr>
      <w:r w:rsidRPr="002E354A">
        <w:rPr>
          <w:rFonts w:ascii="Franklin Gothic Book" w:hAnsi="Franklin Gothic Book"/>
          <w:color w:val="auto"/>
          <w:spacing w:val="20"/>
          <w:szCs w:val="28"/>
        </w:rPr>
        <w:t>Goals that are behaviorally specific and measurable</w:t>
      </w:r>
    </w:p>
    <w:p w:rsidR="00D86A11" w:rsidRPr="002E354A" w:rsidRDefault="00D86A11" w:rsidP="00D86A11">
      <w:pPr>
        <w:numPr>
          <w:ilvl w:val="0"/>
          <w:numId w:val="16"/>
        </w:numPr>
        <w:spacing w:before="120" w:after="0"/>
        <w:ind w:right="130"/>
        <w:rPr>
          <w:rFonts w:ascii="Franklin Gothic Book" w:hAnsi="Franklin Gothic Book"/>
          <w:color w:val="auto"/>
          <w:spacing w:val="20"/>
          <w:szCs w:val="28"/>
        </w:rPr>
      </w:pPr>
      <w:r w:rsidRPr="002E354A">
        <w:rPr>
          <w:rFonts w:ascii="Franklin Gothic Book" w:hAnsi="Franklin Gothic Book"/>
          <w:color w:val="auto"/>
          <w:spacing w:val="20"/>
          <w:szCs w:val="28"/>
        </w:rPr>
        <w:t>Programs and services  to assist all youth 14 and above to transition from foster care to successful adulthood</w:t>
      </w:r>
    </w:p>
    <w:p w:rsidR="00D86A11" w:rsidRPr="002E354A" w:rsidRDefault="00D86A11" w:rsidP="00D86A11">
      <w:pPr>
        <w:numPr>
          <w:ilvl w:val="0"/>
          <w:numId w:val="16"/>
        </w:numPr>
        <w:spacing w:before="120" w:after="0"/>
        <w:ind w:right="130"/>
        <w:rPr>
          <w:rFonts w:ascii="Franklin Gothic Book" w:hAnsi="Franklin Gothic Book"/>
          <w:color w:val="auto"/>
          <w:spacing w:val="20"/>
          <w:szCs w:val="28"/>
        </w:rPr>
      </w:pPr>
      <w:r w:rsidRPr="002E354A">
        <w:rPr>
          <w:rFonts w:ascii="Franklin Gothic Book" w:hAnsi="Franklin Gothic Book"/>
          <w:color w:val="auto"/>
          <w:spacing w:val="20"/>
          <w:szCs w:val="28"/>
        </w:rPr>
        <w:t>Documentation that all youth 14 and over had the option of participating in the creation of the case plan as well as the option of having two support people present during the process</w:t>
      </w:r>
    </w:p>
    <w:p w:rsidR="00D86A11" w:rsidRPr="002E354A" w:rsidRDefault="00D86A11" w:rsidP="00D86A11">
      <w:pPr>
        <w:numPr>
          <w:ilvl w:val="0"/>
          <w:numId w:val="16"/>
        </w:numPr>
        <w:spacing w:before="120" w:after="0"/>
        <w:ind w:right="130"/>
        <w:rPr>
          <w:rFonts w:ascii="Franklin Gothic Book" w:hAnsi="Franklin Gothic Book"/>
          <w:color w:val="auto"/>
          <w:spacing w:val="20"/>
          <w:szCs w:val="28"/>
        </w:rPr>
      </w:pPr>
      <w:r w:rsidRPr="002E354A">
        <w:rPr>
          <w:rFonts w:ascii="Franklin Gothic Book" w:hAnsi="Franklin Gothic Book"/>
          <w:color w:val="auto"/>
          <w:spacing w:val="20"/>
          <w:szCs w:val="28"/>
        </w:rPr>
        <w:t>If the child is 16 years or older with a permanent plan of APPLA the plan must identify intensive and ongoing efforts to develop a more permanent plan such as  return home, adoption, guardianship, or permanent placement with a fit and willing relative</w:t>
      </w:r>
    </w:p>
    <w:p w:rsidR="00D86A11" w:rsidRPr="001A5DD1" w:rsidRDefault="00D86A11" w:rsidP="00D86A11">
      <w:pPr>
        <w:numPr>
          <w:ilvl w:val="0"/>
          <w:numId w:val="16"/>
        </w:numPr>
        <w:spacing w:before="120" w:after="0"/>
        <w:ind w:right="130"/>
        <w:rPr>
          <w:rFonts w:ascii="Franklin Gothic Book" w:hAnsi="Franklin Gothic Book"/>
          <w:color w:val="auto"/>
          <w:spacing w:val="20"/>
          <w:szCs w:val="28"/>
        </w:rPr>
      </w:pPr>
      <w:r w:rsidRPr="001A5DD1">
        <w:rPr>
          <w:rFonts w:ascii="Franklin Gothic Book" w:hAnsi="Franklin Gothic Book"/>
          <w:color w:val="auto"/>
          <w:spacing w:val="20"/>
          <w:szCs w:val="28"/>
        </w:rPr>
        <w:t>Must take into consideration recommendations of family centered teams</w:t>
      </w:r>
    </w:p>
    <w:p w:rsidR="00D86A11" w:rsidRPr="001A5DD1" w:rsidRDefault="00D86A11" w:rsidP="00D86A11">
      <w:pPr>
        <w:numPr>
          <w:ilvl w:val="0"/>
          <w:numId w:val="16"/>
        </w:numPr>
        <w:spacing w:before="120" w:after="0"/>
        <w:ind w:right="130"/>
        <w:rPr>
          <w:rFonts w:ascii="Franklin Gothic Book" w:hAnsi="Franklin Gothic Book"/>
          <w:color w:val="auto"/>
          <w:spacing w:val="20"/>
          <w:szCs w:val="28"/>
        </w:rPr>
      </w:pPr>
      <w:r w:rsidRPr="001A5DD1">
        <w:rPr>
          <w:rFonts w:ascii="Franklin Gothic Book" w:hAnsi="Franklin Gothic Book"/>
          <w:color w:val="auto"/>
          <w:spacing w:val="20"/>
          <w:szCs w:val="28"/>
        </w:rPr>
        <w:t>If the child is placed in a group home the Case Plan must specify how group home placement is the best alternative and  meets the child’s special needs</w:t>
      </w:r>
    </w:p>
    <w:p w:rsidR="00D86A11" w:rsidRPr="001A5DD1" w:rsidRDefault="00D86A11" w:rsidP="00D86A11">
      <w:pPr>
        <w:numPr>
          <w:ilvl w:val="0"/>
          <w:numId w:val="16"/>
        </w:numPr>
        <w:spacing w:before="120" w:after="0"/>
        <w:ind w:right="130"/>
        <w:rPr>
          <w:rFonts w:ascii="Franklin Gothic Book" w:hAnsi="Franklin Gothic Book"/>
          <w:color w:val="auto"/>
          <w:spacing w:val="20"/>
          <w:szCs w:val="28"/>
        </w:rPr>
      </w:pPr>
      <w:r w:rsidRPr="001A5DD1">
        <w:rPr>
          <w:rFonts w:ascii="Franklin Gothic Book" w:hAnsi="Franklin Gothic Book"/>
          <w:color w:val="auto"/>
          <w:spacing w:val="20"/>
          <w:szCs w:val="28"/>
        </w:rPr>
        <w:t>Special needs of any child or nonminor dependent who is a parent</w:t>
      </w:r>
    </w:p>
    <w:p w:rsidR="00D86A11" w:rsidRPr="001A5DD1" w:rsidRDefault="00D86A11" w:rsidP="00D86A11">
      <w:pPr>
        <w:numPr>
          <w:ilvl w:val="0"/>
          <w:numId w:val="16"/>
        </w:numPr>
        <w:spacing w:before="120" w:after="0"/>
        <w:ind w:right="130"/>
        <w:rPr>
          <w:rFonts w:ascii="Franklin Gothic Book" w:hAnsi="Franklin Gothic Book"/>
          <w:color w:val="auto"/>
          <w:spacing w:val="20"/>
          <w:szCs w:val="28"/>
        </w:rPr>
      </w:pPr>
      <w:r w:rsidRPr="001A5DD1">
        <w:rPr>
          <w:rFonts w:ascii="Franklin Gothic Book" w:hAnsi="Franklin Gothic Book"/>
          <w:color w:val="auto"/>
          <w:spacing w:val="20"/>
          <w:szCs w:val="28"/>
        </w:rPr>
        <w:t>Previous social services offered and/or delivered to the child or the family, and the results of same</w:t>
      </w:r>
    </w:p>
    <w:p w:rsidR="00D86A11" w:rsidRPr="001A5DD1" w:rsidRDefault="00D86A11" w:rsidP="00D86A11">
      <w:pPr>
        <w:numPr>
          <w:ilvl w:val="0"/>
          <w:numId w:val="16"/>
        </w:numPr>
        <w:spacing w:before="120" w:after="0"/>
        <w:ind w:right="130"/>
        <w:rPr>
          <w:rFonts w:ascii="Franklin Gothic Book" w:hAnsi="Franklin Gothic Book"/>
          <w:color w:val="auto"/>
          <w:spacing w:val="20"/>
          <w:szCs w:val="28"/>
        </w:rPr>
      </w:pPr>
      <w:r w:rsidRPr="001A5DD1">
        <w:rPr>
          <w:rFonts w:ascii="Franklin Gothic Book" w:hAnsi="Franklin Gothic Book"/>
          <w:color w:val="auto"/>
          <w:spacing w:val="20"/>
          <w:szCs w:val="28"/>
        </w:rPr>
        <w:t>Description of child’s placement and explanation of the appropriateness of the placement and how  it meets the child’s individual  needs</w:t>
      </w:r>
    </w:p>
    <w:p w:rsidR="00D86A11" w:rsidRPr="001A5DD1" w:rsidRDefault="00D86A11" w:rsidP="00D86A11">
      <w:pPr>
        <w:numPr>
          <w:ilvl w:val="0"/>
          <w:numId w:val="16"/>
        </w:numPr>
        <w:spacing w:before="120" w:after="0"/>
        <w:ind w:right="130"/>
        <w:rPr>
          <w:rFonts w:ascii="Franklin Gothic Book" w:hAnsi="Franklin Gothic Book"/>
          <w:color w:val="auto"/>
          <w:spacing w:val="20"/>
          <w:szCs w:val="28"/>
        </w:rPr>
      </w:pPr>
      <w:r w:rsidRPr="001A5DD1">
        <w:rPr>
          <w:rFonts w:ascii="Franklin Gothic Book" w:hAnsi="Franklin Gothic Book"/>
          <w:color w:val="auto"/>
          <w:spacing w:val="20"/>
          <w:szCs w:val="28"/>
        </w:rPr>
        <w:t>If child is placed out of home a concurrent plan is required. The concurrent plan states the permanent plan for the child if reunification fails</w:t>
      </w:r>
    </w:p>
    <w:p w:rsidR="00D86A11" w:rsidRPr="001A5DD1" w:rsidRDefault="00D86A11" w:rsidP="00D86A11">
      <w:pPr>
        <w:numPr>
          <w:ilvl w:val="0"/>
          <w:numId w:val="16"/>
        </w:numPr>
        <w:spacing w:before="120" w:after="0"/>
        <w:ind w:right="130"/>
        <w:rPr>
          <w:rFonts w:ascii="Franklin Gothic Book" w:hAnsi="Franklin Gothic Book"/>
          <w:color w:val="auto"/>
          <w:spacing w:val="20"/>
          <w:szCs w:val="28"/>
        </w:rPr>
      </w:pPr>
      <w:r w:rsidRPr="001A5DD1">
        <w:rPr>
          <w:rFonts w:ascii="Franklin Gothic Book" w:hAnsi="Franklin Gothic Book"/>
          <w:color w:val="auto"/>
          <w:spacing w:val="20"/>
          <w:szCs w:val="28"/>
        </w:rPr>
        <w:t>Child’s health/medical care and educational information</w:t>
      </w:r>
    </w:p>
    <w:p w:rsidR="00D86A11" w:rsidRPr="001A5DD1" w:rsidRDefault="00D86A11" w:rsidP="00D86A11">
      <w:pPr>
        <w:numPr>
          <w:ilvl w:val="0"/>
          <w:numId w:val="16"/>
        </w:numPr>
        <w:spacing w:before="120" w:after="0"/>
        <w:ind w:right="130"/>
        <w:rPr>
          <w:rFonts w:ascii="Franklin Gothic Book" w:hAnsi="Franklin Gothic Book"/>
          <w:color w:val="auto"/>
          <w:spacing w:val="20"/>
          <w:szCs w:val="28"/>
        </w:rPr>
      </w:pPr>
      <w:r w:rsidRPr="001A5DD1">
        <w:rPr>
          <w:rFonts w:ascii="Franklin Gothic Book" w:hAnsi="Franklin Gothic Book"/>
          <w:color w:val="auto"/>
          <w:spacing w:val="20"/>
          <w:szCs w:val="28"/>
        </w:rPr>
        <w:t>Schedule of planned social worker contacts with the child/parent/caregiver</w:t>
      </w:r>
    </w:p>
    <w:p w:rsidR="00D86A11" w:rsidRPr="001A5DD1" w:rsidRDefault="00D86A11" w:rsidP="00D86A11">
      <w:pPr>
        <w:numPr>
          <w:ilvl w:val="0"/>
          <w:numId w:val="16"/>
        </w:numPr>
        <w:spacing w:before="120" w:after="0"/>
        <w:ind w:right="130"/>
        <w:rPr>
          <w:rFonts w:ascii="Franklin Gothic Book" w:hAnsi="Franklin Gothic Book"/>
          <w:color w:val="auto"/>
          <w:spacing w:val="20"/>
          <w:szCs w:val="28"/>
        </w:rPr>
      </w:pPr>
      <w:r w:rsidRPr="001A5DD1">
        <w:rPr>
          <w:rFonts w:ascii="Franklin Gothic Book" w:hAnsi="Franklin Gothic Book"/>
          <w:color w:val="auto"/>
          <w:spacing w:val="20"/>
          <w:szCs w:val="28"/>
        </w:rPr>
        <w:t xml:space="preserve"> Visitation schedules between the parent(s) and the child(ren) and children and their siblings </w:t>
      </w:r>
    </w:p>
    <w:p w:rsidR="00D86A11" w:rsidRPr="001A5DD1" w:rsidRDefault="00D86A11" w:rsidP="00D86A11">
      <w:pPr>
        <w:numPr>
          <w:ilvl w:val="0"/>
          <w:numId w:val="16"/>
        </w:numPr>
        <w:spacing w:before="120" w:after="0"/>
        <w:ind w:right="130"/>
        <w:rPr>
          <w:rFonts w:ascii="Franklin Gothic Book" w:hAnsi="Franklin Gothic Book"/>
          <w:color w:val="auto"/>
          <w:spacing w:val="20"/>
          <w:szCs w:val="28"/>
        </w:rPr>
      </w:pPr>
      <w:r w:rsidRPr="001A5DD1">
        <w:rPr>
          <w:rFonts w:ascii="Franklin Gothic Book" w:hAnsi="Franklin Gothic Book"/>
          <w:color w:val="auto"/>
          <w:spacing w:val="20"/>
          <w:szCs w:val="28"/>
        </w:rPr>
        <w:t xml:space="preserve">In Family Reunification and Family Maintenance cases the social worker must attempt to obtain the parents’ signatures on the case plan after the parent has consulted with their attorney. In addition, State regulations require social workers to update a case plan at least once every six </w:t>
      </w:r>
      <w:r w:rsidRPr="001A5DD1">
        <w:rPr>
          <w:rFonts w:ascii="Franklin Gothic Book" w:hAnsi="Franklin Gothic Book"/>
          <w:color w:val="auto"/>
          <w:spacing w:val="20"/>
          <w:szCs w:val="28"/>
        </w:rPr>
        <w:lastRenderedPageBreak/>
        <w:t xml:space="preserve">months. The update includes specific information about the current progress of the child and family, as well as any changes regarding the information and requirements in the case plan. </w:t>
      </w:r>
    </w:p>
    <w:p w:rsidR="00D86A11" w:rsidRPr="00734351" w:rsidRDefault="00D86A11" w:rsidP="00D86A11">
      <w:pPr>
        <w:pStyle w:val="Heading2"/>
        <w:rPr>
          <w:color w:val="F6872B"/>
        </w:rPr>
      </w:pPr>
      <w:r w:rsidRPr="000602BA">
        <w:rPr>
          <w:color w:val="F6872B"/>
        </w:rPr>
        <w:t>Case Planning and Review</w:t>
      </w:r>
    </w:p>
    <w:p w:rsidR="00D86A11" w:rsidRPr="00AD6946" w:rsidRDefault="00D86A11" w:rsidP="00D86A11">
      <w:pPr>
        <w:pStyle w:val="Heading3"/>
        <w:spacing w:line="276" w:lineRule="auto"/>
        <w:rPr>
          <w:b w:val="0"/>
          <w:color w:val="auto"/>
          <w:sz w:val="22"/>
        </w:rPr>
      </w:pPr>
      <w:r w:rsidRPr="00AD6946">
        <w:rPr>
          <w:b w:val="0"/>
          <w:color w:val="auto"/>
          <w:sz w:val="22"/>
        </w:rPr>
        <w:t xml:space="preserve">Juvenile Probation develops case plans, pursuant to Division 31 </w:t>
      </w:r>
      <w:r>
        <w:rPr>
          <w:b w:val="0"/>
          <w:color w:val="auto"/>
          <w:sz w:val="22"/>
        </w:rPr>
        <w:t>r</w:t>
      </w:r>
      <w:r w:rsidRPr="00AD6946">
        <w:rPr>
          <w:b w:val="0"/>
          <w:color w:val="auto"/>
          <w:sz w:val="22"/>
        </w:rPr>
        <w:t>egulations, on all cases that come into their system. These case plans cover permanency issues and the services to be provided. The case plan must be signed by the parent, child, probation officer</w:t>
      </w:r>
      <w:r>
        <w:rPr>
          <w:b w:val="0"/>
          <w:color w:val="auto"/>
          <w:sz w:val="22"/>
        </w:rPr>
        <w:t xml:space="preserve">, and supervising probation officer </w:t>
      </w:r>
      <w:r w:rsidRPr="00AD6946">
        <w:rPr>
          <w:b w:val="0"/>
          <w:color w:val="auto"/>
          <w:sz w:val="22"/>
        </w:rPr>
        <w:t xml:space="preserve">and must be updated every six months. The child and family are involved in the development of the case plan and </w:t>
      </w:r>
      <w:r>
        <w:rPr>
          <w:b w:val="0"/>
          <w:color w:val="auto"/>
          <w:sz w:val="22"/>
        </w:rPr>
        <w:t>the associated responsibilities.</w:t>
      </w:r>
      <w:r w:rsidRPr="00AD6946">
        <w:rPr>
          <w:b w:val="0"/>
          <w:color w:val="auto"/>
          <w:sz w:val="22"/>
        </w:rPr>
        <w:t xml:space="preserve"> In addition, the Probation Department</w:t>
      </w:r>
      <w:r>
        <w:rPr>
          <w:b w:val="0"/>
          <w:color w:val="auto"/>
          <w:sz w:val="22"/>
        </w:rPr>
        <w:t xml:space="preserve"> has implemented an integrated case management approach utilizing evidenced based cognitive behavioral practices, entitled</w:t>
      </w:r>
      <w:r w:rsidRPr="00AD6946">
        <w:rPr>
          <w:b w:val="0"/>
          <w:color w:val="auto"/>
          <w:sz w:val="22"/>
        </w:rPr>
        <w:t xml:space="preserve"> Integrated Behavioral Intervention Strategies (IBIS)</w:t>
      </w:r>
      <w:r>
        <w:rPr>
          <w:b w:val="0"/>
          <w:color w:val="auto"/>
          <w:sz w:val="22"/>
        </w:rPr>
        <w:t>.  This practice framework</w:t>
      </w:r>
      <w:r w:rsidRPr="00AD6946">
        <w:rPr>
          <w:b w:val="0"/>
          <w:color w:val="auto"/>
          <w:sz w:val="22"/>
        </w:rPr>
        <w:t xml:space="preserve"> aid</w:t>
      </w:r>
      <w:r>
        <w:rPr>
          <w:b w:val="0"/>
          <w:color w:val="auto"/>
          <w:sz w:val="22"/>
        </w:rPr>
        <w:t>s</w:t>
      </w:r>
      <w:r w:rsidRPr="00AD6946">
        <w:rPr>
          <w:b w:val="0"/>
          <w:color w:val="auto"/>
          <w:sz w:val="22"/>
        </w:rPr>
        <w:t xml:space="preserve"> in the case planning and supervision of juvenile court wards</w:t>
      </w:r>
      <w:r w:rsidR="00121985" w:rsidRPr="00121985">
        <w:rPr>
          <w:b w:val="0"/>
          <w:color w:val="auto"/>
          <w:sz w:val="22"/>
        </w:rPr>
        <w:t xml:space="preserve"> by utilizing evidence based practices and training on motivational interviewing</w:t>
      </w:r>
      <w:r w:rsidRPr="00AD6946">
        <w:rPr>
          <w:b w:val="0"/>
          <w:color w:val="auto"/>
          <w:sz w:val="22"/>
        </w:rPr>
        <w:t>.</w:t>
      </w:r>
    </w:p>
    <w:p w:rsidR="009C037E" w:rsidRDefault="009C037E" w:rsidP="00CF6911">
      <w:pPr>
        <w:rPr>
          <w:rFonts w:ascii="Franklin Gothic Book" w:hAnsi="Franklin Gothic Book"/>
          <w:spacing w:val="20"/>
        </w:rPr>
      </w:pPr>
    </w:p>
    <w:p w:rsidR="00CF6911" w:rsidRPr="009C037E" w:rsidRDefault="00CF6911" w:rsidP="00CF6911">
      <w:pPr>
        <w:rPr>
          <w:rFonts w:ascii="Franklin Gothic Book" w:hAnsi="Franklin Gothic Book"/>
          <w:spacing w:val="20"/>
        </w:rPr>
      </w:pPr>
      <w:r w:rsidRPr="009C037E">
        <w:rPr>
          <w:rFonts w:ascii="Franklin Gothic Book" w:hAnsi="Franklin Gothic Book"/>
          <w:spacing w:val="20"/>
        </w:rPr>
        <w:t>As the Probation Department moves forward in its collaborative case planning efforts</w:t>
      </w:r>
      <w:r w:rsidR="009F06E3" w:rsidRPr="009C037E">
        <w:rPr>
          <w:rFonts w:ascii="Franklin Gothic Book" w:hAnsi="Franklin Gothic Book"/>
          <w:spacing w:val="20"/>
        </w:rPr>
        <w:t xml:space="preserve">, we </w:t>
      </w:r>
      <w:r w:rsidRPr="009C037E">
        <w:rPr>
          <w:rFonts w:ascii="Franklin Gothic Book" w:hAnsi="Franklin Gothic Book"/>
          <w:spacing w:val="20"/>
        </w:rPr>
        <w:t xml:space="preserve">will continue to build upon the strong collaborative relationships with our partners.  While we are strengthening our inclusion of youth and family voice, as well as partner voice in the case plan, coordinating these discussions and completing the case plan in accordance with </w:t>
      </w:r>
      <w:r w:rsidR="007516AE" w:rsidRPr="009C037E">
        <w:rPr>
          <w:rFonts w:ascii="Franklin Gothic Book" w:hAnsi="Franklin Gothic Book"/>
          <w:spacing w:val="20"/>
        </w:rPr>
        <w:t>mandated timelines and court hearings</w:t>
      </w:r>
      <w:r w:rsidRPr="009C037E">
        <w:rPr>
          <w:rFonts w:ascii="Franklin Gothic Book" w:hAnsi="Franklin Gothic Book"/>
          <w:spacing w:val="20"/>
        </w:rPr>
        <w:t xml:space="preserve"> is still an area of</w:t>
      </w:r>
      <w:r w:rsidR="009F06E3" w:rsidRPr="009C037E">
        <w:rPr>
          <w:rFonts w:ascii="Franklin Gothic Book" w:hAnsi="Franklin Gothic Book"/>
          <w:spacing w:val="20"/>
        </w:rPr>
        <w:t xml:space="preserve"> orchestration</w:t>
      </w:r>
      <w:r w:rsidR="007516AE" w:rsidRPr="009C037E">
        <w:rPr>
          <w:rFonts w:ascii="Franklin Gothic Book" w:hAnsi="Franklin Gothic Book"/>
          <w:spacing w:val="20"/>
        </w:rPr>
        <w:t xml:space="preserve">.  Coordinating in person case planning and development meetings is often a challenge for the casework officer, due to the impacted </w:t>
      </w:r>
      <w:r w:rsidR="009F06E3" w:rsidRPr="009C037E">
        <w:rPr>
          <w:rFonts w:ascii="Franklin Gothic Book" w:hAnsi="Franklin Gothic Book"/>
          <w:spacing w:val="20"/>
        </w:rPr>
        <w:t xml:space="preserve">and conflicting </w:t>
      </w:r>
      <w:r w:rsidR="007516AE" w:rsidRPr="009C037E">
        <w:rPr>
          <w:rFonts w:ascii="Franklin Gothic Book" w:hAnsi="Franklin Gothic Book"/>
          <w:spacing w:val="20"/>
        </w:rPr>
        <w:t>schedules of the partners, service providers, the family, and the probation officer</w:t>
      </w:r>
      <w:r w:rsidR="009F06E3" w:rsidRPr="009C037E">
        <w:rPr>
          <w:rFonts w:ascii="Franklin Gothic Book" w:hAnsi="Franklin Gothic Book"/>
          <w:spacing w:val="20"/>
        </w:rPr>
        <w:t>, in addition to competing workload requirements</w:t>
      </w:r>
      <w:r w:rsidR="007516AE" w:rsidRPr="009C037E">
        <w:rPr>
          <w:rFonts w:ascii="Franklin Gothic Book" w:hAnsi="Franklin Gothic Book"/>
          <w:spacing w:val="20"/>
        </w:rPr>
        <w:t>.  This results in much of the collaborative planning occurring via separate phone or in-person conversations.  The Probation Department also continues to craft a cross-system’s case plan which follows the youth and family, not only internally, such as when the youth is in the community or in custody</w:t>
      </w:r>
      <w:r w:rsidR="00603C1D" w:rsidRPr="009C037E">
        <w:rPr>
          <w:rFonts w:ascii="Franklin Gothic Book" w:hAnsi="Franklin Gothic Book"/>
          <w:spacing w:val="20"/>
        </w:rPr>
        <w:t>, but one which can be jointly utilized by all the service partners.  However, as the various programs and entities have differing case plan requirements, this often presents</w:t>
      </w:r>
      <w:r w:rsidR="002C7CAE" w:rsidRPr="009C037E">
        <w:rPr>
          <w:rFonts w:ascii="Franklin Gothic Book" w:hAnsi="Franklin Gothic Book"/>
          <w:spacing w:val="20"/>
        </w:rPr>
        <w:t xml:space="preserve"> a challenge to the development </w:t>
      </w:r>
      <w:r w:rsidR="00603C1D" w:rsidRPr="009C037E">
        <w:rPr>
          <w:rFonts w:ascii="Franklin Gothic Book" w:hAnsi="Franklin Gothic Book"/>
          <w:spacing w:val="20"/>
        </w:rPr>
        <w:t xml:space="preserve">of one comprehensive case plan for the family and results in a variety of case plans being utilized. </w:t>
      </w:r>
      <w:r w:rsidR="009F06E3" w:rsidRPr="009C037E">
        <w:rPr>
          <w:rFonts w:ascii="Franklin Gothic Book" w:hAnsi="Franklin Gothic Book"/>
          <w:spacing w:val="20"/>
        </w:rPr>
        <w:t xml:space="preserve">As the Department  moves forward with the </w:t>
      </w:r>
      <w:r w:rsidR="00D33CDA" w:rsidRPr="009C037E">
        <w:rPr>
          <w:rFonts w:ascii="Franklin Gothic Book" w:hAnsi="Franklin Gothic Book"/>
          <w:spacing w:val="20"/>
        </w:rPr>
        <w:t xml:space="preserve">development and </w:t>
      </w:r>
      <w:r w:rsidR="009F06E3" w:rsidRPr="009C037E">
        <w:rPr>
          <w:rFonts w:ascii="Franklin Gothic Book" w:hAnsi="Franklin Gothic Book"/>
          <w:spacing w:val="20"/>
        </w:rPr>
        <w:t xml:space="preserve">implementation of </w:t>
      </w:r>
      <w:r w:rsidR="00D33CDA" w:rsidRPr="009C037E">
        <w:rPr>
          <w:rFonts w:ascii="Franklin Gothic Book" w:hAnsi="Franklin Gothic Book"/>
          <w:spacing w:val="20"/>
        </w:rPr>
        <w:t xml:space="preserve">organized and streamlined </w:t>
      </w:r>
      <w:r w:rsidR="009F06E3" w:rsidRPr="009C037E">
        <w:rPr>
          <w:rFonts w:ascii="Franklin Gothic Book" w:hAnsi="Franklin Gothic Book"/>
          <w:spacing w:val="20"/>
        </w:rPr>
        <w:t xml:space="preserve">Child and Family Teaming practices, </w:t>
      </w:r>
      <w:r w:rsidR="00D33CDA" w:rsidRPr="009C037E">
        <w:rPr>
          <w:rFonts w:ascii="Franklin Gothic Book" w:hAnsi="Franklin Gothic Book"/>
          <w:spacing w:val="20"/>
        </w:rPr>
        <w:t>an increase in-person collaborative case planning and case reviews is anticipated, which should have a positive impact on diminishing these challenges.</w:t>
      </w:r>
      <w:r w:rsidR="00603C1D" w:rsidRPr="009C037E">
        <w:rPr>
          <w:rFonts w:ascii="Franklin Gothic Book" w:hAnsi="Franklin Gothic Book"/>
          <w:spacing w:val="20"/>
        </w:rPr>
        <w:t xml:space="preserve">  </w:t>
      </w:r>
      <w:r w:rsidRPr="009C037E">
        <w:rPr>
          <w:rFonts w:ascii="Franklin Gothic Book" w:hAnsi="Franklin Gothic Book"/>
          <w:spacing w:val="20"/>
        </w:rPr>
        <w:t xml:space="preserve"> </w:t>
      </w:r>
    </w:p>
    <w:p w:rsidR="00D86A11" w:rsidRDefault="00D86A11" w:rsidP="00D86A11">
      <w:pPr>
        <w:pStyle w:val="Heading1"/>
        <w:rPr>
          <w:color w:val="013161"/>
          <w:sz w:val="2"/>
        </w:rPr>
      </w:pPr>
      <w:r w:rsidRPr="000602BA">
        <w:rPr>
          <w:color w:val="013161"/>
        </w:rPr>
        <w:t xml:space="preserve">3. </w:t>
      </w:r>
      <w:r w:rsidRPr="00105540">
        <w:rPr>
          <w:color w:val="013161"/>
        </w:rPr>
        <w:t>Foster and Adoptive Parent Licensing, Recruitment and Retention</w:t>
      </w:r>
    </w:p>
    <w:p w:rsidR="00D86A11" w:rsidRPr="005E6F82" w:rsidRDefault="00D86A11" w:rsidP="00D86A11">
      <w:pPr>
        <w:pStyle w:val="Heading3"/>
        <w:spacing w:line="276" w:lineRule="auto"/>
        <w:rPr>
          <w:b w:val="0"/>
          <w:color w:val="auto"/>
          <w:sz w:val="22"/>
        </w:rPr>
      </w:pPr>
      <w:r>
        <w:rPr>
          <w:b w:val="0"/>
          <w:color w:val="auto"/>
          <w:sz w:val="22"/>
        </w:rPr>
        <w:t>The County of San Diego</w:t>
      </w:r>
      <w:r w:rsidRPr="005E6F82">
        <w:rPr>
          <w:b w:val="0"/>
          <w:color w:val="auto"/>
          <w:sz w:val="22"/>
        </w:rPr>
        <w:t xml:space="preserve"> has a Memorandum of Agreement with the State of California to license foster homes and is also an adoption agency. The foster and adoptive families in San Diego are required to obtain a foster home license and an approved adoptive home study in order to be considered for placement of children </w:t>
      </w:r>
      <w:r w:rsidRPr="005E6F82">
        <w:rPr>
          <w:b w:val="0"/>
          <w:color w:val="auto"/>
          <w:sz w:val="22"/>
        </w:rPr>
        <w:lastRenderedPageBreak/>
        <w:t>in the foster care system. This prepares families to care for children temporarily or permanently. It also promotes greater timeliness to permanency for dependent children by ensuring a comprehensive evaluation of a family is completed prior to placement. The first step of the process requires that prospective foster and adoptive families attend an orientation to determine if they want to become a Resource Family.</w:t>
      </w:r>
    </w:p>
    <w:p w:rsidR="00D86A11" w:rsidRPr="00687546" w:rsidRDefault="00D86A11" w:rsidP="00D86A11">
      <w:pPr>
        <w:pStyle w:val="Heading3"/>
        <w:spacing w:line="276" w:lineRule="auto"/>
        <w:rPr>
          <w:b w:val="0"/>
          <w:color w:val="auto"/>
          <w:sz w:val="22"/>
        </w:rPr>
      </w:pPr>
      <w:r w:rsidRPr="00687546">
        <w:rPr>
          <w:b w:val="0"/>
          <w:color w:val="auto"/>
          <w:sz w:val="22"/>
        </w:rPr>
        <w:t xml:space="preserve">To obtain approval, Foster Home Licensing workers ensure families meet the state requirements to be licensed and the Adoption Applicant Workers conduct the psychosocial evaluation of the family. </w:t>
      </w:r>
      <w:r w:rsidR="00C7479A">
        <w:rPr>
          <w:b w:val="0"/>
          <w:color w:val="auto"/>
          <w:sz w:val="22"/>
        </w:rPr>
        <w:t>F</w:t>
      </w:r>
      <w:r>
        <w:rPr>
          <w:b w:val="0"/>
          <w:color w:val="auto"/>
          <w:sz w:val="22"/>
        </w:rPr>
        <w:t xml:space="preserve">oster parents </w:t>
      </w:r>
      <w:r w:rsidRPr="00687546">
        <w:rPr>
          <w:b w:val="0"/>
          <w:color w:val="auto"/>
          <w:sz w:val="22"/>
        </w:rPr>
        <w:t xml:space="preserve">must submit an application, undergo a background check, and home environment check. In addition, they need to obtain a First Aid certification, complete a CPR class, and test for TB. They are required to attend 27 hours of </w:t>
      </w:r>
      <w:r>
        <w:rPr>
          <w:b w:val="0"/>
          <w:color w:val="auto"/>
          <w:sz w:val="22"/>
        </w:rPr>
        <w:t xml:space="preserve">trauma-informed, </w:t>
      </w:r>
      <w:r w:rsidRPr="00687546">
        <w:rPr>
          <w:b w:val="0"/>
          <w:color w:val="auto"/>
          <w:sz w:val="22"/>
        </w:rPr>
        <w:t xml:space="preserve">pre-service training and attend at least eight hours of training per year. Their First Aid and CPR certification must be valid to maintain their license. Once the family is licensed and has completed the pre-service training, the Adoption Applicant Worker meets with a family at least 3 times to complete the adoption home study. The home study is a comprehensive psychosocial assessment of the prospective caregiver/s. When a family has completed all of these steps, they are considered placement ready. All approved </w:t>
      </w:r>
      <w:r>
        <w:rPr>
          <w:b w:val="0"/>
          <w:color w:val="auto"/>
          <w:sz w:val="22"/>
        </w:rPr>
        <w:t xml:space="preserve">foster parents </w:t>
      </w:r>
      <w:r w:rsidRPr="00687546">
        <w:rPr>
          <w:b w:val="0"/>
          <w:color w:val="auto"/>
          <w:sz w:val="22"/>
        </w:rPr>
        <w:t xml:space="preserve">receive a State Foster Home License and an approved adoptive home study after successfully completing the process. </w:t>
      </w:r>
    </w:p>
    <w:p w:rsidR="00D86A11" w:rsidRDefault="00121985" w:rsidP="007D4F45">
      <w:pPr>
        <w:pStyle w:val="Heading3"/>
        <w:spacing w:line="276" w:lineRule="auto"/>
        <w:rPr>
          <w:b w:val="0"/>
          <w:color w:val="auto"/>
          <w:sz w:val="22"/>
        </w:rPr>
      </w:pPr>
      <w:r w:rsidRPr="00121985">
        <w:rPr>
          <w:b w:val="0"/>
          <w:color w:val="auto"/>
          <w:sz w:val="22"/>
        </w:rPr>
        <w:t>The County of San Diego Licensing Department meets with foster parents bi-annually to ensure their home meets Title 22 standards.</w:t>
      </w:r>
    </w:p>
    <w:p w:rsidR="000B1863" w:rsidRDefault="00C7479A">
      <w:pPr>
        <w:spacing w:before="200" w:after="40"/>
        <w:rPr>
          <w:b/>
        </w:rPr>
      </w:pPr>
      <w:r>
        <w:rPr>
          <w:rFonts w:ascii="Franklin Gothic Book" w:hAnsi="Franklin Gothic Book"/>
          <w:spacing w:val="20"/>
        </w:rPr>
        <w:t>There are some populations where placement resources are harder to find and CWS is working to develop pl</w:t>
      </w:r>
      <w:r w:rsidR="007D4F45">
        <w:rPr>
          <w:rFonts w:ascii="Franklin Gothic Book" w:hAnsi="Franklin Gothic Book"/>
          <w:spacing w:val="20"/>
        </w:rPr>
        <w:t>acement options with those special populations.  There are regularly scheduled placement meetings and placement for special populations is a standing agenda item.  For example in San Diego there are fewer placement options with non-ambulatory children and youth with diabetes.  In an effort to create more placement options, CWS is developing relationships with the various Fire Departments to evaluate and train potential caregivers.  CWS has PCC which has become a 10-day assessment center and careful consideration is being given to what can be done to use PCC to develop potential special population placements.</w:t>
      </w:r>
    </w:p>
    <w:p w:rsidR="00D86A11" w:rsidRPr="005E6F82" w:rsidRDefault="00D86A11" w:rsidP="00D86A11">
      <w:pPr>
        <w:pStyle w:val="Heading2"/>
        <w:rPr>
          <w:color w:val="F6872B"/>
        </w:rPr>
      </w:pPr>
      <w:r w:rsidRPr="005E6F82">
        <w:rPr>
          <w:color w:val="F6872B"/>
        </w:rPr>
        <w:t>Recruitment</w:t>
      </w:r>
    </w:p>
    <w:p w:rsidR="00D86A11" w:rsidRPr="006A7AB0" w:rsidRDefault="00D86A11" w:rsidP="00D86A11">
      <w:pPr>
        <w:pStyle w:val="Heading3"/>
        <w:spacing w:line="276" w:lineRule="auto"/>
        <w:rPr>
          <w:b w:val="0"/>
          <w:color w:val="auto"/>
          <w:sz w:val="22"/>
        </w:rPr>
      </w:pPr>
      <w:r w:rsidRPr="006A7AB0">
        <w:rPr>
          <w:b w:val="0"/>
          <w:color w:val="auto"/>
          <w:sz w:val="22"/>
        </w:rPr>
        <w:t xml:space="preserve">Recruitment for Foster Home Licensing is done through media advertising (television, radio, newsprint), and through staff presentations throughout the </w:t>
      </w:r>
      <w:r w:rsidRPr="00FA0941">
        <w:rPr>
          <w:b w:val="0"/>
          <w:color w:val="auto"/>
          <w:sz w:val="22"/>
        </w:rPr>
        <w:t>community (faith-based groups, non-profit organizations, etc.).  Foster Home Licensing offers six orientations each month throughout the county.  On a quarterly basis, Foster Home Licensing offers a “Taking Care of Business Day” which allows applicants to complete the Orientation, Livescan, TB tests, First Aid and CPR all in one day.  Foster Home</w:t>
      </w:r>
      <w:r w:rsidRPr="006A7AB0">
        <w:rPr>
          <w:b w:val="0"/>
          <w:color w:val="auto"/>
          <w:sz w:val="22"/>
        </w:rPr>
        <w:t xml:space="preserve"> Licensing also staffs the KIDSline toll-free phone number that prospective foster parents can call to learn about the licensing process.  </w:t>
      </w:r>
    </w:p>
    <w:p w:rsidR="00D86A11" w:rsidRDefault="00763E81" w:rsidP="00D86A11">
      <w:pPr>
        <w:pStyle w:val="Heading3"/>
        <w:spacing w:line="276" w:lineRule="auto"/>
        <w:rPr>
          <w:b w:val="0"/>
          <w:color w:val="auto"/>
          <w:sz w:val="22"/>
        </w:rPr>
      </w:pPr>
      <w:r>
        <w:rPr>
          <w:noProof/>
        </w:rPr>
        <w:lastRenderedPageBreak/>
        <mc:AlternateContent>
          <mc:Choice Requires="wps">
            <w:drawing>
              <wp:anchor distT="91440" distB="91440" distL="182880" distR="182880" simplePos="0" relativeHeight="251656192" behindDoc="1" locked="0" layoutInCell="0" allowOverlap="1">
                <wp:simplePos x="0" y="0"/>
                <wp:positionH relativeFrom="margin">
                  <wp:posOffset>3195955</wp:posOffset>
                </wp:positionH>
                <wp:positionV relativeFrom="margin">
                  <wp:posOffset>1217930</wp:posOffset>
                </wp:positionV>
                <wp:extent cx="2771775" cy="1346835"/>
                <wp:effectExtent l="0" t="0" r="0" b="0"/>
                <wp:wrapSquare wrapText="bothSides"/>
                <wp:docPr id="26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1346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w:t>
                            </w:r>
                            <w:r w:rsidRPr="009A2E00">
                              <w:rPr>
                                <w:b/>
                                <w:i/>
                                <w:iCs/>
                                <w:color w:val="2E7029"/>
                                <w:sz w:val="28"/>
                                <w:szCs w:val="28"/>
                              </w:rPr>
                              <w:t>We need more foster homes closer to mom. Also important to have cultural match (language/culture) in foster care homes</w:t>
                            </w:r>
                            <w:r>
                              <w:rPr>
                                <w:b/>
                                <w:i/>
                                <w:iCs/>
                                <w:color w:val="2E7029"/>
                                <w:sz w:val="28"/>
                                <w:szCs w:val="28"/>
                              </w:rPr>
                              <w:t>”</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Pr>
                                <w:b/>
                                <w:i/>
                                <w:iCs/>
                                <w:color w:val="F6872B"/>
                                <w:sz w:val="28"/>
                                <w:szCs w:val="28"/>
                              </w:rPr>
                              <w:t>-Peer Review participant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2" o:spid="_x0000_s1069" style="position:absolute;margin-left:251.65pt;margin-top:95.9pt;width:218.25pt;height:106.05pt;z-index:-251660288;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" o:allowincell="f" filled="f" stroked="f" strokecolor="#90b5e3" strokeweight="6pt">
                <v:textbox inset="0,0,0,0">
                  <w:txbxContent>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w:t>
                      </w:r>
                      <w:r w:rsidRPr="009A2E00">
                        <w:rPr>
                          <w:b/>
                          <w:i/>
                          <w:iCs/>
                          <w:color w:val="2E7029"/>
                          <w:sz w:val="28"/>
                          <w:szCs w:val="28"/>
                        </w:rPr>
                        <w:t>We need more foster homes closer to mom. Also important to have cultural match (language/culture) in foster care homes</w:t>
                      </w:r>
                      <w:r>
                        <w:rPr>
                          <w:b/>
                          <w:i/>
                          <w:iCs/>
                          <w:color w:val="2E7029"/>
                          <w:sz w:val="28"/>
                          <w:szCs w:val="28"/>
                        </w:rPr>
                        <w:t>”</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Pr>
                          <w:b/>
                          <w:i/>
                          <w:iCs/>
                          <w:color w:val="F6872B"/>
                          <w:sz w:val="28"/>
                          <w:szCs w:val="28"/>
                        </w:rPr>
                        <w:t>-Peer Review participant</w:t>
                      </w:r>
                    </w:p>
                  </w:txbxContent>
                </v:textbox>
                <w10:wrap type="square" anchorx="margin" anchory="margin"/>
              </v:rect>
            </w:pict>
          </mc:Fallback>
        </mc:AlternateContent>
      </w:r>
      <w:r w:rsidR="00D86A11" w:rsidRPr="00073ECD">
        <w:rPr>
          <w:b w:val="0"/>
          <w:color w:val="auto"/>
          <w:sz w:val="22"/>
        </w:rPr>
        <w:t xml:space="preserve">To recruit foster parents that reflect ethnic/racial diversity of children in the San Diego foster care system, </w:t>
      </w:r>
      <w:r w:rsidR="00D86A11">
        <w:rPr>
          <w:b w:val="0"/>
          <w:color w:val="auto"/>
          <w:sz w:val="22"/>
        </w:rPr>
        <w:t>the County of San Diego</w:t>
      </w:r>
      <w:r w:rsidR="00D86A11" w:rsidRPr="00073ECD">
        <w:rPr>
          <w:b w:val="0"/>
          <w:color w:val="auto"/>
          <w:sz w:val="22"/>
        </w:rPr>
        <w:t xml:space="preserve"> conducts targeted recruitment by securing advertising contracts with African American and Hispanic publications, including Voice and Viewpoint (African American journals), and El Latino and La Voz (Hispanic journals).  </w:t>
      </w:r>
      <w:r w:rsidR="00D86A11">
        <w:rPr>
          <w:b w:val="0"/>
          <w:color w:val="auto"/>
          <w:sz w:val="22"/>
        </w:rPr>
        <w:t>The County of San Diego</w:t>
      </w:r>
      <w:r w:rsidR="00D86A11" w:rsidRPr="00073ECD">
        <w:rPr>
          <w:b w:val="0"/>
          <w:color w:val="auto"/>
          <w:sz w:val="22"/>
        </w:rPr>
        <w:t xml:space="preserve"> hired a Spanish-speaking Recruiter who conducts recruitment presentations and radio/newspaper interviews in Spanish, and also invited the Southern Indian Health recruitment program to join recruitment events to increase applications from Native-American applicants.  </w:t>
      </w:r>
      <w:r w:rsidR="00D86A11">
        <w:rPr>
          <w:b w:val="0"/>
          <w:color w:val="auto"/>
          <w:sz w:val="22"/>
        </w:rPr>
        <w:t>The County of San Diego</w:t>
      </w:r>
      <w:r w:rsidR="00D86A11" w:rsidRPr="00073ECD">
        <w:rPr>
          <w:b w:val="0"/>
          <w:color w:val="auto"/>
          <w:sz w:val="22"/>
        </w:rPr>
        <w:t xml:space="preserve"> </w:t>
      </w:r>
      <w:r w:rsidR="00D86A11">
        <w:rPr>
          <w:b w:val="0"/>
          <w:color w:val="auto"/>
          <w:sz w:val="22"/>
        </w:rPr>
        <w:t>utilizes radio and television ads to target recruitment of siblings, teens, as well as for children with special needs.</w:t>
      </w:r>
    </w:p>
    <w:p w:rsidR="00D86A11" w:rsidRPr="00606048" w:rsidRDefault="00D86A11" w:rsidP="00D86A11">
      <w:pPr>
        <w:pStyle w:val="Heading2"/>
        <w:rPr>
          <w:color w:val="F6872B"/>
        </w:rPr>
      </w:pPr>
      <w:r w:rsidRPr="00606048">
        <w:rPr>
          <w:color w:val="F6872B"/>
        </w:rPr>
        <w:t xml:space="preserve">Retention </w:t>
      </w:r>
    </w:p>
    <w:p w:rsidR="00D86A11" w:rsidRPr="00A721D0" w:rsidRDefault="00D86A11" w:rsidP="00D86A11">
      <w:pPr>
        <w:pStyle w:val="Heading3"/>
        <w:spacing w:line="276" w:lineRule="auto"/>
        <w:rPr>
          <w:b w:val="0"/>
          <w:color w:val="auto"/>
          <w:sz w:val="22"/>
        </w:rPr>
      </w:pPr>
      <w:r w:rsidRPr="00A721D0">
        <w:rPr>
          <w:b w:val="0"/>
          <w:color w:val="auto"/>
          <w:sz w:val="22"/>
        </w:rPr>
        <w:t>Foster Care Services Committee is a public meeting held monthly and attended by foster parents, community service providers and CWS staff. The committee was created to address issues specific to foster care, share information about services and placement resources, and institute changes needed to support foster families.  The meeting is attended by members from the following organizations:</w:t>
      </w:r>
    </w:p>
    <w:p w:rsidR="00D86A11" w:rsidRPr="00A721D0" w:rsidRDefault="00D86A11" w:rsidP="00D86A11">
      <w:pPr>
        <w:numPr>
          <w:ilvl w:val="0"/>
          <w:numId w:val="16"/>
        </w:numPr>
        <w:spacing w:before="120" w:after="0"/>
        <w:ind w:right="130"/>
        <w:rPr>
          <w:rFonts w:ascii="Franklin Gothic Book" w:hAnsi="Franklin Gothic Book"/>
          <w:color w:val="auto"/>
          <w:spacing w:val="20"/>
          <w:szCs w:val="28"/>
        </w:rPr>
      </w:pPr>
      <w:r w:rsidRPr="00A721D0">
        <w:rPr>
          <w:rFonts w:ascii="Franklin Gothic Book" w:hAnsi="Franklin Gothic Book"/>
          <w:color w:val="auto"/>
          <w:spacing w:val="20"/>
          <w:szCs w:val="28"/>
        </w:rPr>
        <w:t>Foster Parent Associations</w:t>
      </w:r>
    </w:p>
    <w:p w:rsidR="00D86A11" w:rsidRPr="00A721D0" w:rsidRDefault="00D86A11" w:rsidP="00D86A11">
      <w:pPr>
        <w:numPr>
          <w:ilvl w:val="0"/>
          <w:numId w:val="16"/>
        </w:numPr>
        <w:spacing w:before="120" w:after="0"/>
        <w:ind w:right="130"/>
        <w:rPr>
          <w:rFonts w:ascii="Franklin Gothic Book" w:hAnsi="Franklin Gothic Book"/>
          <w:color w:val="auto"/>
          <w:spacing w:val="20"/>
          <w:szCs w:val="28"/>
        </w:rPr>
      </w:pPr>
      <w:r w:rsidRPr="00A721D0">
        <w:rPr>
          <w:rFonts w:ascii="Franklin Gothic Book" w:hAnsi="Franklin Gothic Book"/>
          <w:color w:val="auto"/>
          <w:spacing w:val="20"/>
          <w:szCs w:val="28"/>
        </w:rPr>
        <w:t>Grossmont College Foster, Adoptive, and Kinship Care Education Program</w:t>
      </w:r>
    </w:p>
    <w:p w:rsidR="00D86A11" w:rsidRPr="00A721D0" w:rsidRDefault="00D86A11" w:rsidP="00D86A11">
      <w:pPr>
        <w:numPr>
          <w:ilvl w:val="0"/>
          <w:numId w:val="16"/>
        </w:numPr>
        <w:spacing w:before="120" w:after="0"/>
        <w:ind w:right="130"/>
        <w:rPr>
          <w:rFonts w:ascii="Franklin Gothic Book" w:hAnsi="Franklin Gothic Book"/>
          <w:color w:val="auto"/>
          <w:spacing w:val="20"/>
          <w:szCs w:val="28"/>
        </w:rPr>
      </w:pPr>
      <w:r w:rsidRPr="00A721D0">
        <w:rPr>
          <w:rFonts w:ascii="Franklin Gothic Book" w:hAnsi="Franklin Gothic Book"/>
          <w:color w:val="auto"/>
          <w:spacing w:val="20"/>
          <w:szCs w:val="28"/>
        </w:rPr>
        <w:t xml:space="preserve">Comprehensive Assessment and Stabilization Services (CASS) </w:t>
      </w:r>
    </w:p>
    <w:p w:rsidR="00D86A11" w:rsidRPr="00A721D0" w:rsidRDefault="00D86A11" w:rsidP="00D86A11">
      <w:pPr>
        <w:numPr>
          <w:ilvl w:val="0"/>
          <w:numId w:val="16"/>
        </w:numPr>
        <w:spacing w:before="120" w:after="0"/>
        <w:ind w:right="130"/>
        <w:rPr>
          <w:rFonts w:ascii="Franklin Gothic Book" w:hAnsi="Franklin Gothic Book"/>
          <w:color w:val="auto"/>
          <w:spacing w:val="20"/>
          <w:szCs w:val="28"/>
        </w:rPr>
      </w:pPr>
      <w:r w:rsidRPr="00A721D0">
        <w:rPr>
          <w:rFonts w:ascii="Franklin Gothic Book" w:hAnsi="Franklin Gothic Book"/>
          <w:color w:val="auto"/>
          <w:spacing w:val="20"/>
          <w:szCs w:val="28"/>
        </w:rPr>
        <w:t>Developmental Screening and Enhancement Program (DSEP)</w:t>
      </w:r>
    </w:p>
    <w:p w:rsidR="00D86A11" w:rsidRPr="00A721D0" w:rsidRDefault="00D86A11" w:rsidP="00D86A11">
      <w:pPr>
        <w:numPr>
          <w:ilvl w:val="0"/>
          <w:numId w:val="16"/>
        </w:numPr>
        <w:spacing w:before="120" w:after="0"/>
        <w:ind w:right="130"/>
        <w:rPr>
          <w:rFonts w:ascii="Franklin Gothic Book" w:hAnsi="Franklin Gothic Book"/>
          <w:color w:val="auto"/>
          <w:spacing w:val="20"/>
          <w:szCs w:val="28"/>
        </w:rPr>
      </w:pPr>
      <w:r w:rsidRPr="00A721D0">
        <w:rPr>
          <w:rFonts w:ascii="Franklin Gothic Book" w:hAnsi="Franklin Gothic Book"/>
          <w:color w:val="auto"/>
          <w:spacing w:val="20"/>
          <w:szCs w:val="28"/>
        </w:rPr>
        <w:t>Maxim Respite Services</w:t>
      </w:r>
    </w:p>
    <w:p w:rsidR="00D86A11" w:rsidRPr="00A721D0"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County of San Diego</w:t>
      </w:r>
      <w:r w:rsidRPr="00A721D0">
        <w:rPr>
          <w:rFonts w:ascii="Franklin Gothic Book" w:hAnsi="Franklin Gothic Book"/>
          <w:color w:val="auto"/>
          <w:spacing w:val="20"/>
          <w:szCs w:val="28"/>
        </w:rPr>
        <w:t xml:space="preserve"> Office of Education</w:t>
      </w:r>
    </w:p>
    <w:p w:rsidR="00D86A11" w:rsidRPr="00A721D0" w:rsidRDefault="00D86A11" w:rsidP="00D86A11">
      <w:pPr>
        <w:numPr>
          <w:ilvl w:val="0"/>
          <w:numId w:val="16"/>
        </w:numPr>
        <w:spacing w:before="120" w:after="0"/>
        <w:ind w:right="130"/>
        <w:rPr>
          <w:rFonts w:ascii="Franklin Gothic Book" w:hAnsi="Franklin Gothic Book"/>
          <w:color w:val="auto"/>
          <w:spacing w:val="20"/>
          <w:szCs w:val="28"/>
        </w:rPr>
      </w:pPr>
      <w:r w:rsidRPr="00A721D0">
        <w:rPr>
          <w:rFonts w:ascii="Franklin Gothic Book" w:hAnsi="Franklin Gothic Book"/>
          <w:color w:val="auto"/>
          <w:spacing w:val="20"/>
          <w:szCs w:val="28"/>
        </w:rPr>
        <w:t>YMCA Kinship Support Program</w:t>
      </w:r>
    </w:p>
    <w:p w:rsidR="00D86A11" w:rsidRPr="00A721D0" w:rsidRDefault="00D86A11" w:rsidP="00D86A11">
      <w:pPr>
        <w:numPr>
          <w:ilvl w:val="0"/>
          <w:numId w:val="16"/>
        </w:numPr>
        <w:spacing w:before="120" w:after="0"/>
        <w:ind w:right="130"/>
        <w:rPr>
          <w:rFonts w:ascii="Franklin Gothic Book" w:hAnsi="Franklin Gothic Book"/>
          <w:color w:val="auto"/>
          <w:spacing w:val="20"/>
          <w:szCs w:val="28"/>
        </w:rPr>
      </w:pPr>
      <w:r w:rsidRPr="00A721D0">
        <w:rPr>
          <w:rFonts w:ascii="Franklin Gothic Book" w:hAnsi="Franklin Gothic Book"/>
          <w:color w:val="auto"/>
          <w:spacing w:val="20"/>
          <w:szCs w:val="28"/>
        </w:rPr>
        <w:t>Public Health</w:t>
      </w:r>
    </w:p>
    <w:p w:rsidR="00D86A11" w:rsidRPr="00A721D0" w:rsidRDefault="00D86A11" w:rsidP="00D86A11">
      <w:pPr>
        <w:numPr>
          <w:ilvl w:val="0"/>
          <w:numId w:val="16"/>
        </w:numPr>
        <w:spacing w:before="120" w:after="0"/>
        <w:ind w:right="130"/>
        <w:rPr>
          <w:rFonts w:ascii="Franklin Gothic Book" w:hAnsi="Franklin Gothic Book"/>
          <w:color w:val="auto"/>
          <w:spacing w:val="20"/>
          <w:szCs w:val="28"/>
        </w:rPr>
      </w:pPr>
      <w:r w:rsidRPr="00A721D0">
        <w:rPr>
          <w:rFonts w:ascii="Franklin Gothic Book" w:hAnsi="Franklin Gothic Book"/>
          <w:color w:val="auto"/>
          <w:spacing w:val="20"/>
          <w:szCs w:val="28"/>
        </w:rPr>
        <w:t>Child Welfare Services</w:t>
      </w:r>
    </w:p>
    <w:p w:rsidR="00D86A11" w:rsidRPr="002C59E1" w:rsidRDefault="00D86A11" w:rsidP="00D86A11">
      <w:pPr>
        <w:pStyle w:val="Heading3"/>
        <w:spacing w:line="276" w:lineRule="auto"/>
        <w:rPr>
          <w:b w:val="0"/>
          <w:color w:val="auto"/>
          <w:sz w:val="22"/>
        </w:rPr>
      </w:pPr>
      <w:r w:rsidRPr="009547DA">
        <w:rPr>
          <w:b w:val="0"/>
          <w:color w:val="auto"/>
          <w:sz w:val="22"/>
        </w:rPr>
        <w:t xml:space="preserve">Foster Home Licensing contracts with </w:t>
      </w:r>
      <w:r>
        <w:rPr>
          <w:b w:val="0"/>
          <w:color w:val="auto"/>
          <w:sz w:val="22"/>
        </w:rPr>
        <w:t>Grossmont Community College (G</w:t>
      </w:r>
      <w:r w:rsidRPr="009547DA">
        <w:rPr>
          <w:b w:val="0"/>
          <w:color w:val="auto"/>
          <w:sz w:val="22"/>
        </w:rPr>
        <w:t>CC) Foster, Adoptive, Kinship Care Education Program to provide ongoing training and support to foster and adoptive p</w:t>
      </w:r>
      <w:r>
        <w:rPr>
          <w:b w:val="0"/>
          <w:color w:val="auto"/>
          <w:sz w:val="22"/>
        </w:rPr>
        <w:t xml:space="preserve">arents and kinship caregivers. </w:t>
      </w:r>
      <w:r w:rsidRPr="009547DA">
        <w:rPr>
          <w:b w:val="0"/>
          <w:color w:val="auto"/>
          <w:sz w:val="22"/>
        </w:rPr>
        <w:t>Training is designed to support and strengthen foster and adoptive parents through information, practical parenting solutions, and resources. Trainings recently developed to address the evolving needs of youth in</w:t>
      </w:r>
      <w:r>
        <w:rPr>
          <w:b w:val="0"/>
          <w:color w:val="auto"/>
          <w:sz w:val="22"/>
        </w:rPr>
        <w:t xml:space="preserve"> foster care include topics on early child development, the importance of permanency, supporting lifelong connections of siblings, addressing the needs of the child inside and out, cultural considerations, and commercial sexual exploitation of children. To support and reinforce what is learned in the classroom, the Foster, Adoptive and Kinship Care Education Program </w:t>
      </w:r>
      <w:r>
        <w:rPr>
          <w:b w:val="0"/>
          <w:color w:val="auto"/>
          <w:sz w:val="22"/>
        </w:rPr>
        <w:lastRenderedPageBreak/>
        <w:t xml:space="preserve">also developed a Foster Parent Handbook, coordinate a Foster Parent Mentor Program, and offer foster parent and kinship care support groups. </w:t>
      </w:r>
      <w:r w:rsidRPr="002C59E1">
        <w:rPr>
          <w:b w:val="0"/>
          <w:color w:val="auto"/>
          <w:sz w:val="22"/>
        </w:rPr>
        <w:t xml:space="preserve">  </w:t>
      </w:r>
    </w:p>
    <w:p w:rsidR="00D86A11" w:rsidRDefault="00D86A11" w:rsidP="00D86A11">
      <w:pPr>
        <w:pStyle w:val="Heading3"/>
        <w:spacing w:line="276" w:lineRule="auto"/>
        <w:rPr>
          <w:b w:val="0"/>
          <w:color w:val="auto"/>
          <w:sz w:val="22"/>
        </w:rPr>
      </w:pPr>
      <w:r w:rsidRPr="00A066F2">
        <w:rPr>
          <w:b w:val="0"/>
          <w:color w:val="auto"/>
          <w:sz w:val="22"/>
        </w:rPr>
        <w:t xml:space="preserve">The Training Coordinators and CWS staff attend a bi-monthly Training Coordination Meeting to discuss training issues, proposals, and to review training curriculum.  CWS administration also hosts a quarterly Ad Hoc meeting with foster parent leaders to discuss specific case concerns. </w:t>
      </w:r>
    </w:p>
    <w:p w:rsidR="00D86A11" w:rsidRPr="00A908EE" w:rsidRDefault="00D86A11" w:rsidP="00D86A11">
      <w:pPr>
        <w:pStyle w:val="Heading3"/>
        <w:spacing w:line="276" w:lineRule="auto"/>
        <w:rPr>
          <w:b w:val="0"/>
          <w:color w:val="auto"/>
          <w:sz w:val="22"/>
        </w:rPr>
      </w:pPr>
      <w:r w:rsidRPr="00A908EE">
        <w:rPr>
          <w:b w:val="0"/>
          <w:color w:val="auto"/>
          <w:sz w:val="22"/>
        </w:rPr>
        <w:t xml:space="preserve">FARFS hosts an annual Foster Parent Recognition Banquet and an annual Foster Family Picnic to honor and celebrate foster parents. In order to build community partnerships, FARFS staff meet regularly with foster parent leaders, foster parent trainers, and staff from community-based organizations that offer services to foster families and children. </w:t>
      </w:r>
      <w:r>
        <w:rPr>
          <w:b w:val="0"/>
          <w:color w:val="auto"/>
          <w:sz w:val="22"/>
        </w:rPr>
        <w:t>The County of San Diego</w:t>
      </w:r>
      <w:r w:rsidRPr="00A908EE">
        <w:rPr>
          <w:b w:val="0"/>
          <w:color w:val="auto"/>
          <w:sz w:val="22"/>
        </w:rPr>
        <w:t xml:space="preserve"> </w:t>
      </w:r>
      <w:r>
        <w:rPr>
          <w:b w:val="0"/>
          <w:color w:val="auto"/>
          <w:sz w:val="22"/>
        </w:rPr>
        <w:t>is participating</w:t>
      </w:r>
      <w:r w:rsidRPr="00A908EE">
        <w:rPr>
          <w:b w:val="0"/>
          <w:color w:val="auto"/>
          <w:sz w:val="22"/>
        </w:rPr>
        <w:t xml:space="preserve"> in the Quality Parenting I</w:t>
      </w:r>
      <w:r w:rsidR="00121985" w:rsidRPr="00121985">
        <w:rPr>
          <w:b w:val="0"/>
          <w:color w:val="auto"/>
          <w:sz w:val="22"/>
        </w:rPr>
        <w:t>nitiative in an effort to strengthen foster families through better communication, partnership, information sharing, transitions, and support from community partners. The core premise of QPI is that children in foster care deserve loving, committed, and skilled parenting from their caregivers. In order to support that caregivers must feel valued, respected, and like they are members of a professional team that works collaboratively to meet the needs of the child.</w:t>
      </w:r>
    </w:p>
    <w:p w:rsidR="00D86A11" w:rsidRPr="00A908EE" w:rsidRDefault="00121985" w:rsidP="00D86A11">
      <w:pPr>
        <w:pStyle w:val="Heading3"/>
        <w:spacing w:line="276" w:lineRule="auto"/>
        <w:rPr>
          <w:b w:val="0"/>
          <w:color w:val="auto"/>
          <w:sz w:val="22"/>
        </w:rPr>
      </w:pPr>
      <w:r w:rsidRPr="00121985">
        <w:rPr>
          <w:b w:val="0"/>
          <w:color w:val="auto"/>
          <w:sz w:val="22"/>
        </w:rPr>
        <w:t>KIDSline is a toll-free telephone number used by prospective and approved caregivers to obtain information and referrals to resources.  CWS staff answer the KIDSline and provide assistance with the following:</w:t>
      </w:r>
    </w:p>
    <w:p w:rsidR="00D86A11" w:rsidRPr="007F0D4E" w:rsidRDefault="00D86A11" w:rsidP="00D86A11">
      <w:pPr>
        <w:numPr>
          <w:ilvl w:val="0"/>
          <w:numId w:val="16"/>
        </w:numPr>
        <w:spacing w:before="120" w:after="0"/>
        <w:ind w:right="130"/>
        <w:rPr>
          <w:rFonts w:ascii="Franklin Gothic Book" w:hAnsi="Franklin Gothic Book"/>
          <w:color w:val="auto"/>
          <w:spacing w:val="20"/>
          <w:szCs w:val="28"/>
        </w:rPr>
      </w:pPr>
      <w:r w:rsidRPr="007F0D4E">
        <w:rPr>
          <w:rFonts w:ascii="Franklin Gothic Book" w:hAnsi="Franklin Gothic Book"/>
          <w:color w:val="auto"/>
          <w:spacing w:val="20"/>
          <w:szCs w:val="28"/>
        </w:rPr>
        <w:t>Information about the licensing and adoption process</w:t>
      </w:r>
    </w:p>
    <w:p w:rsidR="00D86A11" w:rsidRPr="007F0D4E" w:rsidRDefault="00D86A11" w:rsidP="00D86A11">
      <w:pPr>
        <w:numPr>
          <w:ilvl w:val="0"/>
          <w:numId w:val="16"/>
        </w:numPr>
        <w:spacing w:before="120" w:after="0"/>
        <w:ind w:right="130"/>
        <w:rPr>
          <w:rFonts w:ascii="Franklin Gothic Book" w:hAnsi="Franklin Gothic Book"/>
          <w:color w:val="auto"/>
          <w:spacing w:val="20"/>
          <w:szCs w:val="28"/>
        </w:rPr>
      </w:pPr>
      <w:r w:rsidRPr="007F0D4E">
        <w:rPr>
          <w:rFonts w:ascii="Franklin Gothic Book" w:hAnsi="Franklin Gothic Book"/>
          <w:color w:val="auto"/>
          <w:spacing w:val="20"/>
          <w:szCs w:val="28"/>
        </w:rPr>
        <w:t>Referrals for financial issues</w:t>
      </w:r>
    </w:p>
    <w:p w:rsidR="00D86A11" w:rsidRPr="007F0D4E" w:rsidRDefault="00D86A11" w:rsidP="00D86A11">
      <w:pPr>
        <w:numPr>
          <w:ilvl w:val="0"/>
          <w:numId w:val="16"/>
        </w:numPr>
        <w:spacing w:before="120" w:after="0"/>
        <w:ind w:right="130"/>
        <w:rPr>
          <w:rFonts w:ascii="Franklin Gothic Book" w:hAnsi="Franklin Gothic Book"/>
          <w:color w:val="auto"/>
          <w:spacing w:val="20"/>
          <w:szCs w:val="28"/>
        </w:rPr>
      </w:pPr>
      <w:r w:rsidRPr="007F0D4E">
        <w:rPr>
          <w:rFonts w:ascii="Franklin Gothic Book" w:hAnsi="Franklin Gothic Book"/>
          <w:color w:val="auto"/>
          <w:spacing w:val="20"/>
          <w:szCs w:val="28"/>
        </w:rPr>
        <w:t>Assistance in locating resources for behavior or placement issues</w:t>
      </w:r>
    </w:p>
    <w:p w:rsidR="00D86A11" w:rsidRPr="007F0D4E" w:rsidRDefault="00D86A11" w:rsidP="00D86A11">
      <w:pPr>
        <w:numPr>
          <w:ilvl w:val="0"/>
          <w:numId w:val="16"/>
        </w:numPr>
        <w:spacing w:before="120" w:after="0"/>
        <w:ind w:right="130"/>
        <w:rPr>
          <w:rFonts w:ascii="Franklin Gothic Book" w:hAnsi="Franklin Gothic Book"/>
          <w:color w:val="auto"/>
          <w:spacing w:val="20"/>
          <w:szCs w:val="28"/>
        </w:rPr>
      </w:pPr>
      <w:r w:rsidRPr="007F0D4E">
        <w:rPr>
          <w:rFonts w:ascii="Franklin Gothic Book" w:hAnsi="Franklin Gothic Book"/>
          <w:color w:val="auto"/>
          <w:spacing w:val="20"/>
          <w:szCs w:val="28"/>
        </w:rPr>
        <w:t>Mediation between social workers and caregiver</w:t>
      </w:r>
    </w:p>
    <w:p w:rsidR="00D86A11" w:rsidRPr="00745C50" w:rsidRDefault="00D86A11" w:rsidP="00D86A11">
      <w:pPr>
        <w:pStyle w:val="Heading3"/>
        <w:spacing w:line="276" w:lineRule="auto"/>
        <w:rPr>
          <w:b w:val="0"/>
          <w:color w:val="auto"/>
          <w:sz w:val="22"/>
        </w:rPr>
      </w:pPr>
      <w:r w:rsidRPr="00745C50">
        <w:rPr>
          <w:b w:val="0"/>
          <w:color w:val="auto"/>
          <w:sz w:val="22"/>
        </w:rPr>
        <w:t xml:space="preserve">There are three Foster Parent Associations in </w:t>
      </w:r>
      <w:r>
        <w:rPr>
          <w:b w:val="0"/>
          <w:color w:val="auto"/>
          <w:sz w:val="22"/>
        </w:rPr>
        <w:t>the County of San Diego</w:t>
      </w:r>
      <w:r w:rsidRPr="00745C50">
        <w:rPr>
          <w:b w:val="0"/>
          <w:color w:val="auto"/>
          <w:sz w:val="22"/>
        </w:rPr>
        <w:t xml:space="preserve"> which offer support and assistance to foster parents.  Foster Home Licensing staff meet monthly with the Foster Parent Associations.  A Foster Parent Mentor Program is available to all foster families and the County funds stipends for Foster Parent Support Group leaders.</w:t>
      </w:r>
    </w:p>
    <w:p w:rsidR="00D86A11" w:rsidRPr="00745C50" w:rsidRDefault="00D86A11" w:rsidP="00D86A11">
      <w:pPr>
        <w:pStyle w:val="Heading3"/>
        <w:spacing w:line="276" w:lineRule="auto"/>
        <w:rPr>
          <w:b w:val="0"/>
          <w:color w:val="auto"/>
          <w:sz w:val="22"/>
        </w:rPr>
      </w:pPr>
      <w:r w:rsidRPr="00745C50">
        <w:rPr>
          <w:b w:val="0"/>
          <w:color w:val="auto"/>
          <w:sz w:val="22"/>
        </w:rPr>
        <w:t>To promote sibling placement, Foster Home Licensing staff carefully review all requests for sibling placement.  Any time a licensing worker cannot approve a request, the Foster Home Licensing Manager reviews the request to verify that the denial was made due to safety concerns of the children.</w:t>
      </w:r>
    </w:p>
    <w:p w:rsidR="00D86A11" w:rsidRPr="00745C50" w:rsidRDefault="00D86A11" w:rsidP="00D86A11">
      <w:pPr>
        <w:pStyle w:val="Heading3"/>
        <w:spacing w:line="276" w:lineRule="auto"/>
        <w:rPr>
          <w:b w:val="0"/>
          <w:color w:val="auto"/>
          <w:sz w:val="22"/>
        </w:rPr>
      </w:pPr>
      <w:r w:rsidRPr="00745C50">
        <w:rPr>
          <w:b w:val="0"/>
          <w:color w:val="auto"/>
          <w:sz w:val="22"/>
        </w:rPr>
        <w:t xml:space="preserve">In addition to the regularly published advertisements targeting recruitment of homes for siblings, teens and special needs populations, </w:t>
      </w:r>
      <w:r>
        <w:rPr>
          <w:b w:val="0"/>
          <w:color w:val="auto"/>
          <w:sz w:val="22"/>
        </w:rPr>
        <w:t>the County of San Diego</w:t>
      </w:r>
      <w:r w:rsidRPr="00745C50">
        <w:rPr>
          <w:b w:val="0"/>
          <w:color w:val="auto"/>
          <w:sz w:val="22"/>
        </w:rPr>
        <w:t xml:space="preserve"> also administered the Foster and Relative Kinship Care Fund to help make or maintain placements for hard to place children for whom resources are scarce.  Examples include purchasing the following:</w:t>
      </w:r>
    </w:p>
    <w:p w:rsidR="00D86A11" w:rsidRPr="005E6F82" w:rsidRDefault="00D86A11" w:rsidP="00D86A11">
      <w:pPr>
        <w:numPr>
          <w:ilvl w:val="0"/>
          <w:numId w:val="16"/>
        </w:numPr>
        <w:spacing w:before="120" w:after="0"/>
        <w:ind w:right="130"/>
        <w:rPr>
          <w:rFonts w:ascii="Franklin Gothic Book" w:hAnsi="Franklin Gothic Book"/>
          <w:color w:val="auto"/>
          <w:spacing w:val="20"/>
          <w:szCs w:val="28"/>
        </w:rPr>
      </w:pPr>
      <w:r w:rsidRPr="005E6F82">
        <w:rPr>
          <w:rFonts w:ascii="Franklin Gothic Book" w:hAnsi="Franklin Gothic Book"/>
          <w:color w:val="auto"/>
          <w:spacing w:val="20"/>
          <w:szCs w:val="28"/>
        </w:rPr>
        <w:t>Beds for a home that is willing to care for a sibling set,</w:t>
      </w:r>
    </w:p>
    <w:p w:rsidR="00D86A11" w:rsidRPr="005E6F82" w:rsidRDefault="00D86A11" w:rsidP="00D86A11">
      <w:pPr>
        <w:numPr>
          <w:ilvl w:val="0"/>
          <w:numId w:val="16"/>
        </w:numPr>
        <w:spacing w:before="120" w:after="0"/>
        <w:ind w:right="130"/>
        <w:rPr>
          <w:rFonts w:ascii="Franklin Gothic Book" w:hAnsi="Franklin Gothic Book"/>
          <w:color w:val="auto"/>
          <w:spacing w:val="20"/>
          <w:szCs w:val="28"/>
        </w:rPr>
      </w:pPr>
      <w:r w:rsidRPr="005E6F82">
        <w:rPr>
          <w:rFonts w:ascii="Franklin Gothic Book" w:hAnsi="Franklin Gothic Book"/>
          <w:color w:val="auto"/>
          <w:spacing w:val="20"/>
          <w:szCs w:val="28"/>
        </w:rPr>
        <w:lastRenderedPageBreak/>
        <w:t>Cribs/toddler beds for special needs infants, and</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5E6F82">
        <w:rPr>
          <w:rFonts w:ascii="Franklin Gothic Book" w:hAnsi="Franklin Gothic Book"/>
          <w:color w:val="auto"/>
          <w:spacing w:val="20"/>
          <w:szCs w:val="28"/>
        </w:rPr>
        <w:t>Temporary child care for homes willing to care for infants and toddlers.</w:t>
      </w:r>
    </w:p>
    <w:p w:rsidR="00D86A11" w:rsidRPr="008E7E58" w:rsidRDefault="00D86A11" w:rsidP="00D86A11">
      <w:pPr>
        <w:pStyle w:val="Heading2"/>
        <w:rPr>
          <w:color w:val="F6872B"/>
        </w:rPr>
      </w:pPr>
      <w:r w:rsidRPr="008E7E58">
        <w:rPr>
          <w:color w:val="F6872B"/>
        </w:rPr>
        <w:t>Self-Evaluation</w:t>
      </w:r>
    </w:p>
    <w:p w:rsidR="00D86A11" w:rsidRPr="008E7E58" w:rsidRDefault="00D86A11" w:rsidP="00D86A11">
      <w:pPr>
        <w:pStyle w:val="Heading3"/>
        <w:spacing w:line="276" w:lineRule="auto"/>
        <w:rPr>
          <w:b w:val="0"/>
          <w:color w:val="auto"/>
          <w:sz w:val="22"/>
        </w:rPr>
      </w:pPr>
      <w:r w:rsidRPr="008E7E58">
        <w:rPr>
          <w:b w:val="0"/>
          <w:color w:val="auto"/>
          <w:sz w:val="22"/>
        </w:rPr>
        <w:t xml:space="preserve">Foster Home Licensing maintains monthly statistics and client surveys which are reviewed to assess the recruitment efforts, retention efforts, the number of licensed homes, and the effectiveness of Orientation.  There is ongoing dialogue between the Foster Home Licensing Manager and Recruitment/Retention staff on how to improve techniques and methods. </w:t>
      </w:r>
    </w:p>
    <w:p w:rsidR="00D86A11" w:rsidRPr="008E7E58" w:rsidRDefault="00D86A11" w:rsidP="00D86A11">
      <w:pPr>
        <w:pStyle w:val="Heading3"/>
        <w:spacing w:line="276" w:lineRule="auto"/>
        <w:rPr>
          <w:b w:val="0"/>
          <w:color w:val="auto"/>
          <w:sz w:val="22"/>
        </w:rPr>
      </w:pPr>
      <w:r w:rsidRPr="008E7E58">
        <w:rPr>
          <w:b w:val="0"/>
          <w:color w:val="auto"/>
          <w:sz w:val="22"/>
        </w:rPr>
        <w:t xml:space="preserve">Building Community Partnerships: Foster Home Licensing is very active in increasing involvement with community agencies, other licensing agencies, adoptions and education programs.  Foster Home Licensing </w:t>
      </w:r>
      <w:r w:rsidR="00D4027F" w:rsidRPr="008E7E58">
        <w:rPr>
          <w:b w:val="0"/>
          <w:color w:val="auto"/>
          <w:sz w:val="22"/>
          <w:szCs w:val="28"/>
        </w:rPr>
        <w:t>staff meets</w:t>
      </w:r>
      <w:r w:rsidRPr="008E7E58">
        <w:rPr>
          <w:b w:val="0"/>
          <w:color w:val="auto"/>
          <w:sz w:val="22"/>
        </w:rPr>
        <w:t xml:space="preserve"> monthly with foster parent leaders, foster parent trainers, and staff from community-based organizations which offer services to foster families and children.</w:t>
      </w:r>
    </w:p>
    <w:p w:rsidR="00D86A11" w:rsidRDefault="00D86A11" w:rsidP="00D86A11">
      <w:pPr>
        <w:pStyle w:val="Heading1"/>
        <w:rPr>
          <w:color w:val="013161"/>
        </w:rPr>
      </w:pPr>
      <w:r w:rsidRPr="000602BA">
        <w:rPr>
          <w:color w:val="013161"/>
        </w:rPr>
        <w:t>4. Staff, Caregiver and Service Provider Training</w:t>
      </w:r>
    </w:p>
    <w:p w:rsidR="00D86A11" w:rsidRPr="000602BA" w:rsidRDefault="00D86A11" w:rsidP="00D86A11">
      <w:pPr>
        <w:pStyle w:val="Heading2"/>
        <w:rPr>
          <w:color w:val="F6872B"/>
        </w:rPr>
      </w:pPr>
      <w:r w:rsidRPr="000602BA">
        <w:rPr>
          <w:color w:val="F6872B"/>
        </w:rPr>
        <w:t>Social Worker Training</w:t>
      </w:r>
    </w:p>
    <w:p w:rsidR="00D86A11" w:rsidRPr="00F32557" w:rsidRDefault="00D86A11" w:rsidP="00D86A11">
      <w:pPr>
        <w:pStyle w:val="Heading3"/>
        <w:spacing w:line="276" w:lineRule="auto"/>
        <w:rPr>
          <w:b w:val="0"/>
          <w:color w:val="auto"/>
          <w:sz w:val="22"/>
        </w:rPr>
      </w:pPr>
      <w:r w:rsidRPr="00F32557">
        <w:rPr>
          <w:b w:val="0"/>
          <w:color w:val="auto"/>
          <w:sz w:val="22"/>
        </w:rPr>
        <w:t>New CWS staff receives the mandated CORE trainings prior to being assigned a caseload and continue to receive advanced training throughout their County employment</w:t>
      </w:r>
      <w:r>
        <w:rPr>
          <w:b w:val="0"/>
          <w:color w:val="auto"/>
          <w:sz w:val="22"/>
        </w:rPr>
        <w:t xml:space="preserve">. </w:t>
      </w:r>
      <w:r w:rsidRPr="00F32557">
        <w:rPr>
          <w:b w:val="0"/>
          <w:color w:val="auto"/>
          <w:sz w:val="22"/>
        </w:rPr>
        <w:t>PCWTA trainings address best practices and new mandates from the federal and state government. CWS Policy and Program Support also provide training to staff at all levels regarding new state and federal mandates, required services and the CWS/CMS database. </w:t>
      </w:r>
    </w:p>
    <w:p w:rsidR="00D86A11" w:rsidRPr="00F257E1" w:rsidRDefault="00D86A11" w:rsidP="00176DFC">
      <w:pPr>
        <w:pStyle w:val="Heading3"/>
        <w:spacing w:beforeLines="200" w:before="480" w:afterLines="40" w:after="96" w:line="276" w:lineRule="auto"/>
        <w:rPr>
          <w:b w:val="0"/>
          <w:color w:val="auto"/>
          <w:sz w:val="22"/>
          <w:szCs w:val="22"/>
        </w:rPr>
      </w:pPr>
      <w:r w:rsidRPr="00F32557">
        <w:rPr>
          <w:b w:val="0"/>
          <w:color w:val="auto"/>
          <w:sz w:val="22"/>
        </w:rPr>
        <w:t xml:space="preserve">Training needs are identified by obtaining information from the regions as to trends/problems/issues that they are seeing and experiencing. Once feedback is obtained trainings are arranged accordingly. Additionally, when the Policy division (including Ombudsman and DOJ Grievances) notice practice issues, trainings are </w:t>
      </w:r>
      <w:r>
        <w:rPr>
          <w:b w:val="0"/>
          <w:color w:val="auto"/>
          <w:sz w:val="22"/>
        </w:rPr>
        <w:t>provided to address those specific issues</w:t>
      </w:r>
      <w:r w:rsidRPr="00F32557">
        <w:rPr>
          <w:b w:val="0"/>
          <w:color w:val="auto"/>
          <w:sz w:val="22"/>
        </w:rPr>
        <w:t xml:space="preserve">. CWS staff can also request specialized training topics and advanced training on a range of emerging best practice and </w:t>
      </w:r>
      <w:r w:rsidRPr="00F257E1">
        <w:rPr>
          <w:b w:val="0"/>
          <w:color w:val="auto"/>
          <w:sz w:val="22"/>
          <w:szCs w:val="22"/>
        </w:rPr>
        <w:t>evidence-based practice.</w:t>
      </w:r>
    </w:p>
    <w:p w:rsidR="00A818CA" w:rsidRDefault="00F257E1" w:rsidP="00176DFC">
      <w:pPr>
        <w:spacing w:beforeLines="200" w:before="480" w:afterLines="40" w:after="96"/>
        <w:rPr>
          <w:rFonts w:ascii="Franklin Gothic Book" w:hAnsi="Franklin Gothic Book"/>
          <w:spacing w:val="20"/>
          <w:szCs w:val="22"/>
        </w:rPr>
      </w:pPr>
      <w:r w:rsidRPr="00F257E1">
        <w:rPr>
          <w:rFonts w:ascii="Franklin Gothic Book" w:hAnsi="Franklin Gothic Book"/>
          <w:spacing w:val="20"/>
          <w:szCs w:val="22"/>
        </w:rPr>
        <w:t xml:space="preserve">CWS reviews training needs on an ongoing basis with our Regional Training Academy (RTA) to ensure advanced training days cover specific underserved populations or other training needs that arise.  An example of this is the Cultural Responsiveness Academy (CRA) and the first module is focused on the African-American population.  There are three tracks in each module. The tracks are:  social workers, management and administration.  </w:t>
      </w:r>
      <w:r w:rsidR="00A818CA">
        <w:rPr>
          <w:rFonts w:ascii="Franklin Gothic Book" w:hAnsi="Franklin Gothic Book"/>
          <w:spacing w:val="20"/>
          <w:szCs w:val="22"/>
        </w:rPr>
        <w:t xml:space="preserve">CWS has father engagement trainings scheduled quarterly which is another area in which we want to focus.  Another new area of focus is on the LGBT population and we have a transgender workgroup that is developing a training in addition to one of our SOP coaches going </w:t>
      </w:r>
      <w:r w:rsidR="00A818CA">
        <w:rPr>
          <w:rFonts w:ascii="Franklin Gothic Book" w:hAnsi="Franklin Gothic Book"/>
          <w:spacing w:val="20"/>
          <w:szCs w:val="22"/>
        </w:rPr>
        <w:lastRenderedPageBreak/>
        <w:t xml:space="preserve">to the different regions for a one hour learning </w:t>
      </w:r>
      <w:r w:rsidR="00A818CA" w:rsidRPr="00A818CA">
        <w:rPr>
          <w:rFonts w:ascii="Franklin Gothic Book" w:hAnsi="Franklin Gothic Book"/>
          <w:spacing w:val="20"/>
          <w:szCs w:val="22"/>
        </w:rPr>
        <w:t xml:space="preserve">cycle to create a safe space to build awareness with staff on the LGBT population. </w:t>
      </w:r>
    </w:p>
    <w:p w:rsidR="00D86A11" w:rsidRPr="00A818CA" w:rsidRDefault="00D86A11" w:rsidP="00176DFC">
      <w:pPr>
        <w:spacing w:beforeLines="200" w:before="480" w:afterLines="40" w:after="96"/>
        <w:rPr>
          <w:rFonts w:ascii="Franklin Gothic Book" w:hAnsi="Franklin Gothic Book"/>
          <w:spacing w:val="20"/>
          <w:szCs w:val="22"/>
        </w:rPr>
      </w:pPr>
      <w:r w:rsidRPr="00A818CA">
        <w:rPr>
          <w:rFonts w:ascii="Franklin Gothic Book" w:hAnsi="Franklin Gothic Book"/>
          <w:color w:val="auto"/>
          <w:spacing w:val="20"/>
          <w:szCs w:val="22"/>
        </w:rPr>
        <w:t>All new social workers attend a nine week Social Worker</w:t>
      </w:r>
      <w:r w:rsidRPr="00A818CA">
        <w:rPr>
          <w:rFonts w:ascii="Franklin Gothic Book" w:hAnsi="Franklin Gothic Book"/>
          <w:color w:val="auto"/>
          <w:spacing w:val="20"/>
        </w:rPr>
        <w:t xml:space="preserve"> Initial Training (SWIT). PCWTA provides twenty eight days of mandated Common CORE trainings in addition to two days of Safety Organized Practice (SOP) training and “Better Outcomes” training. San Diego also participated in the initial pilot of the upcoming revision to the Common Curriculum, (Common CORE 3.0.)  The county provides an additional twelve days of county-specific training. New social workers receive five to seven days of job-shadowing in the region where they will be assigned. In addition, new social workers go through a simulation exercise in training where they have an opportunity to do a mock investigation, incorporating the use of the SDM tools. After they are permanently assigned to a region they receive a reduced caseload and supervision to determine their needs for additional training and skill development. In addition, we have implemented a coaching program that is also available to all workers to support their practice in the field. Each region/program has a dedicated coach to provide group and individual coaching to support workers in developing their skills. There are also two coaches for supervisors and one for managers and executives.</w:t>
      </w:r>
    </w:p>
    <w:p w:rsidR="00D86A11" w:rsidRDefault="00763E81" w:rsidP="00A818CA">
      <w:pPr>
        <w:pStyle w:val="Heading3"/>
        <w:spacing w:line="276" w:lineRule="auto"/>
        <w:rPr>
          <w:b w:val="0"/>
          <w:color w:val="auto"/>
          <w:sz w:val="22"/>
        </w:rPr>
      </w:pPr>
      <w:r>
        <w:rPr>
          <w:b w:val="0"/>
          <w:noProof/>
          <w:sz w:val="22"/>
          <w:szCs w:val="22"/>
        </w:rPr>
        <mc:AlternateContent>
          <mc:Choice Requires="wps">
            <w:drawing>
              <wp:anchor distT="91440" distB="91440" distL="182880" distR="182880" simplePos="0" relativeHeight="251657216" behindDoc="1" locked="0" layoutInCell="0" allowOverlap="1">
                <wp:simplePos x="0" y="0"/>
                <wp:positionH relativeFrom="margin">
                  <wp:posOffset>3789680</wp:posOffset>
                </wp:positionH>
                <wp:positionV relativeFrom="margin">
                  <wp:posOffset>-614045</wp:posOffset>
                </wp:positionV>
                <wp:extent cx="2216150" cy="1480185"/>
                <wp:effectExtent l="0" t="0" r="0" b="0"/>
                <wp:wrapSquare wrapText="bothSides"/>
                <wp:docPr id="26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0" cy="14801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103E6" w:rsidRPr="006D2097" w:rsidRDefault="009103E6" w:rsidP="00D86A11">
                            <w:pPr>
                              <w:pBdr>
                                <w:top w:val="single" w:sz="4" w:space="2" w:color="A7BFDE"/>
                                <w:bottom w:val="single" w:sz="4" w:space="10" w:color="A7BFDE"/>
                              </w:pBdr>
                              <w:spacing w:after="0"/>
                              <w:jc w:val="center"/>
                              <w:rPr>
                                <w:b/>
                                <w:i/>
                                <w:iCs/>
                                <w:color w:val="2E7029"/>
                                <w:sz w:val="12"/>
                                <w:szCs w:val="28"/>
                              </w:rPr>
                            </w:pPr>
                          </w:p>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“SOP training has many useful tools...we need more SOP training and for staff to use consistently”</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Pr>
                                <w:b/>
                                <w:i/>
                                <w:iCs/>
                                <w:color w:val="F6872B"/>
                                <w:sz w:val="28"/>
                                <w:szCs w:val="28"/>
                              </w:rPr>
                              <w:t>-Peer Review participant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3" o:spid="_x0000_s1070" style="position:absolute;margin-left:298.4pt;margin-top:-48.35pt;width:174.5pt;height:116.55pt;z-index:-251659264;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" o:allowincell="f" filled="f" stroked="f" strokecolor="#90b5e3" strokeweight="6pt">
                <v:textbox inset="0,0,0,0">
                  <w:txbxContent>
                    <w:p w:rsidR="009103E6" w:rsidRPr="006D2097" w:rsidRDefault="009103E6" w:rsidP="00D86A11">
                      <w:pPr>
                        <w:pBdr>
                          <w:top w:val="single" w:sz="4" w:space="2" w:color="A7BFDE"/>
                          <w:bottom w:val="single" w:sz="4" w:space="10" w:color="A7BFDE"/>
                        </w:pBdr>
                        <w:spacing w:after="0"/>
                        <w:jc w:val="center"/>
                        <w:rPr>
                          <w:b/>
                          <w:i/>
                          <w:iCs/>
                          <w:color w:val="2E7029"/>
                          <w:sz w:val="12"/>
                          <w:szCs w:val="28"/>
                        </w:rPr>
                      </w:pPr>
                    </w:p>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“SOP training has many useful tools...we need more SOP training and for staff to use consistently”</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Pr>
                          <w:b/>
                          <w:i/>
                          <w:iCs/>
                          <w:color w:val="F6872B"/>
                          <w:sz w:val="28"/>
                          <w:szCs w:val="28"/>
                        </w:rPr>
                        <w:t>-Peer Review participant</w:t>
                      </w:r>
                    </w:p>
                  </w:txbxContent>
                </v:textbox>
                <w10:wrap type="square" anchorx="margin" anchory="margin"/>
              </v:rect>
            </w:pict>
          </mc:Fallback>
        </mc:AlternateContent>
      </w:r>
      <w:r w:rsidR="00121985" w:rsidRPr="00A818CA">
        <w:rPr>
          <w:b w:val="0"/>
          <w:color w:val="auto"/>
          <w:sz w:val="22"/>
        </w:rPr>
        <w:t>CWS staff</w:t>
      </w:r>
      <w:r w:rsidR="00121985" w:rsidRPr="00121985">
        <w:rPr>
          <w:b w:val="0"/>
          <w:color w:val="auto"/>
          <w:sz w:val="22"/>
        </w:rPr>
        <w:t xml:space="preserve"> have also partnered with Grossmont College to provide trainings to resource parents and social workers collaboratively to enhance relationships and knowledge. </w:t>
      </w:r>
    </w:p>
    <w:p w:rsidR="009C037E" w:rsidRPr="00480A09" w:rsidRDefault="009C037E" w:rsidP="00480A09">
      <w:pPr>
        <w:pStyle w:val="Heading3"/>
        <w:spacing w:line="276" w:lineRule="auto"/>
        <w:rPr>
          <w:b w:val="0"/>
          <w:color w:val="auto"/>
          <w:sz w:val="22"/>
        </w:rPr>
      </w:pPr>
      <w:r w:rsidRPr="00480A09">
        <w:rPr>
          <w:b w:val="0"/>
          <w:color w:val="auto"/>
          <w:sz w:val="22"/>
        </w:rPr>
        <w:t xml:space="preserve">CWS reviews training needs with our Regional Training Academy on an ongoing basis to ensure advanced training days cover underserved populations or training needs that arise. We have father engagement trainings scheduled quarterly and we have a transgender workgroup that is developing </w:t>
      </w:r>
      <w:r w:rsidR="005D3430" w:rsidRPr="00480A09">
        <w:rPr>
          <w:b w:val="0"/>
          <w:color w:val="auto"/>
          <w:sz w:val="22"/>
        </w:rPr>
        <w:t>training</w:t>
      </w:r>
      <w:r w:rsidR="005D3430">
        <w:rPr>
          <w:b w:val="0"/>
          <w:color w:val="auto"/>
          <w:sz w:val="22"/>
        </w:rPr>
        <w:t xml:space="preserve">. </w:t>
      </w:r>
      <w:r w:rsidRPr="00480A09">
        <w:rPr>
          <w:b w:val="0"/>
          <w:color w:val="auto"/>
          <w:sz w:val="22"/>
        </w:rPr>
        <w:t xml:space="preserve">Additionally one of our SOP coaches is going to regions for one hour learning circle on providing a safe space to build awareness with staff on LGBT populations. </w:t>
      </w:r>
      <w:r w:rsidR="005D3430" w:rsidRPr="00480A09">
        <w:rPr>
          <w:b w:val="0"/>
          <w:color w:val="auto"/>
          <w:sz w:val="22"/>
        </w:rPr>
        <w:t>Furthermore,</w:t>
      </w:r>
      <w:r w:rsidRPr="00480A09">
        <w:rPr>
          <w:b w:val="0"/>
          <w:color w:val="auto"/>
          <w:sz w:val="22"/>
        </w:rPr>
        <w:t xml:space="preserve"> CWS has a contract with a CSEC </w:t>
      </w:r>
      <w:r w:rsidR="005D3430" w:rsidRPr="00480A09">
        <w:rPr>
          <w:b w:val="0"/>
          <w:color w:val="auto"/>
          <w:sz w:val="22"/>
        </w:rPr>
        <w:t>Survivor who</w:t>
      </w:r>
      <w:r w:rsidRPr="00480A09">
        <w:rPr>
          <w:b w:val="0"/>
          <w:color w:val="auto"/>
          <w:sz w:val="22"/>
        </w:rPr>
        <w:t xml:space="preserve"> provides group trainings and one</w:t>
      </w:r>
      <w:r w:rsidR="005D3430">
        <w:rPr>
          <w:b w:val="0"/>
          <w:color w:val="auto"/>
          <w:sz w:val="22"/>
        </w:rPr>
        <w:t>-</w:t>
      </w:r>
      <w:r w:rsidRPr="00480A09">
        <w:rPr>
          <w:b w:val="0"/>
          <w:color w:val="auto"/>
          <w:sz w:val="22"/>
        </w:rPr>
        <w:t>on</w:t>
      </w:r>
      <w:r w:rsidR="005D3430">
        <w:rPr>
          <w:b w:val="0"/>
          <w:color w:val="auto"/>
          <w:sz w:val="22"/>
        </w:rPr>
        <w:t>-</w:t>
      </w:r>
      <w:r w:rsidRPr="00480A09">
        <w:rPr>
          <w:b w:val="0"/>
          <w:color w:val="auto"/>
          <w:sz w:val="22"/>
        </w:rPr>
        <w:t>one</w:t>
      </w:r>
      <w:r w:rsidR="005D3430">
        <w:rPr>
          <w:b w:val="0"/>
          <w:color w:val="auto"/>
          <w:sz w:val="22"/>
        </w:rPr>
        <w:t xml:space="preserve"> </w:t>
      </w:r>
      <w:r w:rsidRPr="00480A09">
        <w:rPr>
          <w:b w:val="0"/>
          <w:color w:val="auto"/>
          <w:sz w:val="22"/>
        </w:rPr>
        <w:t xml:space="preserve">trainings for staff and the CSEC steering committee. </w:t>
      </w:r>
    </w:p>
    <w:p w:rsidR="00D86A11" w:rsidRPr="00765311" w:rsidRDefault="00D86A11" w:rsidP="00D86A11">
      <w:pPr>
        <w:pStyle w:val="Heading2"/>
        <w:rPr>
          <w:color w:val="F6872B"/>
        </w:rPr>
      </w:pPr>
      <w:r w:rsidRPr="000602BA">
        <w:rPr>
          <w:color w:val="F6872B"/>
        </w:rPr>
        <w:t xml:space="preserve">Probation Officers Training  </w:t>
      </w:r>
    </w:p>
    <w:p w:rsidR="00D86A11" w:rsidRPr="00A90A21" w:rsidRDefault="00D86A11" w:rsidP="00D86A11">
      <w:pPr>
        <w:pStyle w:val="Heading3"/>
        <w:spacing w:line="276" w:lineRule="auto"/>
        <w:rPr>
          <w:b w:val="0"/>
          <w:color w:val="auto"/>
          <w:sz w:val="22"/>
        </w:rPr>
      </w:pPr>
      <w:r w:rsidRPr="00A90A21">
        <w:rPr>
          <w:b w:val="0"/>
          <w:color w:val="auto"/>
          <w:sz w:val="22"/>
        </w:rPr>
        <w:t xml:space="preserve">The Probation Department has a comprehensive training program for all sworn officers. All officers must meet statutory and departmental training requirements. Newly hired officers must participate in and complete a five week CORE training academy within the first year of assignment. Training topics include case law, Juvenile and Adult casework, legal requirements, probation policies and procedures, report writing, ethics, Motivational Interviewing and defensive tactics, etc. Officers assigned to Juvenile Field Services must participate in and complete an additional 80 hours of training, which covers specific aspects of juvenile casework. Additionally, officers assigned to </w:t>
      </w:r>
      <w:r>
        <w:rPr>
          <w:b w:val="0"/>
          <w:color w:val="auto"/>
          <w:sz w:val="22"/>
        </w:rPr>
        <w:t xml:space="preserve">the </w:t>
      </w:r>
      <w:r w:rsidRPr="00A90A21">
        <w:rPr>
          <w:b w:val="0"/>
          <w:color w:val="auto"/>
          <w:sz w:val="22"/>
        </w:rPr>
        <w:t xml:space="preserve">Juvenile Field Services </w:t>
      </w:r>
      <w:r>
        <w:rPr>
          <w:b w:val="0"/>
          <w:color w:val="auto"/>
          <w:sz w:val="22"/>
        </w:rPr>
        <w:t xml:space="preserve">Placement Division </w:t>
      </w:r>
      <w:r w:rsidRPr="00A90A21">
        <w:rPr>
          <w:b w:val="0"/>
          <w:color w:val="auto"/>
          <w:sz w:val="22"/>
        </w:rPr>
        <w:t xml:space="preserve">must participate in and complete a 72 hour training course through the </w:t>
      </w:r>
      <w:r w:rsidRPr="00A90A21">
        <w:rPr>
          <w:b w:val="0"/>
          <w:color w:val="auto"/>
          <w:sz w:val="22"/>
        </w:rPr>
        <w:lastRenderedPageBreak/>
        <w:t xml:space="preserve">Resource Center for Family Focused Practice at UC Davis. In this course, </w:t>
      </w:r>
      <w:r>
        <w:rPr>
          <w:b w:val="0"/>
          <w:color w:val="auto"/>
          <w:sz w:val="22"/>
        </w:rPr>
        <w:t>o</w:t>
      </w:r>
      <w:r w:rsidRPr="00A90A21">
        <w:rPr>
          <w:b w:val="0"/>
          <w:color w:val="auto"/>
          <w:sz w:val="22"/>
        </w:rPr>
        <w:t>fficers get in depth training about specific state and federal mandates related to foster youth, liabilities for non-compliance with mandates and the overall role and responsibilities of Probation Placement Officers with respect to contacts, report timelines, case plans, etc. Placement Officers also complete training on the CWS/CMS system, Commercially Sexually Exploited Children (CSEC), and other trainings as outlined periodically by the California Department of Social Services (CDSS). All newly hired officers complete a three day training in Integrated Behavioral Intervention Strategies (IBIS), which encompasses techniques in Motivational Interviewing. Throughout the course, officers learn interviewing techniques to extract critical information from the youth to include delinquenc</w:t>
      </w:r>
      <w:r w:rsidR="00121985" w:rsidRPr="00121985">
        <w:rPr>
          <w:b w:val="0"/>
          <w:color w:val="auto"/>
          <w:sz w:val="22"/>
        </w:rPr>
        <w:t xml:space="preserve">y and any other issues potentially related to previous traumatic events such as abuse or CSEC involvement. </w:t>
      </w:r>
    </w:p>
    <w:p w:rsidR="00D86A11" w:rsidRPr="00A90A21" w:rsidRDefault="00121985" w:rsidP="00D86A11">
      <w:pPr>
        <w:pStyle w:val="Heading3"/>
        <w:spacing w:line="276" w:lineRule="auto"/>
        <w:rPr>
          <w:b w:val="0"/>
          <w:color w:val="auto"/>
          <w:sz w:val="22"/>
        </w:rPr>
      </w:pPr>
      <w:r w:rsidRPr="00121985">
        <w:rPr>
          <w:b w:val="0"/>
          <w:color w:val="auto"/>
          <w:sz w:val="22"/>
        </w:rPr>
        <w:t xml:space="preserve">Training needs are identified by individual supervisors as they monitor their officers’ caseload activity to include required monthly face to face contacts with the youth and parent/guardian, case plan content, report writing, etc. Newly assigned Placement Officers are given a reduced caseload and “shadow” other, more experienced officers to learn general casework duties and responsibilities. Supervisors monitor Placement Officers’ performance through periodic caseload audits and monthly one to one sessions. In the event Supervisors note training needs, officers are assigned training to address the specific need. Probation Placement officers are also proactive in identifying their own training needs and take the initiative to enroll in trainings to suit their needs through our department Staff Development unit, UC Davis, or other avenues. In addition, the Probation Department monitors the All County Letters (ACL’s) for mandates on training requirements and in the event there are new mandated trainings, Placement supervisors enroll staff in the classes as necessary. In the event there are new state or federal mandates with respect to specific procedures, the Probation Department reviews the mandate(s) and develops a training curriculum for staff. </w:t>
      </w:r>
    </w:p>
    <w:p w:rsidR="00D86A11" w:rsidRPr="003436FC" w:rsidRDefault="00D86A11" w:rsidP="00D86A11">
      <w:pPr>
        <w:rPr>
          <w:rFonts w:ascii="Franklin Gothic Book" w:hAnsi="Franklin Gothic Book"/>
          <w:color w:val="auto"/>
          <w:spacing w:val="20"/>
          <w:szCs w:val="28"/>
        </w:rPr>
      </w:pPr>
      <w:r w:rsidRPr="003436FC">
        <w:rPr>
          <w:rFonts w:ascii="Franklin Gothic Book" w:hAnsi="Franklin Gothic Book"/>
          <w:color w:val="auto"/>
          <w:spacing w:val="20"/>
          <w:szCs w:val="28"/>
        </w:rPr>
        <w:t>The Probation Department and Child Welfare Services also collaborate and provide cross training on various topics to include CWS/CMS, audits, and information related to specific department initiatives with re</w:t>
      </w:r>
      <w:r>
        <w:rPr>
          <w:rFonts w:ascii="Franklin Gothic Book" w:hAnsi="Franklin Gothic Book"/>
          <w:color w:val="auto"/>
          <w:spacing w:val="20"/>
          <w:szCs w:val="28"/>
        </w:rPr>
        <w:t xml:space="preserve">spect to youth in foster care. </w:t>
      </w:r>
    </w:p>
    <w:p w:rsidR="00D86A11" w:rsidRPr="00A90A21" w:rsidRDefault="00D86A11" w:rsidP="00D86A11">
      <w:pPr>
        <w:pStyle w:val="Heading3"/>
        <w:spacing w:line="276" w:lineRule="auto"/>
        <w:rPr>
          <w:b w:val="0"/>
          <w:color w:val="auto"/>
          <w:sz w:val="22"/>
        </w:rPr>
      </w:pPr>
      <w:r w:rsidRPr="00A90A21">
        <w:rPr>
          <w:b w:val="0"/>
          <w:color w:val="auto"/>
          <w:sz w:val="22"/>
        </w:rPr>
        <w:t xml:space="preserve">To address the skill development of new and experienced staff, </w:t>
      </w:r>
      <w:r>
        <w:rPr>
          <w:b w:val="0"/>
          <w:color w:val="auto"/>
          <w:sz w:val="22"/>
        </w:rPr>
        <w:t>s</w:t>
      </w:r>
      <w:r w:rsidRPr="00A90A21">
        <w:rPr>
          <w:b w:val="0"/>
          <w:color w:val="auto"/>
          <w:sz w:val="22"/>
        </w:rPr>
        <w:t xml:space="preserve">upervisors and the Placement </w:t>
      </w:r>
      <w:r>
        <w:rPr>
          <w:b w:val="0"/>
          <w:color w:val="auto"/>
          <w:sz w:val="22"/>
        </w:rPr>
        <w:t>d</w:t>
      </w:r>
      <w:r w:rsidRPr="00A90A21">
        <w:rPr>
          <w:b w:val="0"/>
          <w:color w:val="auto"/>
          <w:sz w:val="22"/>
        </w:rPr>
        <w:t xml:space="preserve">ivision </w:t>
      </w:r>
      <w:r>
        <w:rPr>
          <w:b w:val="0"/>
          <w:color w:val="auto"/>
          <w:sz w:val="22"/>
        </w:rPr>
        <w:t>c</w:t>
      </w:r>
      <w:r w:rsidRPr="00A90A21">
        <w:rPr>
          <w:b w:val="0"/>
          <w:color w:val="auto"/>
          <w:sz w:val="22"/>
        </w:rPr>
        <w:t xml:space="preserve">hief conduct face to face meetings with staff and </w:t>
      </w:r>
      <w:r>
        <w:rPr>
          <w:b w:val="0"/>
          <w:color w:val="auto"/>
          <w:sz w:val="22"/>
        </w:rPr>
        <w:t>s</w:t>
      </w:r>
      <w:r w:rsidRPr="00A90A21">
        <w:rPr>
          <w:b w:val="0"/>
          <w:color w:val="auto"/>
          <w:sz w:val="22"/>
        </w:rPr>
        <w:t xml:space="preserve">upervisors to review progress, expectations and to discuss any work deficiencies and barriers to achieving requirements. Newly assigned placement officers meet with the </w:t>
      </w:r>
      <w:r>
        <w:rPr>
          <w:b w:val="0"/>
          <w:color w:val="auto"/>
          <w:sz w:val="22"/>
        </w:rPr>
        <w:t>s</w:t>
      </w:r>
      <w:r w:rsidRPr="00A90A21">
        <w:rPr>
          <w:b w:val="0"/>
          <w:color w:val="auto"/>
          <w:sz w:val="22"/>
        </w:rPr>
        <w:t xml:space="preserve">upervisor monthly. Supervisors also complete six month Performance Appraisals for newly hired officers and Annual Performance Appraisals for experienced officers. </w:t>
      </w:r>
    </w:p>
    <w:p w:rsidR="00D86A11" w:rsidRPr="00A60937" w:rsidRDefault="00D86A11" w:rsidP="00D86A11">
      <w:pPr>
        <w:pStyle w:val="Heading3"/>
        <w:spacing w:line="276" w:lineRule="auto"/>
        <w:rPr>
          <w:b w:val="0"/>
          <w:color w:val="auto"/>
          <w:sz w:val="22"/>
        </w:rPr>
      </w:pPr>
      <w:r w:rsidRPr="00A90A21">
        <w:rPr>
          <w:b w:val="0"/>
          <w:color w:val="auto"/>
          <w:sz w:val="22"/>
        </w:rPr>
        <w:t>In 2013, the Probation Department formed a Treatment Unit, which is led by the Director of Treatment and Clinical Services. The Treatment Unit provides staff and community treatment providers with trai</w:t>
      </w:r>
      <w:r w:rsidR="00121985" w:rsidRPr="00121985">
        <w:rPr>
          <w:b w:val="0"/>
          <w:color w:val="auto"/>
          <w:sz w:val="22"/>
        </w:rPr>
        <w:t xml:space="preserve">ning and resources in the area of evidence-based practices and treatments that are tailored to the unique needs and </w:t>
      </w:r>
      <w:r w:rsidR="00121985" w:rsidRPr="00121985">
        <w:rPr>
          <w:b w:val="0"/>
          <w:color w:val="auto"/>
          <w:sz w:val="22"/>
        </w:rPr>
        <w:lastRenderedPageBreak/>
        <w:t>characteristics of offender populations, Trauma Informed Care, Mental Health Screenings and Assessments.</w:t>
      </w:r>
    </w:p>
    <w:p w:rsidR="00D86A11" w:rsidRDefault="00D86A11" w:rsidP="00D86A11">
      <w:pPr>
        <w:pStyle w:val="Heading2"/>
        <w:rPr>
          <w:color w:val="F6872B"/>
        </w:rPr>
      </w:pPr>
      <w:r w:rsidRPr="000602BA">
        <w:rPr>
          <w:color w:val="F6872B"/>
        </w:rPr>
        <w:t>Provider Training</w:t>
      </w:r>
    </w:p>
    <w:p w:rsidR="00D86A11" w:rsidRPr="004A75CC" w:rsidRDefault="00D86A11" w:rsidP="00D86A11">
      <w:pPr>
        <w:pStyle w:val="Heading3"/>
        <w:spacing w:line="276" w:lineRule="auto"/>
        <w:rPr>
          <w:b w:val="0"/>
          <w:color w:val="auto"/>
          <w:sz w:val="22"/>
        </w:rPr>
      </w:pPr>
      <w:r w:rsidRPr="004A75CC">
        <w:rPr>
          <w:b w:val="0"/>
          <w:color w:val="auto"/>
          <w:sz w:val="22"/>
        </w:rPr>
        <w:t>The County’s CAPIT/CBCAP/PSSF funded CSF providers are required to provide an annual training to all countywide CSF staff. Training topics include child abuse prevention and intervention, substance abuse, mental health issues, parenting, child development and mandated child abuse reporting. The contractors agree on training topics and each take responsibility for one topic area. The Contract Administrator provides technical assistance, as needed, and participates in the decision making process regarding training topics. Technical assistance is also provided, as needed, based on site visits and file reviews. Management Information System (MIS) training is also offered quarterly for all newly hired CSF staff.</w:t>
      </w:r>
    </w:p>
    <w:p w:rsidR="00D86A11" w:rsidRPr="000602BA" w:rsidRDefault="00D86A11" w:rsidP="00D86A11">
      <w:pPr>
        <w:pStyle w:val="Heading1"/>
        <w:rPr>
          <w:color w:val="013161"/>
        </w:rPr>
      </w:pPr>
      <w:r w:rsidRPr="000602BA">
        <w:rPr>
          <w:color w:val="013161"/>
        </w:rPr>
        <w:t>5. Agency Collaboration</w:t>
      </w:r>
    </w:p>
    <w:p w:rsidR="00D86A11" w:rsidRPr="006D724C" w:rsidRDefault="00D86A11" w:rsidP="00D86A11">
      <w:pPr>
        <w:pStyle w:val="Heading3"/>
        <w:spacing w:line="276" w:lineRule="auto"/>
        <w:rPr>
          <w:b w:val="0"/>
          <w:color w:val="auto"/>
          <w:sz w:val="22"/>
        </w:rPr>
      </w:pPr>
      <w:r w:rsidRPr="006D724C">
        <w:rPr>
          <w:b w:val="0"/>
          <w:color w:val="auto"/>
          <w:sz w:val="22"/>
        </w:rPr>
        <w:t>The County has a long history of community-based prevention partners who share knowledge, resources and responsibility to protect the safety of children and preserve the viability of individual families. These include a broad range of traditional and non-traditional partners that span across multiple public and private agencies and disciplines (e.g., grass root organizations, parents, faith-based organizations, civic leaders and business) but share a common vision for the protection and well-being of children and are willing to work in a collaborative manner. These partnerships include broad community input and participation in decision-making.</w:t>
      </w:r>
    </w:p>
    <w:p w:rsidR="00D86A11" w:rsidRPr="006D724C" w:rsidRDefault="00D86A11" w:rsidP="00D86A11">
      <w:pPr>
        <w:pStyle w:val="Heading3"/>
        <w:spacing w:line="276" w:lineRule="auto"/>
        <w:rPr>
          <w:b w:val="0"/>
          <w:color w:val="auto"/>
          <w:sz w:val="22"/>
        </w:rPr>
      </w:pPr>
      <w:r w:rsidRPr="006D724C">
        <w:rPr>
          <w:b w:val="0"/>
          <w:color w:val="auto"/>
          <w:sz w:val="22"/>
        </w:rPr>
        <w:t>CWS and Juvenile Probation have many agreements with child welfare, education, domestic violence, law enforcement, faith-based, military, mental and physical health entities. One such partnership is the Interagency Educational Agreement between CWS, Juvenile Probation, Juvenile Court, County Office of Education, and all school districts in the county, to ensure the protection of the educational rights of foster children and youth.</w:t>
      </w:r>
    </w:p>
    <w:p w:rsidR="00D86A11" w:rsidRDefault="00D86A11" w:rsidP="00D86A11">
      <w:pPr>
        <w:pStyle w:val="Heading3"/>
        <w:spacing w:line="276" w:lineRule="auto"/>
        <w:rPr>
          <w:b w:val="0"/>
          <w:color w:val="auto"/>
          <w:sz w:val="22"/>
        </w:rPr>
      </w:pPr>
      <w:r w:rsidRPr="006D724C">
        <w:rPr>
          <w:b w:val="0"/>
          <w:color w:val="auto"/>
          <w:sz w:val="22"/>
        </w:rPr>
        <w:t>These partnerships can be viewed on two distinct levels:  Countywide and Neighborhood. The Countywide Partnership is broader and inclusive of multiple neighborhood perspectives, while the community partnership is reflective of a specific locale perspective</w:t>
      </w:r>
      <w:r>
        <w:rPr>
          <w:b w:val="0"/>
          <w:color w:val="auto"/>
          <w:sz w:val="22"/>
        </w:rPr>
        <w:t>. Agency collaborations span all HHSA regions.</w:t>
      </w:r>
    </w:p>
    <w:p w:rsidR="00D86A11" w:rsidRPr="00C86570" w:rsidRDefault="00D86A11" w:rsidP="00D86A11">
      <w:pPr>
        <w:pStyle w:val="Heading2"/>
        <w:rPr>
          <w:color w:val="F6872B"/>
        </w:rPr>
      </w:pPr>
      <w:r w:rsidRPr="00240C2A">
        <w:rPr>
          <w:color w:val="F6872B"/>
        </w:rPr>
        <w:t>Central</w:t>
      </w:r>
      <w:r>
        <w:rPr>
          <w:color w:val="F6872B"/>
        </w:rPr>
        <w:t xml:space="preserve"> Region</w:t>
      </w:r>
    </w:p>
    <w:p w:rsidR="00D86A11" w:rsidRPr="005A7E35" w:rsidRDefault="00D86A11" w:rsidP="00D86A11">
      <w:pPr>
        <w:numPr>
          <w:ilvl w:val="0"/>
          <w:numId w:val="16"/>
        </w:numPr>
        <w:spacing w:before="120" w:after="0"/>
        <w:ind w:right="130"/>
        <w:rPr>
          <w:rFonts w:ascii="Franklin Gothic Book" w:hAnsi="Franklin Gothic Book"/>
          <w:b/>
          <w:color w:val="auto"/>
          <w:spacing w:val="20"/>
          <w:szCs w:val="28"/>
        </w:rPr>
      </w:pPr>
      <w:r w:rsidRPr="005A7E35">
        <w:rPr>
          <w:rFonts w:ascii="Franklin Gothic Book" w:hAnsi="Franklin Gothic Book"/>
          <w:b/>
          <w:color w:val="auto"/>
          <w:spacing w:val="20"/>
          <w:szCs w:val="28"/>
        </w:rPr>
        <w:t>Cultural Broker Program</w:t>
      </w:r>
      <w:r>
        <w:rPr>
          <w:rFonts w:ascii="Franklin Gothic Book" w:hAnsi="Franklin Gothic Book"/>
          <w:b/>
          <w:color w:val="auto"/>
          <w:spacing w:val="20"/>
          <w:szCs w:val="28"/>
        </w:rPr>
        <w:t xml:space="preserve">: </w:t>
      </w:r>
      <w:r w:rsidRPr="005A7E35">
        <w:rPr>
          <w:rFonts w:ascii="Franklin Gothic Book" w:hAnsi="Franklin Gothic Book"/>
          <w:color w:val="auto"/>
          <w:spacing w:val="20"/>
          <w:szCs w:val="28"/>
        </w:rPr>
        <w:t>The Cultural Broker (CB) Program is a community grassroots organization that works with African American families residing within Central Region. CB representatives are culturally knowledgeable and in most instances share cultural backgrounds</w:t>
      </w:r>
      <w:r>
        <w:rPr>
          <w:rFonts w:ascii="Franklin Gothic Book" w:hAnsi="Franklin Gothic Book"/>
          <w:color w:val="auto"/>
          <w:spacing w:val="20"/>
          <w:szCs w:val="28"/>
        </w:rPr>
        <w:t xml:space="preserve"> with the families they serve</w:t>
      </w:r>
      <w:r w:rsidRPr="005A7E35">
        <w:rPr>
          <w:rFonts w:ascii="Franklin Gothic Book" w:hAnsi="Franklin Gothic Book"/>
          <w:color w:val="auto"/>
          <w:spacing w:val="20"/>
          <w:szCs w:val="28"/>
        </w:rPr>
        <w:t xml:space="preserve">. Disproportionate representation of African Americans in the child welfare system has been of concern for many years. CB Program is one way to </w:t>
      </w:r>
      <w:r w:rsidRPr="005A7E35">
        <w:rPr>
          <w:rFonts w:ascii="Franklin Gothic Book" w:hAnsi="Franklin Gothic Book"/>
          <w:color w:val="auto"/>
          <w:spacing w:val="20"/>
          <w:szCs w:val="28"/>
        </w:rPr>
        <w:lastRenderedPageBreak/>
        <w:t>address the disparity and disproportionality that exist in the African American children and families of San Diego. Cultural Broker services will aid in the reduction of the disproportionate representation of African American children in Central Region Child Welfare Services by educating families on child safety, child welfare laws and system process, life skills, effective communication skills, prevention and early intervention strategies that enhance child safety and provide linkages to support services. This program will provide education and support in a variety of ways to strengthen families of African American children, to keep kids safe and prevent unnecessary removal.</w:t>
      </w:r>
    </w:p>
    <w:p w:rsidR="00D86A11" w:rsidRPr="000C729F" w:rsidRDefault="00D86A11" w:rsidP="00D86A11">
      <w:pPr>
        <w:pStyle w:val="Heading2"/>
        <w:rPr>
          <w:color w:val="F6872B"/>
        </w:rPr>
      </w:pPr>
      <w:r w:rsidRPr="000C729F">
        <w:rPr>
          <w:color w:val="F6872B"/>
        </w:rPr>
        <w:t>East Region</w:t>
      </w:r>
    </w:p>
    <w:p w:rsidR="00D86A11" w:rsidRPr="00111704" w:rsidRDefault="00D86A11" w:rsidP="00D86A11">
      <w:pPr>
        <w:pStyle w:val="Heading3"/>
        <w:spacing w:line="276" w:lineRule="auto"/>
        <w:rPr>
          <w:b w:val="0"/>
          <w:color w:val="auto"/>
          <w:sz w:val="22"/>
        </w:rPr>
      </w:pPr>
      <w:r>
        <w:rPr>
          <w:b w:val="0"/>
          <w:color w:val="auto"/>
          <w:sz w:val="22"/>
        </w:rPr>
        <w:t>East region strengthens</w:t>
      </w:r>
      <w:r w:rsidRPr="00111704">
        <w:rPr>
          <w:b w:val="0"/>
          <w:color w:val="auto"/>
          <w:sz w:val="22"/>
        </w:rPr>
        <w:t xml:space="preserve"> relationships by working with relatives, collaborative partners and schools</w:t>
      </w:r>
      <w:r>
        <w:rPr>
          <w:b w:val="0"/>
          <w:color w:val="auto"/>
          <w:sz w:val="22"/>
        </w:rPr>
        <w:t>.</w:t>
      </w:r>
      <w:r w:rsidRPr="00111704">
        <w:rPr>
          <w:b w:val="0"/>
          <w:color w:val="auto"/>
          <w:sz w:val="22"/>
        </w:rPr>
        <w:t xml:space="preserve"> East Region has been able to keep children in familiar environments even if they must be removed from their home. At the end of the FY 2014-15, 65.0% of school age youth were remaining in their home school and 70.0% of foster youth were living with a relative or family friend.</w:t>
      </w:r>
    </w:p>
    <w:p w:rsidR="00D86A11" w:rsidRPr="00111704" w:rsidRDefault="00D86A11" w:rsidP="00D86A11">
      <w:pPr>
        <w:pStyle w:val="Heading3"/>
        <w:spacing w:line="276" w:lineRule="auto"/>
        <w:rPr>
          <w:b w:val="0"/>
          <w:color w:val="auto"/>
          <w:sz w:val="22"/>
        </w:rPr>
      </w:pPr>
      <w:r>
        <w:rPr>
          <w:b w:val="0"/>
          <w:color w:val="auto"/>
          <w:sz w:val="22"/>
        </w:rPr>
        <w:t>East region p</w:t>
      </w:r>
      <w:r w:rsidRPr="00111704">
        <w:rPr>
          <w:b w:val="0"/>
          <w:color w:val="auto"/>
          <w:sz w:val="22"/>
        </w:rPr>
        <w:t xml:space="preserve">articipates in a collaborative that supports refugees in the community </w:t>
      </w:r>
      <w:r>
        <w:rPr>
          <w:b w:val="0"/>
          <w:color w:val="auto"/>
          <w:sz w:val="22"/>
        </w:rPr>
        <w:t xml:space="preserve">to </w:t>
      </w:r>
      <w:r w:rsidRPr="00111704">
        <w:rPr>
          <w:b w:val="0"/>
          <w:color w:val="auto"/>
          <w:sz w:val="22"/>
        </w:rPr>
        <w:t>adapt to their new environment. Child Welfare staff contribute to this collaborative by training and educating refugees in the community about child abuse and neglect and services available to this population.</w:t>
      </w:r>
    </w:p>
    <w:p w:rsidR="00D86A11" w:rsidRPr="00111704" w:rsidRDefault="00D86A11" w:rsidP="00D86A11">
      <w:pPr>
        <w:pStyle w:val="Heading3"/>
        <w:spacing w:line="276" w:lineRule="auto"/>
        <w:rPr>
          <w:b w:val="0"/>
          <w:color w:val="auto"/>
          <w:sz w:val="22"/>
        </w:rPr>
      </w:pPr>
      <w:r>
        <w:rPr>
          <w:b w:val="0"/>
          <w:color w:val="auto"/>
          <w:sz w:val="22"/>
        </w:rPr>
        <w:t>Finally, it u</w:t>
      </w:r>
      <w:r w:rsidRPr="00111704">
        <w:rPr>
          <w:b w:val="0"/>
          <w:color w:val="auto"/>
          <w:sz w:val="22"/>
        </w:rPr>
        <w:t>tilizes a law enforcement team to deepen relationships with three law enforcement jurisdictions in East Region. The law enforcement team responds to all Drug Endangered Children calls</w:t>
      </w:r>
      <w:r>
        <w:rPr>
          <w:b w:val="0"/>
          <w:color w:val="auto"/>
          <w:sz w:val="22"/>
        </w:rPr>
        <w:t xml:space="preserve"> and</w:t>
      </w:r>
      <w:r w:rsidRPr="00111704">
        <w:rPr>
          <w:b w:val="0"/>
          <w:color w:val="auto"/>
          <w:sz w:val="22"/>
        </w:rPr>
        <w:t xml:space="preserve"> any additional requests for assistance from law enforcement</w:t>
      </w:r>
      <w:r w:rsidR="00121985" w:rsidRPr="00121985">
        <w:rPr>
          <w:b w:val="0"/>
          <w:color w:val="auto"/>
          <w:sz w:val="22"/>
        </w:rPr>
        <w:t xml:space="preserve">. Currently, East Region has three MOU’s with local law enforcement agencies in this region and staff are co-located within these local law enforcement agencies to deepen the collaborative partnerships. </w:t>
      </w:r>
    </w:p>
    <w:p w:rsidR="00D86A11" w:rsidRPr="00642F6A" w:rsidRDefault="00D86A11" w:rsidP="00D86A11">
      <w:pPr>
        <w:pStyle w:val="Heading2"/>
        <w:rPr>
          <w:color w:val="F6872B"/>
        </w:rPr>
      </w:pPr>
      <w:r w:rsidRPr="00642F6A">
        <w:rPr>
          <w:color w:val="F6872B"/>
        </w:rPr>
        <w:t>North Coastal/Inland Regions</w:t>
      </w:r>
    </w:p>
    <w:p w:rsidR="00D86A11" w:rsidRPr="00C706DD" w:rsidRDefault="00D86A11" w:rsidP="00D86A11">
      <w:pPr>
        <w:pStyle w:val="Heading3"/>
        <w:spacing w:line="276" w:lineRule="auto"/>
        <w:rPr>
          <w:b w:val="0"/>
          <w:color w:val="auto"/>
          <w:sz w:val="22"/>
        </w:rPr>
      </w:pPr>
      <w:r w:rsidRPr="00C706DD">
        <w:rPr>
          <w:b w:val="0"/>
          <w:color w:val="auto"/>
          <w:sz w:val="22"/>
        </w:rPr>
        <w:t>The North Coastal/North Inland regions support various community and partner collaborations</w:t>
      </w:r>
      <w:r>
        <w:rPr>
          <w:b w:val="0"/>
          <w:color w:val="auto"/>
          <w:sz w:val="22"/>
        </w:rPr>
        <w:t>, key examples include</w:t>
      </w:r>
      <w:r w:rsidRPr="00C706DD">
        <w:rPr>
          <w:b w:val="0"/>
          <w:color w:val="auto"/>
          <w:sz w:val="22"/>
        </w:rPr>
        <w:t xml:space="preserve">:  </w:t>
      </w:r>
    </w:p>
    <w:p w:rsidR="00D86A11" w:rsidRPr="00C706DD" w:rsidRDefault="00D86A11" w:rsidP="00D86A11">
      <w:pPr>
        <w:numPr>
          <w:ilvl w:val="0"/>
          <w:numId w:val="16"/>
        </w:numPr>
        <w:spacing w:before="120" w:after="0"/>
        <w:ind w:right="130"/>
        <w:rPr>
          <w:rFonts w:ascii="Franklin Gothic Book" w:hAnsi="Franklin Gothic Book"/>
          <w:color w:val="auto"/>
          <w:spacing w:val="20"/>
          <w:szCs w:val="28"/>
        </w:rPr>
      </w:pPr>
      <w:r w:rsidRPr="00871001">
        <w:rPr>
          <w:rFonts w:ascii="Franklin Gothic Book" w:hAnsi="Franklin Gothic Book"/>
          <w:b/>
          <w:color w:val="auto"/>
          <w:spacing w:val="20"/>
          <w:szCs w:val="28"/>
        </w:rPr>
        <w:t>Child Assessment Network North (CANN):</w:t>
      </w:r>
      <w:r>
        <w:rPr>
          <w:rFonts w:ascii="Franklin Gothic Book" w:hAnsi="Franklin Gothic Book"/>
          <w:color w:val="auto"/>
          <w:spacing w:val="20"/>
          <w:szCs w:val="28"/>
        </w:rPr>
        <w:t xml:space="preserve"> C</w:t>
      </w:r>
      <w:r w:rsidRPr="00C706DD">
        <w:rPr>
          <w:rFonts w:ascii="Franklin Gothic Book" w:hAnsi="Franklin Gothic Book"/>
          <w:color w:val="auto"/>
          <w:spacing w:val="20"/>
          <w:szCs w:val="28"/>
        </w:rPr>
        <w:t>oordinate with the Child Assessment Network North (CANN) in partnership with community partners with the goal of keeping North County children in their community as part of the Neighborhoods for Kids North County. CANN is designed to provide prevention, assessment and intervention services for North County children age 0-17 who are in need of protective custody.</w:t>
      </w:r>
    </w:p>
    <w:p w:rsidR="00D86A11" w:rsidRPr="00737371" w:rsidRDefault="00D86A11" w:rsidP="00D86A11">
      <w:pPr>
        <w:numPr>
          <w:ilvl w:val="0"/>
          <w:numId w:val="16"/>
        </w:numPr>
        <w:spacing w:before="120" w:after="0"/>
        <w:ind w:right="130"/>
        <w:rPr>
          <w:rFonts w:ascii="Franklin Gothic Book" w:hAnsi="Franklin Gothic Book"/>
          <w:color w:val="auto"/>
          <w:spacing w:val="20"/>
          <w:szCs w:val="28"/>
        </w:rPr>
      </w:pPr>
      <w:r w:rsidRPr="00C706DD">
        <w:rPr>
          <w:rFonts w:ascii="Franklin Gothic Book" w:hAnsi="Franklin Gothic Book"/>
          <w:color w:val="auto"/>
          <w:spacing w:val="20"/>
          <w:szCs w:val="28"/>
        </w:rPr>
        <w:t xml:space="preserve">Partners with </w:t>
      </w:r>
      <w:r w:rsidRPr="00871001">
        <w:rPr>
          <w:rFonts w:ascii="Franklin Gothic Book" w:hAnsi="Franklin Gothic Book"/>
          <w:b/>
          <w:color w:val="auto"/>
          <w:spacing w:val="20"/>
          <w:szCs w:val="28"/>
        </w:rPr>
        <w:t>Health Link,</w:t>
      </w:r>
      <w:r w:rsidRPr="00C706DD">
        <w:rPr>
          <w:rFonts w:ascii="Franklin Gothic Book" w:hAnsi="Franklin Gothic Book"/>
          <w:color w:val="auto"/>
          <w:spacing w:val="20"/>
          <w:szCs w:val="28"/>
        </w:rPr>
        <w:t xml:space="preserve"> a school-based social services program</w:t>
      </w:r>
      <w:r>
        <w:rPr>
          <w:rFonts w:ascii="Franklin Gothic Book" w:hAnsi="Franklin Gothic Book"/>
          <w:color w:val="auto"/>
          <w:spacing w:val="20"/>
          <w:szCs w:val="28"/>
        </w:rPr>
        <w:t xml:space="preserve"> comprised of public/private partnership which aim to </w:t>
      </w:r>
      <w:r w:rsidRPr="00737371">
        <w:rPr>
          <w:rFonts w:ascii="Franklin Gothic Book" w:hAnsi="Franklin Gothic Book"/>
          <w:color w:val="auto"/>
          <w:spacing w:val="20"/>
          <w:szCs w:val="28"/>
        </w:rPr>
        <w:t xml:space="preserve">improve health and education outcomes for North </w:t>
      </w:r>
      <w:r>
        <w:rPr>
          <w:rFonts w:ascii="Franklin Gothic Book" w:hAnsi="Franklin Gothic Book"/>
          <w:color w:val="auto"/>
          <w:spacing w:val="20"/>
          <w:szCs w:val="28"/>
        </w:rPr>
        <w:t>County of San Diego</w:t>
      </w:r>
      <w:r w:rsidRPr="00737371">
        <w:rPr>
          <w:rFonts w:ascii="Franklin Gothic Book" w:hAnsi="Franklin Gothic Book"/>
          <w:color w:val="auto"/>
          <w:spacing w:val="20"/>
          <w:szCs w:val="28"/>
        </w:rPr>
        <w:t xml:space="preserve">'s school children. </w:t>
      </w:r>
      <w:r>
        <w:rPr>
          <w:rFonts w:ascii="Franklin Gothic Book" w:hAnsi="Franklin Gothic Book"/>
          <w:color w:val="auto"/>
          <w:spacing w:val="20"/>
          <w:szCs w:val="28"/>
        </w:rPr>
        <w:t xml:space="preserve"> </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871001">
        <w:rPr>
          <w:rFonts w:ascii="Franklin Gothic Book" w:hAnsi="Franklin Gothic Book"/>
          <w:b/>
          <w:color w:val="auto"/>
          <w:spacing w:val="20"/>
          <w:szCs w:val="28"/>
        </w:rPr>
        <w:t>North County Educational Collaborative</w:t>
      </w:r>
      <w:r>
        <w:rPr>
          <w:rFonts w:ascii="Franklin Gothic Book" w:hAnsi="Franklin Gothic Book"/>
          <w:color w:val="auto"/>
          <w:spacing w:val="20"/>
          <w:szCs w:val="28"/>
        </w:rPr>
        <w:t xml:space="preserve">: </w:t>
      </w:r>
      <w:r w:rsidRPr="00C706DD">
        <w:rPr>
          <w:rFonts w:ascii="Franklin Gothic Book" w:hAnsi="Franklin Gothic Book"/>
          <w:color w:val="auto"/>
          <w:spacing w:val="20"/>
          <w:szCs w:val="28"/>
        </w:rPr>
        <w:t xml:space="preserve">Facilitates open communication regarding the educational needs of foster children by participating in North </w:t>
      </w:r>
      <w:r w:rsidRPr="00C706DD">
        <w:rPr>
          <w:rFonts w:ascii="Franklin Gothic Book" w:hAnsi="Franklin Gothic Book"/>
          <w:color w:val="auto"/>
          <w:spacing w:val="20"/>
          <w:szCs w:val="28"/>
        </w:rPr>
        <w:lastRenderedPageBreak/>
        <w:t xml:space="preserve">County Educational Collaborative. This includes collaboration with the County Office of Education to ensure that educational needs </w:t>
      </w:r>
      <w:r>
        <w:rPr>
          <w:rFonts w:ascii="Franklin Gothic Book" w:hAnsi="Franklin Gothic Book"/>
          <w:color w:val="auto"/>
          <w:spacing w:val="20"/>
          <w:szCs w:val="28"/>
        </w:rPr>
        <w:t>of</w:t>
      </w:r>
      <w:r w:rsidRPr="00C706DD">
        <w:rPr>
          <w:rFonts w:ascii="Franklin Gothic Book" w:hAnsi="Franklin Gothic Book"/>
          <w:color w:val="auto"/>
          <w:spacing w:val="20"/>
          <w:szCs w:val="28"/>
        </w:rPr>
        <w:t xml:space="preserve"> foster youth </w:t>
      </w:r>
      <w:r>
        <w:rPr>
          <w:rFonts w:ascii="Franklin Gothic Book" w:hAnsi="Franklin Gothic Book"/>
          <w:color w:val="auto"/>
          <w:spacing w:val="20"/>
          <w:szCs w:val="28"/>
        </w:rPr>
        <w:t xml:space="preserve">are being met </w:t>
      </w:r>
      <w:r w:rsidRPr="00C706DD">
        <w:rPr>
          <w:rFonts w:ascii="Franklin Gothic Book" w:hAnsi="Franklin Gothic Book"/>
          <w:color w:val="auto"/>
          <w:spacing w:val="20"/>
          <w:szCs w:val="28"/>
        </w:rPr>
        <w:t>by co-locating Educational Liaisons in the North CWS regional offices.</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CF0E54">
        <w:rPr>
          <w:rFonts w:ascii="Franklin Gothic Book" w:hAnsi="Franklin Gothic Book"/>
          <w:b/>
          <w:color w:val="auto"/>
          <w:spacing w:val="20"/>
          <w:szCs w:val="28"/>
        </w:rPr>
        <w:t xml:space="preserve">Outstations </w:t>
      </w:r>
      <w:r w:rsidRPr="00B85DAB">
        <w:rPr>
          <w:rFonts w:ascii="Franklin Gothic Book" w:hAnsi="Franklin Gothic Book"/>
          <w:color w:val="auto"/>
          <w:spacing w:val="20"/>
          <w:szCs w:val="28"/>
        </w:rPr>
        <w:t xml:space="preserve">of emergency response social workers in community-based Family Resource Centers, Sheriff’s offices, Camp Pendleton, and on </w:t>
      </w:r>
      <w:r>
        <w:rPr>
          <w:rFonts w:ascii="Franklin Gothic Book" w:hAnsi="Franklin Gothic Book"/>
          <w:color w:val="auto"/>
          <w:spacing w:val="20"/>
          <w:szCs w:val="28"/>
        </w:rPr>
        <w:t xml:space="preserve">tribal </w:t>
      </w:r>
      <w:r w:rsidRPr="00B85DAB">
        <w:rPr>
          <w:rFonts w:ascii="Franklin Gothic Book" w:hAnsi="Franklin Gothic Book"/>
          <w:color w:val="auto"/>
          <w:spacing w:val="20"/>
          <w:szCs w:val="28"/>
        </w:rPr>
        <w:t>reservations.</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0F797E">
        <w:rPr>
          <w:rFonts w:ascii="Franklin Gothic Book" w:hAnsi="Franklin Gothic Book"/>
          <w:b/>
          <w:color w:val="auto"/>
          <w:spacing w:val="20"/>
          <w:szCs w:val="28"/>
        </w:rPr>
        <w:t>Local Tribes</w:t>
      </w:r>
      <w:r>
        <w:rPr>
          <w:rFonts w:ascii="Franklin Gothic Book" w:hAnsi="Franklin Gothic Book"/>
          <w:color w:val="auto"/>
          <w:spacing w:val="20"/>
          <w:szCs w:val="28"/>
        </w:rPr>
        <w:t>: The  regions have been s</w:t>
      </w:r>
      <w:r w:rsidRPr="00972B80">
        <w:rPr>
          <w:rFonts w:ascii="Franklin Gothic Book" w:hAnsi="Franklin Gothic Book"/>
          <w:color w:val="auto"/>
          <w:spacing w:val="20"/>
          <w:szCs w:val="28"/>
        </w:rPr>
        <w:t xml:space="preserve">trengthens community ties and relationships with </w:t>
      </w:r>
      <w:r w:rsidRPr="00CF0E54">
        <w:rPr>
          <w:rFonts w:ascii="Franklin Gothic Book" w:hAnsi="Franklin Gothic Book"/>
          <w:color w:val="auto"/>
          <w:spacing w:val="20"/>
          <w:szCs w:val="28"/>
        </w:rPr>
        <w:t>local Tribes</w:t>
      </w:r>
      <w:r w:rsidRPr="00972B80">
        <w:rPr>
          <w:rFonts w:ascii="Franklin Gothic Book" w:hAnsi="Franklin Gothic Book"/>
          <w:color w:val="auto"/>
          <w:spacing w:val="20"/>
          <w:szCs w:val="28"/>
        </w:rPr>
        <w:t xml:space="preserve"> through:</w:t>
      </w:r>
    </w:p>
    <w:p w:rsidR="00D86A11" w:rsidRPr="00972B80" w:rsidRDefault="00D86A11" w:rsidP="00D86A11">
      <w:pPr>
        <w:numPr>
          <w:ilvl w:val="1"/>
          <w:numId w:val="16"/>
        </w:numPr>
        <w:spacing w:before="120" w:after="0"/>
        <w:ind w:right="130"/>
        <w:rPr>
          <w:rFonts w:ascii="Franklin Gothic Book" w:hAnsi="Franklin Gothic Book"/>
          <w:color w:val="auto"/>
          <w:spacing w:val="20"/>
          <w:szCs w:val="28"/>
        </w:rPr>
      </w:pPr>
      <w:r w:rsidRPr="00972B80">
        <w:rPr>
          <w:rFonts w:ascii="Franklin Gothic Book" w:hAnsi="Franklin Gothic Book"/>
          <w:color w:val="auto"/>
          <w:spacing w:val="20"/>
          <w:szCs w:val="28"/>
        </w:rPr>
        <w:t xml:space="preserve">A </w:t>
      </w:r>
      <w:r>
        <w:rPr>
          <w:rFonts w:ascii="Franklin Gothic Book" w:hAnsi="Franklin Gothic Book"/>
          <w:color w:val="auto"/>
          <w:spacing w:val="20"/>
          <w:szCs w:val="28"/>
        </w:rPr>
        <w:t>Protocol to</w:t>
      </w:r>
      <w:r w:rsidRPr="00972B80">
        <w:rPr>
          <w:rFonts w:ascii="Franklin Gothic Book" w:hAnsi="Franklin Gothic Book"/>
          <w:color w:val="auto"/>
          <w:spacing w:val="20"/>
          <w:szCs w:val="28"/>
        </w:rPr>
        <w:t xml:space="preserve"> improve collaboration on Child Welfare cases</w:t>
      </w:r>
    </w:p>
    <w:p w:rsidR="00D86A11" w:rsidRPr="006911AD" w:rsidRDefault="00D86A11" w:rsidP="00D86A11">
      <w:pPr>
        <w:numPr>
          <w:ilvl w:val="1"/>
          <w:numId w:val="16"/>
        </w:numPr>
        <w:spacing w:before="120" w:after="0"/>
        <w:ind w:right="130"/>
        <w:rPr>
          <w:rFonts w:ascii="Franklin Gothic Book" w:hAnsi="Franklin Gothic Book"/>
          <w:color w:val="auto"/>
          <w:spacing w:val="20"/>
          <w:szCs w:val="28"/>
        </w:rPr>
      </w:pPr>
      <w:r w:rsidRPr="006911AD">
        <w:rPr>
          <w:rFonts w:ascii="Franklin Gothic Book" w:hAnsi="Franklin Gothic Book"/>
          <w:color w:val="auto"/>
          <w:spacing w:val="20"/>
          <w:szCs w:val="28"/>
        </w:rPr>
        <w:t>Partnering with Tribes and former foster youth to implement “Club 7“, a twice a month support group of Native American Foster youth</w:t>
      </w:r>
    </w:p>
    <w:p w:rsidR="00D86A11" w:rsidRPr="006911AD" w:rsidRDefault="00D86A11" w:rsidP="00D86A11">
      <w:pPr>
        <w:numPr>
          <w:ilvl w:val="1"/>
          <w:numId w:val="16"/>
        </w:numPr>
        <w:spacing w:before="120" w:after="0"/>
        <w:ind w:right="130"/>
        <w:rPr>
          <w:rFonts w:ascii="Franklin Gothic Book" w:hAnsi="Franklin Gothic Book"/>
          <w:color w:val="auto"/>
          <w:spacing w:val="20"/>
          <w:szCs w:val="28"/>
        </w:rPr>
      </w:pPr>
      <w:r w:rsidRPr="006911AD">
        <w:rPr>
          <w:rFonts w:ascii="Franklin Gothic Book" w:hAnsi="Franklin Gothic Book"/>
          <w:color w:val="auto"/>
          <w:spacing w:val="20"/>
          <w:szCs w:val="28"/>
        </w:rPr>
        <w:t>Developing a Child Assessment Center at the Indian Health Council Center in Rincon</w:t>
      </w:r>
    </w:p>
    <w:p w:rsidR="00D86A11" w:rsidRPr="006911AD" w:rsidRDefault="00D86A11" w:rsidP="00D86A11">
      <w:pPr>
        <w:numPr>
          <w:ilvl w:val="1"/>
          <w:numId w:val="16"/>
        </w:numPr>
        <w:spacing w:before="120" w:after="0"/>
        <w:ind w:right="130"/>
        <w:rPr>
          <w:rFonts w:ascii="Franklin Gothic Book" w:hAnsi="Franklin Gothic Book"/>
          <w:color w:val="auto"/>
          <w:spacing w:val="20"/>
          <w:szCs w:val="28"/>
        </w:rPr>
      </w:pPr>
      <w:r w:rsidRPr="006911AD">
        <w:rPr>
          <w:rFonts w:ascii="Franklin Gothic Book" w:hAnsi="Franklin Gothic Book"/>
          <w:color w:val="auto"/>
          <w:spacing w:val="20"/>
          <w:szCs w:val="28"/>
        </w:rPr>
        <w:t>Monthly case consults and Child Protection Team  meetings with Southern Indian Health Council and Indian Health Council</w:t>
      </w:r>
    </w:p>
    <w:p w:rsidR="00D86A11" w:rsidRPr="006911AD" w:rsidRDefault="00D86A11" w:rsidP="00D86A11">
      <w:pPr>
        <w:numPr>
          <w:ilvl w:val="1"/>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 xml:space="preserve">Participating in </w:t>
      </w:r>
      <w:r w:rsidRPr="006911AD">
        <w:rPr>
          <w:rFonts w:ascii="Franklin Gothic Book" w:hAnsi="Franklin Gothic Book"/>
          <w:color w:val="auto"/>
          <w:spacing w:val="20"/>
          <w:szCs w:val="28"/>
        </w:rPr>
        <w:t xml:space="preserve">7th Generation, a Tribal workgroup focused on improving outcomes of foster youth.  </w:t>
      </w:r>
    </w:p>
    <w:p w:rsidR="00D86A11" w:rsidRPr="00D54F5A" w:rsidRDefault="00D86A11" w:rsidP="00D86A11">
      <w:pPr>
        <w:pStyle w:val="Heading2"/>
        <w:rPr>
          <w:color w:val="F6872B"/>
        </w:rPr>
      </w:pPr>
      <w:r w:rsidRPr="00D54F5A">
        <w:rPr>
          <w:color w:val="F6872B"/>
        </w:rPr>
        <w:t>North Central Region</w:t>
      </w:r>
    </w:p>
    <w:p w:rsidR="00D86A11" w:rsidRPr="00BC7BDC" w:rsidRDefault="00D86A11" w:rsidP="00D86A11">
      <w:pPr>
        <w:numPr>
          <w:ilvl w:val="0"/>
          <w:numId w:val="16"/>
        </w:numPr>
        <w:spacing w:before="120" w:after="0"/>
        <w:ind w:right="130"/>
        <w:rPr>
          <w:rFonts w:ascii="Franklin Gothic Book" w:hAnsi="Franklin Gothic Book"/>
          <w:b/>
          <w:color w:val="auto"/>
          <w:spacing w:val="20"/>
          <w:szCs w:val="28"/>
        </w:rPr>
      </w:pPr>
      <w:r w:rsidRPr="00BC7BDC">
        <w:rPr>
          <w:rFonts w:ascii="Franklin Gothic Book" w:hAnsi="Franklin Gothic Book"/>
          <w:b/>
          <w:color w:val="auto"/>
          <w:spacing w:val="20"/>
          <w:szCs w:val="28"/>
        </w:rPr>
        <w:t>Military Families</w:t>
      </w:r>
      <w:r>
        <w:rPr>
          <w:rFonts w:ascii="Franklin Gothic Book" w:hAnsi="Franklin Gothic Book"/>
          <w:b/>
          <w:color w:val="auto"/>
          <w:spacing w:val="20"/>
          <w:szCs w:val="28"/>
        </w:rPr>
        <w:t xml:space="preserve">: </w:t>
      </w:r>
      <w:r>
        <w:rPr>
          <w:rFonts w:ascii="Franklin Gothic Book" w:hAnsi="Franklin Gothic Book"/>
          <w:color w:val="auto"/>
          <w:spacing w:val="20"/>
          <w:szCs w:val="28"/>
        </w:rPr>
        <w:t>The County of San Diego</w:t>
      </w:r>
      <w:r w:rsidRPr="00BC7BDC">
        <w:rPr>
          <w:rFonts w:ascii="Franklin Gothic Book" w:hAnsi="Franklin Gothic Book"/>
          <w:color w:val="auto"/>
          <w:spacing w:val="20"/>
          <w:szCs w:val="28"/>
        </w:rPr>
        <w:t xml:space="preserve"> is a large military county. Geographically the largest portions of our military families are in North Central Region with some in other regions. Because of this, San Diego has policy and agreements with Marine Corps Air Station Miramar and Camp Pendleton about how child abuse investigations will be handled.</w:t>
      </w:r>
    </w:p>
    <w:p w:rsidR="00D86A11" w:rsidRPr="00F509EC" w:rsidRDefault="00D86A11" w:rsidP="00D86A11">
      <w:pPr>
        <w:numPr>
          <w:ilvl w:val="0"/>
          <w:numId w:val="16"/>
        </w:numPr>
        <w:spacing w:before="120" w:after="0"/>
        <w:ind w:right="130"/>
        <w:rPr>
          <w:rFonts w:ascii="Franklin Gothic Book" w:hAnsi="Franklin Gothic Book"/>
          <w:b/>
          <w:color w:val="auto"/>
          <w:spacing w:val="20"/>
          <w:szCs w:val="28"/>
        </w:rPr>
      </w:pPr>
      <w:r w:rsidRPr="00BC7BDC">
        <w:rPr>
          <w:rFonts w:ascii="Franklin Gothic Book" w:hAnsi="Franklin Gothic Book"/>
          <w:b/>
          <w:color w:val="auto"/>
          <w:spacing w:val="20"/>
          <w:szCs w:val="28"/>
        </w:rPr>
        <w:t>Medically Fragile Children</w:t>
      </w:r>
      <w:r>
        <w:rPr>
          <w:rFonts w:ascii="Franklin Gothic Book" w:hAnsi="Franklin Gothic Book"/>
          <w:b/>
          <w:color w:val="auto"/>
          <w:spacing w:val="20"/>
          <w:szCs w:val="28"/>
        </w:rPr>
        <w:t xml:space="preserve">: </w:t>
      </w:r>
      <w:r w:rsidRPr="00D54F5A">
        <w:rPr>
          <w:rFonts w:ascii="Franklin Gothic Book" w:hAnsi="Franklin Gothic Book"/>
          <w:color w:val="auto"/>
          <w:spacing w:val="20"/>
          <w:szCs w:val="28"/>
        </w:rPr>
        <w:t>San Diego has a medically fragile unit that is a part of this region. This unit handles all of the medically fragile children in San Diego. Children identified as medically-fragile, developmentally-delayed, mentally- and/or physically-impaired are considered for assignment to this unit. This includes:</w:t>
      </w:r>
    </w:p>
    <w:p w:rsidR="00D86A11" w:rsidRPr="00F509EC" w:rsidRDefault="00D86A11" w:rsidP="00D86A11">
      <w:pPr>
        <w:numPr>
          <w:ilvl w:val="1"/>
          <w:numId w:val="16"/>
        </w:numPr>
        <w:tabs>
          <w:tab w:val="num" w:pos="1440"/>
        </w:tabs>
        <w:spacing w:before="120" w:after="0"/>
        <w:ind w:right="130"/>
        <w:rPr>
          <w:rFonts w:ascii="Franklin Gothic Book" w:hAnsi="Franklin Gothic Book"/>
          <w:color w:val="auto"/>
          <w:spacing w:val="20"/>
          <w:szCs w:val="28"/>
        </w:rPr>
      </w:pPr>
      <w:r w:rsidRPr="00F509EC">
        <w:rPr>
          <w:rFonts w:ascii="Franklin Gothic Book" w:hAnsi="Franklin Gothic Book"/>
          <w:color w:val="auto"/>
          <w:spacing w:val="20"/>
          <w:szCs w:val="28"/>
        </w:rPr>
        <w:t xml:space="preserve">A child with a serious, ongoing illness or chronic condition requiring prolonged hospitalization and/or ongoing medical treatments and/or monitoring and/or requires the use of devices to compensate for the loss of bodily function </w:t>
      </w:r>
    </w:p>
    <w:p w:rsidR="00D86A11" w:rsidRPr="00F509EC" w:rsidRDefault="00D86A11" w:rsidP="00D86A11">
      <w:pPr>
        <w:numPr>
          <w:ilvl w:val="1"/>
          <w:numId w:val="16"/>
        </w:numPr>
        <w:tabs>
          <w:tab w:val="num" w:pos="1440"/>
        </w:tabs>
        <w:spacing w:before="120" w:after="0"/>
        <w:ind w:right="130"/>
        <w:rPr>
          <w:rFonts w:ascii="Franklin Gothic Book" w:hAnsi="Franklin Gothic Book"/>
          <w:color w:val="auto"/>
          <w:spacing w:val="20"/>
          <w:szCs w:val="28"/>
        </w:rPr>
      </w:pPr>
      <w:r w:rsidRPr="00F509EC">
        <w:rPr>
          <w:rFonts w:ascii="Franklin Gothic Book" w:hAnsi="Franklin Gothic Book"/>
          <w:color w:val="auto"/>
          <w:spacing w:val="20"/>
          <w:szCs w:val="28"/>
        </w:rPr>
        <w:t xml:space="preserve">Any physical or medical impairment or combination of impairments requiring daily medically prescribed therapy or procedures performed by the SCP (e.g., respiratory, bowel or skin treatments, shunt monitoring, burn care, orthopedic braces, percussion, suctioning, OT/PT, medication) </w:t>
      </w:r>
    </w:p>
    <w:p w:rsidR="00D86A11" w:rsidRPr="006D7614" w:rsidRDefault="00D86A11" w:rsidP="00D86A11">
      <w:pPr>
        <w:pStyle w:val="Heading2"/>
        <w:rPr>
          <w:color w:val="F6872B"/>
        </w:rPr>
      </w:pPr>
      <w:r w:rsidRPr="006D7614">
        <w:rPr>
          <w:color w:val="F6872B"/>
        </w:rPr>
        <w:t>South Region</w:t>
      </w:r>
    </w:p>
    <w:p w:rsidR="00D86A11" w:rsidRPr="00E60D86" w:rsidRDefault="00D86A11" w:rsidP="00D86A11">
      <w:pPr>
        <w:numPr>
          <w:ilvl w:val="0"/>
          <w:numId w:val="16"/>
        </w:numPr>
        <w:spacing w:before="120" w:after="0"/>
        <w:ind w:right="130"/>
        <w:rPr>
          <w:rFonts w:ascii="Franklin Gothic Book" w:hAnsi="Franklin Gothic Book"/>
          <w:b/>
          <w:color w:val="auto"/>
          <w:spacing w:val="20"/>
          <w:szCs w:val="28"/>
        </w:rPr>
      </w:pPr>
      <w:r w:rsidRPr="00E60D86">
        <w:rPr>
          <w:rFonts w:ascii="Franklin Gothic Book" w:hAnsi="Franklin Gothic Book"/>
          <w:b/>
          <w:color w:val="auto"/>
          <w:spacing w:val="20"/>
          <w:szCs w:val="28"/>
        </w:rPr>
        <w:lastRenderedPageBreak/>
        <w:t>Neighborhoods for Kids (N4K)</w:t>
      </w:r>
      <w:r>
        <w:rPr>
          <w:rFonts w:ascii="Franklin Gothic Book" w:hAnsi="Franklin Gothic Book"/>
          <w:b/>
          <w:color w:val="auto"/>
          <w:spacing w:val="20"/>
          <w:szCs w:val="28"/>
        </w:rPr>
        <w:t xml:space="preserve">: </w:t>
      </w:r>
      <w:r w:rsidRPr="00E60D86">
        <w:rPr>
          <w:rFonts w:ascii="Franklin Gothic Book" w:hAnsi="Franklin Gothic Book"/>
          <w:color w:val="auto"/>
          <w:spacing w:val="20"/>
          <w:szCs w:val="28"/>
        </w:rPr>
        <w:t xml:space="preserve">N4K strives to keep children that have suffered abuse, neglect or exploitation in safe, familiar placements and in their same school. The goal is to partner with schools and other community groups to align child welfare service delivery with neighborhood boundaries. Social workers work in geographic clusters—creating opportunities to nurture relationships with school personnel, foster parents, service organizations including non-profits, law enforcement, faith-based groups, and other public agencies. These neighborhood-based relationships allow kids to remain in familiar environments—with relatives or family friends, or maintain same school enrollment. </w:t>
      </w:r>
    </w:p>
    <w:p w:rsidR="00D86A11" w:rsidRPr="000C4479" w:rsidRDefault="00D86A11" w:rsidP="00D86A11">
      <w:pPr>
        <w:numPr>
          <w:ilvl w:val="0"/>
          <w:numId w:val="16"/>
        </w:numPr>
        <w:spacing w:before="120" w:after="0"/>
        <w:ind w:right="130"/>
        <w:rPr>
          <w:rFonts w:ascii="Franklin Gothic Book" w:hAnsi="Franklin Gothic Book"/>
          <w:color w:val="auto"/>
          <w:spacing w:val="20"/>
          <w:szCs w:val="28"/>
        </w:rPr>
      </w:pPr>
      <w:r w:rsidRPr="00EF59DB">
        <w:rPr>
          <w:rFonts w:ascii="Franklin Gothic Book" w:hAnsi="Franklin Gothic Book"/>
          <w:b/>
          <w:color w:val="auto"/>
          <w:spacing w:val="20"/>
          <w:szCs w:val="28"/>
        </w:rPr>
        <w:t>Co-locating</w:t>
      </w:r>
      <w:r w:rsidRPr="000C4479">
        <w:rPr>
          <w:rFonts w:ascii="Franklin Gothic Book" w:hAnsi="Franklin Gothic Book"/>
          <w:color w:val="auto"/>
          <w:spacing w:val="20"/>
          <w:szCs w:val="28"/>
        </w:rPr>
        <w:t xml:space="preserve"> PSWs at Chula Vista Community Collaborative Family Resource Centers and Promise Neighborhoods grant project in efforts to engage and work collaboratively with key community partners to ensure improved and coordinated service delivery to youth and families</w:t>
      </w:r>
    </w:p>
    <w:p w:rsidR="00D86A11" w:rsidRPr="00765311" w:rsidRDefault="00D86A11" w:rsidP="00D86A11">
      <w:pPr>
        <w:numPr>
          <w:ilvl w:val="0"/>
          <w:numId w:val="16"/>
        </w:numPr>
        <w:spacing w:before="120" w:after="0"/>
        <w:ind w:right="130"/>
        <w:rPr>
          <w:rFonts w:ascii="Franklin Gothic Book" w:hAnsi="Franklin Gothic Book"/>
          <w:color w:val="auto"/>
          <w:spacing w:val="20"/>
          <w:szCs w:val="28"/>
        </w:rPr>
      </w:pPr>
      <w:r w:rsidRPr="000C4479">
        <w:rPr>
          <w:rFonts w:ascii="Franklin Gothic Book" w:hAnsi="Franklin Gothic Book"/>
          <w:color w:val="auto"/>
          <w:spacing w:val="20"/>
          <w:szCs w:val="28"/>
        </w:rPr>
        <w:t xml:space="preserve">Expanding partnerships with the law enforcement community by co-locating social workers with the </w:t>
      </w:r>
      <w:r w:rsidRPr="00EF59DB">
        <w:rPr>
          <w:rFonts w:ascii="Franklin Gothic Book" w:hAnsi="Franklin Gothic Book"/>
          <w:b/>
          <w:color w:val="auto"/>
          <w:spacing w:val="20"/>
          <w:szCs w:val="28"/>
        </w:rPr>
        <w:t>Chula Vista Police Department (CVPD)</w:t>
      </w:r>
      <w:r w:rsidRPr="000C4479">
        <w:rPr>
          <w:rFonts w:ascii="Franklin Gothic Book" w:hAnsi="Franklin Gothic Book"/>
          <w:color w:val="auto"/>
          <w:spacing w:val="20"/>
          <w:szCs w:val="28"/>
        </w:rPr>
        <w:t xml:space="preserve"> as well as using social worker liaisons with the National City Police Department (NCPD)</w:t>
      </w:r>
      <w:r>
        <w:rPr>
          <w:rFonts w:ascii="Franklin Gothic Book" w:hAnsi="Franklin Gothic Book"/>
          <w:color w:val="auto"/>
          <w:spacing w:val="20"/>
          <w:szCs w:val="28"/>
        </w:rPr>
        <w:t xml:space="preserve">. </w:t>
      </w:r>
      <w:r w:rsidRPr="000C4479">
        <w:rPr>
          <w:rFonts w:ascii="Franklin Gothic Book" w:hAnsi="Franklin Gothic Book"/>
          <w:color w:val="auto"/>
          <w:spacing w:val="20"/>
          <w:szCs w:val="28"/>
        </w:rPr>
        <w:t>South region is currently partnering with CVPD in Smart Policing Grant to work on domestic violence prevention in west side of Chula Vista.</w:t>
      </w:r>
    </w:p>
    <w:p w:rsidR="00D86A11" w:rsidRPr="000602BA" w:rsidRDefault="00D86A11" w:rsidP="00D86A11">
      <w:pPr>
        <w:pStyle w:val="Heading2"/>
        <w:rPr>
          <w:color w:val="F6872B"/>
        </w:rPr>
      </w:pPr>
      <w:r w:rsidRPr="000602BA">
        <w:rPr>
          <w:color w:val="F6872B"/>
        </w:rPr>
        <w:t>Coordination between CWS and Probation</w:t>
      </w:r>
    </w:p>
    <w:p w:rsidR="00D86A11" w:rsidRPr="006D7614" w:rsidRDefault="00D86A11" w:rsidP="00D86A11">
      <w:pPr>
        <w:pStyle w:val="Heading3"/>
        <w:spacing w:line="276" w:lineRule="auto"/>
        <w:rPr>
          <w:b w:val="0"/>
          <w:color w:val="auto"/>
          <w:sz w:val="22"/>
        </w:rPr>
      </w:pPr>
      <w:r>
        <w:rPr>
          <w:b w:val="0"/>
          <w:color w:val="auto"/>
          <w:sz w:val="22"/>
        </w:rPr>
        <w:t>The County of San Diego</w:t>
      </w:r>
      <w:r w:rsidRPr="006D7614">
        <w:rPr>
          <w:b w:val="0"/>
          <w:color w:val="auto"/>
          <w:sz w:val="22"/>
        </w:rPr>
        <w:t xml:space="preserve"> Probation and Child Welfare Services collaborate on several efforts in order to better serve the foster care population. Among the efforts are programs such as the </w:t>
      </w:r>
      <w:r>
        <w:rPr>
          <w:b w:val="0"/>
          <w:color w:val="auto"/>
          <w:sz w:val="22"/>
        </w:rPr>
        <w:t>Crossover Youth Practice Model (CYPM)</w:t>
      </w:r>
      <w:r w:rsidRPr="006D7614">
        <w:rPr>
          <w:b w:val="0"/>
          <w:color w:val="auto"/>
          <w:sz w:val="22"/>
        </w:rPr>
        <w:t xml:space="preserve">, wraparound, and the inclusion of a </w:t>
      </w:r>
      <w:r>
        <w:rPr>
          <w:b w:val="0"/>
          <w:color w:val="auto"/>
          <w:sz w:val="22"/>
        </w:rPr>
        <w:t>p</w:t>
      </w:r>
      <w:r w:rsidRPr="006D7614">
        <w:rPr>
          <w:b w:val="0"/>
          <w:color w:val="auto"/>
          <w:sz w:val="22"/>
        </w:rPr>
        <w:t xml:space="preserve">robation </w:t>
      </w:r>
      <w:r>
        <w:rPr>
          <w:b w:val="0"/>
          <w:color w:val="auto"/>
          <w:sz w:val="22"/>
        </w:rPr>
        <w:t>o</w:t>
      </w:r>
      <w:r w:rsidRPr="006D7614">
        <w:rPr>
          <w:b w:val="0"/>
          <w:color w:val="auto"/>
          <w:sz w:val="22"/>
        </w:rPr>
        <w:t>fficer in CWS to serve the Independent Living Skills needs of probation foster youth. Additionally, collaboration exists in the areas of education, services for transitional aged youth and the procurement of services through contracting. The Probation Department and CWS have a signed Memorandum of Agreement and meet quarterly</w:t>
      </w:r>
      <w:r>
        <w:rPr>
          <w:b w:val="0"/>
          <w:color w:val="auto"/>
          <w:sz w:val="22"/>
        </w:rPr>
        <w:t xml:space="preserve">, or </w:t>
      </w:r>
      <w:r w:rsidRPr="006D7614">
        <w:rPr>
          <w:b w:val="0"/>
          <w:color w:val="auto"/>
          <w:sz w:val="22"/>
        </w:rPr>
        <w:t>as needed</w:t>
      </w:r>
      <w:r>
        <w:rPr>
          <w:b w:val="0"/>
          <w:color w:val="auto"/>
          <w:sz w:val="22"/>
        </w:rPr>
        <w:t>,</w:t>
      </w:r>
      <w:r w:rsidRPr="006D7614">
        <w:rPr>
          <w:b w:val="0"/>
          <w:color w:val="auto"/>
          <w:sz w:val="22"/>
        </w:rPr>
        <w:t xml:space="preserve"> in order to meet the needs of children in </w:t>
      </w:r>
      <w:r>
        <w:rPr>
          <w:b w:val="0"/>
          <w:color w:val="auto"/>
          <w:sz w:val="22"/>
        </w:rPr>
        <w:t>the County of San Diego</w:t>
      </w:r>
      <w:r w:rsidRPr="006D7614">
        <w:rPr>
          <w:b w:val="0"/>
          <w:color w:val="auto"/>
          <w:sz w:val="22"/>
        </w:rPr>
        <w:t>.</w:t>
      </w:r>
    </w:p>
    <w:p w:rsidR="00D86A11" w:rsidRDefault="00121985" w:rsidP="00D86A11">
      <w:pPr>
        <w:pStyle w:val="Heading3"/>
        <w:spacing w:line="276" w:lineRule="auto"/>
        <w:rPr>
          <w:b w:val="0"/>
          <w:color w:val="auto"/>
          <w:sz w:val="22"/>
        </w:rPr>
      </w:pPr>
      <w:r w:rsidRPr="00121985">
        <w:rPr>
          <w:b w:val="0"/>
          <w:color w:val="auto"/>
          <w:sz w:val="22"/>
        </w:rPr>
        <w:t xml:space="preserve">Both CWS and Probation utilize FY-SIS, the Foster Youth Student Information System which houses information from the schools, the court, CWS and Probation. The FY-SIS computer database stores demographic, health and education information. It is accessible in varying levels to different entities. FY-SIS allows each entity to have pertinent information readily available to ensure timely school enrollment, transfer of records and ongoing educational success. Social workers and probation officers can also check a child’s attendance and grades, allowing for timely follow up with the minor. </w:t>
      </w:r>
    </w:p>
    <w:p w:rsidR="00D86A11" w:rsidRDefault="00121985" w:rsidP="00D86A11">
      <w:pPr>
        <w:pStyle w:val="Heading3"/>
        <w:spacing w:line="276" w:lineRule="auto"/>
        <w:rPr>
          <w:b w:val="0"/>
          <w:color w:val="auto"/>
          <w:sz w:val="22"/>
        </w:rPr>
      </w:pPr>
      <w:r w:rsidRPr="00121985">
        <w:rPr>
          <w:b w:val="0"/>
          <w:color w:val="auto"/>
          <w:sz w:val="22"/>
        </w:rPr>
        <w:t xml:space="preserve">An additional collaboration is the Interagency Agreement. This agreement is between CWS, Probation, 42 school districts, the court, the attorneys for parents and children, and Voices for Children/ CASA program. The agreement establishes responsibilities for educational mandates by agency. It also provides document examples and where to locate the appropriate information. The agreement </w:t>
      </w:r>
      <w:r w:rsidRPr="00121985">
        <w:rPr>
          <w:b w:val="0"/>
          <w:color w:val="auto"/>
          <w:sz w:val="22"/>
        </w:rPr>
        <w:lastRenderedPageBreak/>
        <w:t>establishes procedures for the implementation of education related law at the local level.</w:t>
      </w:r>
    </w:p>
    <w:p w:rsidR="00D86A11" w:rsidRPr="000602BA" w:rsidRDefault="00D86A11" w:rsidP="00D86A11">
      <w:pPr>
        <w:pStyle w:val="Heading2"/>
        <w:rPr>
          <w:color w:val="F6872B"/>
        </w:rPr>
      </w:pPr>
      <w:r>
        <w:rPr>
          <w:color w:val="F6872B"/>
        </w:rPr>
        <w:t>County of San Diego</w:t>
      </w:r>
      <w:r w:rsidRPr="000602BA">
        <w:rPr>
          <w:color w:val="F6872B"/>
        </w:rPr>
        <w:t xml:space="preserve"> Probation Agency Collaboration</w:t>
      </w:r>
    </w:p>
    <w:p w:rsidR="00D86A11" w:rsidRPr="009662FC" w:rsidRDefault="00D86A11" w:rsidP="00D86A11">
      <w:pPr>
        <w:pStyle w:val="Heading3"/>
        <w:spacing w:line="276" w:lineRule="auto"/>
        <w:rPr>
          <w:b w:val="0"/>
          <w:color w:val="auto"/>
          <w:sz w:val="22"/>
        </w:rPr>
      </w:pPr>
      <w:r>
        <w:rPr>
          <w:b w:val="0"/>
          <w:color w:val="auto"/>
          <w:sz w:val="22"/>
        </w:rPr>
        <w:t>County of San Diego</w:t>
      </w:r>
      <w:r w:rsidRPr="009662FC">
        <w:rPr>
          <w:b w:val="0"/>
          <w:color w:val="auto"/>
          <w:sz w:val="22"/>
        </w:rPr>
        <w:t xml:space="preserve"> Probation collaborates with several community based agencies to provide resources for at risk youth and their families in the community. </w:t>
      </w:r>
    </w:p>
    <w:p w:rsidR="00D86A11" w:rsidRPr="00B564CD" w:rsidRDefault="00D86A11" w:rsidP="00D86A11">
      <w:pPr>
        <w:numPr>
          <w:ilvl w:val="0"/>
          <w:numId w:val="16"/>
        </w:numPr>
        <w:spacing w:before="120" w:after="0"/>
        <w:ind w:right="130"/>
        <w:rPr>
          <w:rFonts w:ascii="Franklin Gothic Book" w:hAnsi="Franklin Gothic Book"/>
          <w:b/>
          <w:color w:val="auto"/>
          <w:spacing w:val="20"/>
          <w:szCs w:val="28"/>
        </w:rPr>
      </w:pPr>
      <w:r w:rsidRPr="00B564CD">
        <w:rPr>
          <w:rFonts w:ascii="Franklin Gothic Book" w:hAnsi="Franklin Gothic Book"/>
          <w:b/>
          <w:color w:val="auto"/>
          <w:spacing w:val="20"/>
          <w:szCs w:val="28"/>
        </w:rPr>
        <w:t xml:space="preserve">Wraparound Services: </w:t>
      </w:r>
      <w:r w:rsidRPr="00B564CD">
        <w:rPr>
          <w:rFonts w:ascii="Franklin Gothic Book" w:hAnsi="Franklin Gothic Book"/>
          <w:color w:val="auto"/>
          <w:spacing w:val="20"/>
          <w:szCs w:val="28"/>
        </w:rPr>
        <w:t xml:space="preserve">Behavioral Health Services </w:t>
      </w:r>
      <w:r>
        <w:rPr>
          <w:rFonts w:ascii="Franklin Gothic Book" w:hAnsi="Franklin Gothic Book"/>
          <w:color w:val="auto"/>
          <w:spacing w:val="20"/>
          <w:szCs w:val="28"/>
        </w:rPr>
        <w:t>(BHS) currently contracts with three</w:t>
      </w:r>
      <w:r w:rsidRPr="00B564CD">
        <w:rPr>
          <w:rFonts w:ascii="Franklin Gothic Book" w:hAnsi="Franklin Gothic Book"/>
          <w:color w:val="auto"/>
          <w:spacing w:val="20"/>
          <w:szCs w:val="28"/>
        </w:rPr>
        <w:t xml:space="preserve"> agencies: Families Forward, Fred Finch and San Diego Center for Children for delivery of Wraparound services for Probation youth. These providers offer team based, family driven care that works on increasing natural supports and strengthening interpersonal relationships in support of youth and their families.</w:t>
      </w:r>
      <w:r w:rsidRPr="00B564CD">
        <w:rPr>
          <w:rFonts w:ascii="Franklin Gothic Book" w:hAnsi="Franklin Gothic Book"/>
          <w:b/>
          <w:color w:val="auto"/>
          <w:spacing w:val="20"/>
          <w:szCs w:val="28"/>
        </w:rPr>
        <w:t xml:space="preserve"> </w:t>
      </w:r>
    </w:p>
    <w:p w:rsidR="00D86A11" w:rsidRPr="00B564CD" w:rsidRDefault="00D86A11" w:rsidP="00D86A11">
      <w:pPr>
        <w:numPr>
          <w:ilvl w:val="0"/>
          <w:numId w:val="16"/>
        </w:numPr>
        <w:spacing w:before="120" w:after="0"/>
        <w:ind w:right="130"/>
        <w:rPr>
          <w:rFonts w:ascii="Franklin Gothic Book" w:hAnsi="Franklin Gothic Book"/>
          <w:b/>
          <w:color w:val="auto"/>
          <w:spacing w:val="20"/>
          <w:szCs w:val="28"/>
        </w:rPr>
      </w:pPr>
      <w:r w:rsidRPr="00B564CD">
        <w:rPr>
          <w:rFonts w:ascii="Franklin Gothic Book" w:hAnsi="Franklin Gothic Book"/>
          <w:b/>
          <w:color w:val="auto"/>
          <w:spacing w:val="20"/>
          <w:szCs w:val="28"/>
        </w:rPr>
        <w:t xml:space="preserve">Nurture Girls Success (CA/WINGS): </w:t>
      </w:r>
      <w:r w:rsidRPr="00B564CD">
        <w:rPr>
          <w:rFonts w:ascii="Franklin Gothic Book" w:hAnsi="Franklin Gothic Book"/>
          <w:color w:val="auto"/>
          <w:spacing w:val="20"/>
          <w:szCs w:val="28"/>
        </w:rPr>
        <w:t>The CA/WINGS team is a community-based prevention and intervention program designed to provide services to families with school-age youth, ages six through 17, who have chronic behavior problems or other issues (i.e. chaotic home life, inadequate parental supervision) that place them at risk of entering or continuing in the Juvenile Justice system. Home-based in five locations throughout the county, mobile teams provide in-home, strength based assessments, interventions, referrals and case management services for eligible families.</w:t>
      </w:r>
      <w:r w:rsidR="00E86E6C">
        <w:rPr>
          <w:rFonts w:ascii="Franklin Gothic Book" w:hAnsi="Franklin Gothic Book"/>
          <w:color w:val="auto"/>
          <w:spacing w:val="20"/>
          <w:szCs w:val="28"/>
        </w:rPr>
        <w:t xml:space="preserve"> </w:t>
      </w:r>
    </w:p>
    <w:p w:rsidR="00D86A11" w:rsidRPr="00B564CD" w:rsidRDefault="00D86A11" w:rsidP="00D86A11">
      <w:pPr>
        <w:numPr>
          <w:ilvl w:val="0"/>
          <w:numId w:val="16"/>
        </w:numPr>
        <w:spacing w:before="120" w:after="0"/>
        <w:ind w:right="130"/>
        <w:rPr>
          <w:rFonts w:ascii="Franklin Gothic Book" w:hAnsi="Franklin Gothic Book"/>
          <w:color w:val="auto"/>
          <w:spacing w:val="20"/>
          <w:szCs w:val="28"/>
        </w:rPr>
      </w:pPr>
      <w:r w:rsidRPr="00B564CD">
        <w:rPr>
          <w:rFonts w:ascii="Franklin Gothic Book" w:hAnsi="Franklin Gothic Book"/>
          <w:b/>
          <w:color w:val="auto"/>
          <w:spacing w:val="20"/>
          <w:szCs w:val="28"/>
        </w:rPr>
        <w:t xml:space="preserve">STAR/PAL: </w:t>
      </w:r>
      <w:r w:rsidRPr="00B564CD">
        <w:rPr>
          <w:rFonts w:ascii="Franklin Gothic Book" w:hAnsi="Franklin Gothic Book"/>
          <w:color w:val="auto"/>
          <w:spacing w:val="20"/>
          <w:szCs w:val="28"/>
        </w:rPr>
        <w:t xml:space="preserve">The San Diego Police Department’s Sports Training Academic and Recreation (STAR) program and the county’s Police Athletic League (PAL) merged into major activities-oriented program to benefit the community. STAR/PAL’s focus is on providing recreational and literacy services and opportunities to youth and their families throughout </w:t>
      </w:r>
      <w:r>
        <w:rPr>
          <w:rFonts w:ascii="Franklin Gothic Book" w:hAnsi="Franklin Gothic Book"/>
          <w:color w:val="auto"/>
          <w:spacing w:val="20"/>
          <w:szCs w:val="28"/>
        </w:rPr>
        <w:t>the County of San Diego</w:t>
      </w:r>
      <w:r w:rsidRPr="00B564CD">
        <w:rPr>
          <w:rFonts w:ascii="Franklin Gothic Book" w:hAnsi="Franklin Gothic Book"/>
          <w:color w:val="auto"/>
          <w:spacing w:val="20"/>
          <w:szCs w:val="28"/>
        </w:rPr>
        <w:t xml:space="preserve">. </w:t>
      </w:r>
    </w:p>
    <w:p w:rsidR="00D86A11" w:rsidRPr="00B564CD" w:rsidRDefault="00D86A11" w:rsidP="00D86A11">
      <w:pPr>
        <w:numPr>
          <w:ilvl w:val="0"/>
          <w:numId w:val="16"/>
        </w:numPr>
        <w:spacing w:before="120" w:after="0"/>
        <w:ind w:right="130"/>
        <w:rPr>
          <w:rFonts w:ascii="Franklin Gothic Book" w:hAnsi="Franklin Gothic Book"/>
          <w:color w:val="auto"/>
          <w:spacing w:val="20"/>
          <w:szCs w:val="28"/>
        </w:rPr>
      </w:pPr>
      <w:r w:rsidRPr="00B564CD">
        <w:rPr>
          <w:rFonts w:ascii="Franklin Gothic Book" w:hAnsi="Franklin Gothic Book"/>
          <w:b/>
          <w:color w:val="auto"/>
          <w:spacing w:val="20"/>
          <w:szCs w:val="28"/>
        </w:rPr>
        <w:t xml:space="preserve">Teen Women and Their Children (WATCh): </w:t>
      </w:r>
      <w:r w:rsidRPr="00B564CD">
        <w:rPr>
          <w:rFonts w:ascii="Franklin Gothic Book" w:hAnsi="Franklin Gothic Book"/>
          <w:color w:val="auto"/>
          <w:spacing w:val="20"/>
          <w:szCs w:val="28"/>
        </w:rPr>
        <w:t>Teen WATCh is a program for teens who are substance abusers and pregnant. This is a collaboration between Probation, schools, social services and community agencies to provide education, counseling, substance abuse treatment and parenting education.</w:t>
      </w:r>
    </w:p>
    <w:p w:rsidR="00D86A11" w:rsidRDefault="00D86A11" w:rsidP="00D86A11">
      <w:pPr>
        <w:numPr>
          <w:ilvl w:val="0"/>
          <w:numId w:val="16"/>
        </w:numPr>
        <w:spacing w:before="120" w:after="0"/>
        <w:ind w:right="130"/>
        <w:rPr>
          <w:rFonts w:ascii="Franklin Gothic Book" w:hAnsi="Franklin Gothic Book"/>
          <w:b/>
          <w:color w:val="auto"/>
          <w:spacing w:val="20"/>
          <w:szCs w:val="28"/>
        </w:rPr>
      </w:pPr>
      <w:r w:rsidRPr="00B564CD">
        <w:rPr>
          <w:rFonts w:ascii="Franklin Gothic Book" w:hAnsi="Franklin Gothic Book"/>
          <w:b/>
          <w:color w:val="auto"/>
          <w:spacing w:val="20"/>
          <w:szCs w:val="28"/>
        </w:rPr>
        <w:t xml:space="preserve">Reflections: </w:t>
      </w:r>
      <w:r w:rsidRPr="00B564CD">
        <w:rPr>
          <w:rFonts w:ascii="Franklin Gothic Book" w:hAnsi="Franklin Gothic Book"/>
          <w:color w:val="auto"/>
          <w:spacing w:val="20"/>
          <w:szCs w:val="28"/>
        </w:rPr>
        <w:t>Reflections is a collaboration between Probation, Children’s Mental Health Services, the County Office of Education and</w:t>
      </w:r>
      <w:r w:rsidR="005D3430">
        <w:rPr>
          <w:rFonts w:ascii="Franklin Gothic Book" w:hAnsi="Franklin Gothic Book"/>
          <w:color w:val="auto"/>
          <w:spacing w:val="20"/>
          <w:szCs w:val="28"/>
        </w:rPr>
        <w:t xml:space="preserve"> community based organizations. </w:t>
      </w:r>
      <w:r w:rsidRPr="00B564CD">
        <w:rPr>
          <w:rFonts w:ascii="Franklin Gothic Book" w:hAnsi="Franklin Gothic Book"/>
          <w:color w:val="auto"/>
          <w:spacing w:val="20"/>
          <w:szCs w:val="28"/>
        </w:rPr>
        <w:t xml:space="preserve">It serves as an alternative to out-of-home residential treatment facility placement. </w:t>
      </w:r>
      <w:r w:rsidR="005D3430">
        <w:rPr>
          <w:rFonts w:ascii="Franklin Gothic Book" w:hAnsi="Franklin Gothic Book"/>
          <w:color w:val="auto"/>
          <w:spacing w:val="20"/>
          <w:szCs w:val="28"/>
        </w:rPr>
        <w:t>A</w:t>
      </w:r>
      <w:r w:rsidRPr="00B564CD">
        <w:rPr>
          <w:rFonts w:ascii="Franklin Gothic Book" w:hAnsi="Franklin Gothic Book"/>
          <w:color w:val="auto"/>
          <w:spacing w:val="20"/>
          <w:szCs w:val="28"/>
        </w:rPr>
        <w:t>dolescent offenders who have an Axis I mental health diagnosis and are in need of a structured day-treatment program with extensive counseling, education, mental health and family therapy as well as other intervention when needed</w:t>
      </w:r>
      <w:r w:rsidR="005D3430">
        <w:rPr>
          <w:rFonts w:ascii="Franklin Gothic Book" w:hAnsi="Franklin Gothic Book"/>
          <w:color w:val="auto"/>
          <w:spacing w:val="20"/>
          <w:szCs w:val="28"/>
        </w:rPr>
        <w:t xml:space="preserve"> are the target population for this service</w:t>
      </w:r>
      <w:r w:rsidRPr="00B564CD">
        <w:rPr>
          <w:rFonts w:ascii="Franklin Gothic Book" w:hAnsi="Franklin Gothic Book"/>
          <w:color w:val="auto"/>
          <w:spacing w:val="20"/>
          <w:szCs w:val="28"/>
        </w:rPr>
        <w:t>.</w:t>
      </w:r>
      <w:r w:rsidRPr="00B564CD">
        <w:rPr>
          <w:rFonts w:ascii="Franklin Gothic Book" w:hAnsi="Franklin Gothic Book"/>
          <w:b/>
          <w:color w:val="auto"/>
          <w:spacing w:val="20"/>
          <w:szCs w:val="28"/>
        </w:rPr>
        <w:t xml:space="preserve"> </w:t>
      </w:r>
    </w:p>
    <w:p w:rsidR="00D86A11" w:rsidRPr="00191C26"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b/>
          <w:color w:val="auto"/>
          <w:spacing w:val="20"/>
          <w:szCs w:val="28"/>
        </w:rPr>
        <w:t xml:space="preserve">Juvenile Drug Court: </w:t>
      </w:r>
      <w:r w:rsidRPr="00191C26">
        <w:rPr>
          <w:rFonts w:ascii="Franklin Gothic Book" w:hAnsi="Franklin Gothic Book"/>
          <w:color w:val="auto"/>
          <w:spacing w:val="20"/>
          <w:szCs w:val="28"/>
        </w:rPr>
        <w:t xml:space="preserve">Drug Court is a collaborative court program for youth with substance use needs.  This program is collaboration between Probation, the Juvenile Court, the District Attorney’s Office, the Public Defender’s Office, and several community providers. The program focuses </w:t>
      </w:r>
      <w:r w:rsidRPr="00191C26">
        <w:rPr>
          <w:rFonts w:ascii="Franklin Gothic Book" w:hAnsi="Franklin Gothic Book"/>
          <w:color w:val="auto"/>
          <w:spacing w:val="20"/>
          <w:szCs w:val="28"/>
        </w:rPr>
        <w:lastRenderedPageBreak/>
        <w:t>on intensive substance abuse treatment and probation supervision, with frequent court appearances, random drug testing, and individual, group and family counseling.</w:t>
      </w:r>
    </w:p>
    <w:p w:rsidR="009C037E" w:rsidRPr="00DB43C7" w:rsidRDefault="00D86A11" w:rsidP="00DB43C7">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b/>
          <w:color w:val="auto"/>
          <w:spacing w:val="20"/>
          <w:szCs w:val="28"/>
        </w:rPr>
        <w:t xml:space="preserve">Forensic Assistance for Stabilization and Treatment of Juvenile Offenders (J-FAST): </w:t>
      </w:r>
      <w:r w:rsidRPr="00DB43C7">
        <w:rPr>
          <w:rFonts w:ascii="Franklin Gothic Book" w:hAnsi="Franklin Gothic Book"/>
          <w:color w:val="auto"/>
          <w:spacing w:val="20"/>
          <w:szCs w:val="28"/>
        </w:rPr>
        <w:t>JFAST is a collaborative court program for youth with mental health needs.  This program is a collaboration between Probation, the Juvenile Court, the Health and Human Services Agency/Behavioral Health Services, the District Attorney’s Office, the Public Defender’s Office, and several community agencies and wraparound providers.  The goal of the program is to support recovery for mentally ill youth by providing access to individualized treatment and strengthening family stability.</w:t>
      </w:r>
      <w:r w:rsidR="00E86E6C" w:rsidRPr="00DB43C7">
        <w:rPr>
          <w:rFonts w:ascii="Franklin Gothic Book" w:hAnsi="Franklin Gothic Book"/>
          <w:color w:val="auto"/>
          <w:spacing w:val="20"/>
          <w:szCs w:val="28"/>
        </w:rPr>
        <w:t xml:space="preserve"> </w:t>
      </w:r>
    </w:p>
    <w:p w:rsidR="000B1863" w:rsidRPr="00DB43C7" w:rsidRDefault="00F1013C" w:rsidP="00DB43C7">
      <w:pPr>
        <w:pStyle w:val="Heading3"/>
        <w:spacing w:line="276" w:lineRule="auto"/>
        <w:rPr>
          <w:b w:val="0"/>
          <w:color w:val="auto"/>
          <w:sz w:val="22"/>
        </w:rPr>
      </w:pPr>
      <w:r w:rsidRPr="00DB43C7">
        <w:rPr>
          <w:b w:val="0"/>
          <w:color w:val="auto"/>
          <w:sz w:val="22"/>
        </w:rPr>
        <w:t>The above mentioned programs, with the exception of Wrap-Around come un</w:t>
      </w:r>
      <w:r w:rsidR="009C037E" w:rsidRPr="00DB43C7">
        <w:rPr>
          <w:b w:val="0"/>
          <w:color w:val="auto"/>
          <w:sz w:val="22"/>
        </w:rPr>
        <w:t>d</w:t>
      </w:r>
      <w:r w:rsidRPr="00DB43C7">
        <w:rPr>
          <w:b w:val="0"/>
          <w:color w:val="auto"/>
          <w:sz w:val="22"/>
        </w:rPr>
        <w:t>er the oversight of the Juvenile Justice Commission (JJC), which allows for continued stakeholder involvement, oversight, and voice in various juvenile justice collaborative programs. Through a partnership between the County of San Diego Board of Supervisors and The Children's Initiative, San Diego County became one of the first national sites to plan, develop and implement the United States Justice Department's Office of Juvenile Justice and Delinquency Prevention "Comprehensive Strategy." This model, bringing together diverse disciplines, is used to coordinate and enhance efforts that address juvenile delinquency and promote positive development of youth. Both the process and the product represent one of the first times a collaboration of this scale and diversity has occurred in San Diego County, or in the nation, on behalf of Juvenile Justice. The Children's Initiative continues to serve as principle coordinator for sustaining the Comprehensive Strategy partnerships and its implementation.</w:t>
      </w:r>
    </w:p>
    <w:p w:rsidR="000B1863" w:rsidRPr="00DB43C7" w:rsidRDefault="00E86E6C" w:rsidP="00DB43C7">
      <w:pPr>
        <w:pStyle w:val="Heading3"/>
        <w:spacing w:line="276" w:lineRule="auto"/>
        <w:rPr>
          <w:b w:val="0"/>
          <w:color w:val="auto"/>
          <w:sz w:val="22"/>
        </w:rPr>
      </w:pPr>
      <w:r w:rsidRPr="00DB43C7">
        <w:rPr>
          <w:b w:val="0"/>
          <w:color w:val="auto"/>
          <w:sz w:val="22"/>
        </w:rPr>
        <w:t>The "Comprehensive Multi-Agency Juvenile Justice Plan," developed in conjunction with the Juvenile Justice Coordinating Council, was approved by the San Diego County Board of Supervisors. It has resulted in an award from the State Board of Corrections of more than $10 million to sustain programs, identify gaps in services, and create services for at-risk youth. These services address a variety of issues, including drug and alcohol abuse, gang involvement and truancy.</w:t>
      </w:r>
    </w:p>
    <w:p w:rsidR="000B1863" w:rsidRPr="00DB43C7" w:rsidRDefault="00422A16" w:rsidP="00DB43C7">
      <w:pPr>
        <w:pStyle w:val="Heading3"/>
        <w:spacing w:line="276" w:lineRule="auto"/>
        <w:rPr>
          <w:b w:val="0"/>
          <w:color w:val="auto"/>
          <w:sz w:val="22"/>
        </w:rPr>
      </w:pPr>
      <w:r w:rsidRPr="00DB43C7">
        <w:rPr>
          <w:b w:val="0"/>
          <w:color w:val="auto"/>
          <w:sz w:val="22"/>
        </w:rPr>
        <w:t xml:space="preserve">This model is based on an understanding that Community Based Organizations (CBO's) provide a critical link between the County's Probation Department and justice involved youth and their families.  With a focus on prevention and education, CBO partners have helped to ensure that offenders and their families exit the system with the tools they need to continue to lead productive lives free of crime, drugs, and gangs.  It is essential that CBOs are provided an independent forum where they can convey their thoughts and ideas to not only their partners in the juvenile justice community, but also to Probation staff. Therefore in 1996 The Children's Initiative created the Juvenile Justice Comprehensive Strategy Task Force (JJCSTF) as a forum for communication between all juvenile justice stakeholders. The JJCSTF provides feedback to the County and the Board of Supervisors to ensure that the core principles and values of the Comprehensive </w:t>
      </w:r>
      <w:r w:rsidRPr="00DB43C7">
        <w:rPr>
          <w:b w:val="0"/>
          <w:color w:val="auto"/>
          <w:sz w:val="22"/>
        </w:rPr>
        <w:lastRenderedPageBreak/>
        <w:t xml:space="preserve">Strategy remain embedded in services that San Diego County provides for at-risk youth and that the County continues to make progress in steering at-risk children away from a life of crime. </w:t>
      </w:r>
    </w:p>
    <w:p w:rsidR="00E86E6C" w:rsidRDefault="00422A16" w:rsidP="00DB43C7">
      <w:pPr>
        <w:pStyle w:val="Heading3"/>
        <w:spacing w:line="276" w:lineRule="auto"/>
        <w:rPr>
          <w:b w:val="0"/>
          <w:color w:val="auto"/>
          <w:sz w:val="22"/>
        </w:rPr>
      </w:pPr>
      <w:r w:rsidRPr="00DB43C7">
        <w:rPr>
          <w:b w:val="0"/>
          <w:color w:val="auto"/>
          <w:sz w:val="22"/>
        </w:rPr>
        <w:t>The JJC and the JJCSTF convene on a quarterly basis, providing a community-wide venue for the review and discussion of San Diego County juvenile justice programming, to include, successes, needs, barriers, and solutions.  This model has proven to be successful in allowing for continued and on-going stakeholder, system, and community input and voice.</w:t>
      </w:r>
    </w:p>
    <w:p w:rsidR="00290637" w:rsidRDefault="00290637" w:rsidP="00290637"/>
    <w:p w:rsidR="00290637" w:rsidRPr="00290637" w:rsidRDefault="00290637" w:rsidP="00290637"/>
    <w:p w:rsidR="00D86A11" w:rsidRPr="00765311" w:rsidRDefault="00D86A11" w:rsidP="00D86A11">
      <w:pPr>
        <w:pStyle w:val="Heading1"/>
        <w:rPr>
          <w:color w:val="013161"/>
        </w:rPr>
      </w:pPr>
      <w:r w:rsidRPr="000602BA">
        <w:rPr>
          <w:color w:val="013161"/>
        </w:rPr>
        <w:t>6. Service Array</w:t>
      </w:r>
    </w:p>
    <w:p w:rsidR="00D86A11" w:rsidRPr="00F41041" w:rsidRDefault="00D86A11" w:rsidP="00D86A11">
      <w:pPr>
        <w:pStyle w:val="Heading3"/>
        <w:spacing w:line="276" w:lineRule="auto"/>
        <w:rPr>
          <w:b w:val="0"/>
          <w:color w:val="auto"/>
          <w:sz w:val="22"/>
        </w:rPr>
      </w:pPr>
      <w:r w:rsidRPr="00F41041">
        <w:rPr>
          <w:b w:val="0"/>
          <w:color w:val="auto"/>
          <w:sz w:val="22"/>
        </w:rPr>
        <w:t xml:space="preserve">This section describes the County’s prevention and intervention activities and includes an overview of the scope and adequacy of funded </w:t>
      </w:r>
      <w:r w:rsidR="00290637" w:rsidRPr="00F41041">
        <w:rPr>
          <w:b w:val="0"/>
          <w:color w:val="auto"/>
          <w:sz w:val="22"/>
        </w:rPr>
        <w:t>programs.</w:t>
      </w:r>
      <w:r w:rsidR="00290637">
        <w:rPr>
          <w:b w:val="0"/>
          <w:color w:val="auto"/>
          <w:sz w:val="22"/>
        </w:rPr>
        <w:t xml:space="preserve"> The</w:t>
      </w:r>
      <w:r>
        <w:rPr>
          <w:b w:val="0"/>
          <w:color w:val="auto"/>
          <w:sz w:val="22"/>
        </w:rPr>
        <w:t xml:space="preserve"> County of San Diego</w:t>
      </w:r>
      <w:r w:rsidRPr="00F41041">
        <w:rPr>
          <w:b w:val="0"/>
          <w:color w:val="auto"/>
          <w:sz w:val="22"/>
        </w:rPr>
        <w:t xml:space="preserve"> community-based agencies play a critical role in prevention-focused programs. </w:t>
      </w:r>
    </w:p>
    <w:p w:rsidR="00D86A11" w:rsidRDefault="00D86A11" w:rsidP="00290637">
      <w:pPr>
        <w:pStyle w:val="Heading3"/>
        <w:spacing w:line="276" w:lineRule="auto"/>
        <w:rPr>
          <w:b w:val="0"/>
          <w:color w:val="auto"/>
          <w:sz w:val="22"/>
        </w:rPr>
      </w:pPr>
      <w:r w:rsidRPr="00F41041">
        <w:rPr>
          <w:b w:val="0"/>
          <w:color w:val="auto"/>
          <w:sz w:val="22"/>
        </w:rPr>
        <w:t xml:space="preserve">According to the most complete directory of San Diego services (211 San Diego), there are over 1,659 programs that serve basic needs, 4,692 that serve health care, 917 for income support and employment, and 3,393 programs for individual and family life services. Many of these services are nonprofit organizations that the County partners with to accomplish mutual goals. </w:t>
      </w:r>
    </w:p>
    <w:p w:rsidR="000F4B85" w:rsidRPr="00290637" w:rsidRDefault="000F4B85" w:rsidP="00290637">
      <w:pPr>
        <w:pStyle w:val="Heading3"/>
        <w:spacing w:line="276" w:lineRule="auto"/>
        <w:rPr>
          <w:b w:val="0"/>
          <w:color w:val="auto"/>
          <w:sz w:val="22"/>
        </w:rPr>
      </w:pPr>
      <w:r w:rsidRPr="00290637">
        <w:rPr>
          <w:b w:val="0"/>
          <w:color w:val="auto"/>
          <w:sz w:val="22"/>
        </w:rPr>
        <w:t>When there are service gaps, CWS will assess the need for that service.  If there is a need the service will be developed and established; sometimes piloting in a region or program. For example, there is an existing Parent Partners program but there seems to be a need for father partners so that idea and need will be further explored.</w:t>
      </w:r>
    </w:p>
    <w:p w:rsidR="00D86A11" w:rsidRPr="00486880" w:rsidRDefault="00D86A11" w:rsidP="00D86A11">
      <w:pPr>
        <w:pStyle w:val="Heading2"/>
        <w:rPr>
          <w:color w:val="F6872B"/>
        </w:rPr>
      </w:pPr>
      <w:r w:rsidRPr="00486880">
        <w:rPr>
          <w:color w:val="F6872B"/>
        </w:rPr>
        <w:t>Community Services for Families (CSF)</w:t>
      </w:r>
    </w:p>
    <w:p w:rsidR="00D86A11" w:rsidRPr="00AD2CEF" w:rsidRDefault="00D86A11" w:rsidP="00D86A11">
      <w:pPr>
        <w:pStyle w:val="Heading3"/>
        <w:spacing w:line="276" w:lineRule="auto"/>
        <w:rPr>
          <w:b w:val="0"/>
          <w:color w:val="auto"/>
          <w:sz w:val="22"/>
        </w:rPr>
      </w:pPr>
      <w:r w:rsidRPr="00AD2CEF">
        <w:rPr>
          <w:b w:val="0"/>
          <w:color w:val="auto"/>
          <w:sz w:val="22"/>
        </w:rPr>
        <w:t>The largest countywide prevention and intervention efforts funded by the County’s CAPIT/CBCAP/PSSF funds are included in the variety of services provided through the CSF program. CSF provides a continuum of family support services that includes services for families that will prevent their entry into the child welfare services system, or ensure that children receiving child welfare services are able to live in safe, permanent families and maintain their connections</w:t>
      </w:r>
      <w:r>
        <w:rPr>
          <w:b w:val="0"/>
          <w:color w:val="auto"/>
          <w:sz w:val="22"/>
        </w:rPr>
        <w:t xml:space="preserve"> to their school and community. </w:t>
      </w:r>
      <w:r w:rsidRPr="00AD2CEF">
        <w:rPr>
          <w:b w:val="0"/>
          <w:color w:val="auto"/>
          <w:sz w:val="22"/>
        </w:rPr>
        <w:t>CSF provides the following levels of services:</w:t>
      </w:r>
    </w:p>
    <w:p w:rsidR="00D86A11" w:rsidRPr="00AD2CEF" w:rsidRDefault="00D86A11" w:rsidP="00D86A11">
      <w:pPr>
        <w:numPr>
          <w:ilvl w:val="0"/>
          <w:numId w:val="16"/>
        </w:numPr>
        <w:spacing w:before="120" w:after="0"/>
        <w:ind w:right="130"/>
        <w:rPr>
          <w:rFonts w:ascii="Franklin Gothic Book" w:hAnsi="Franklin Gothic Book"/>
          <w:color w:val="auto"/>
          <w:spacing w:val="20"/>
          <w:szCs w:val="28"/>
        </w:rPr>
      </w:pPr>
      <w:r w:rsidRPr="00AD2CEF">
        <w:rPr>
          <w:rFonts w:ascii="Franklin Gothic Book" w:hAnsi="Franklin Gothic Book"/>
          <w:color w:val="auto"/>
          <w:spacing w:val="20"/>
          <w:szCs w:val="28"/>
        </w:rPr>
        <w:t>Family Preservation services that assist children and families to resolve crisis, connect with necessary and appropriate services, and remain safely together in their homes.</w:t>
      </w:r>
    </w:p>
    <w:p w:rsidR="00D86A11" w:rsidRPr="00F21223" w:rsidRDefault="00D86A11" w:rsidP="00D86A11">
      <w:pPr>
        <w:numPr>
          <w:ilvl w:val="0"/>
          <w:numId w:val="16"/>
        </w:numPr>
        <w:spacing w:before="120" w:after="0"/>
        <w:ind w:right="130"/>
        <w:rPr>
          <w:rFonts w:ascii="Franklin Gothic Book" w:hAnsi="Franklin Gothic Book"/>
          <w:color w:val="auto"/>
          <w:spacing w:val="20"/>
          <w:szCs w:val="28"/>
        </w:rPr>
      </w:pPr>
      <w:r w:rsidRPr="00F21223">
        <w:rPr>
          <w:rFonts w:ascii="Franklin Gothic Book" w:hAnsi="Franklin Gothic Book"/>
          <w:color w:val="auto"/>
          <w:spacing w:val="20"/>
          <w:szCs w:val="28"/>
        </w:rPr>
        <w:t xml:space="preserve">Family Support services enhance parents’ ability to create stable and nurturing home environments that promote healthy child development, avoid unnecessary out-of-home placement of children and help children </w:t>
      </w:r>
      <w:r w:rsidRPr="00F21223">
        <w:rPr>
          <w:rFonts w:ascii="Franklin Gothic Book" w:hAnsi="Franklin Gothic Book"/>
          <w:color w:val="auto"/>
          <w:spacing w:val="20"/>
          <w:szCs w:val="28"/>
        </w:rPr>
        <w:lastRenderedPageBreak/>
        <w:t xml:space="preserve">already in out-of-home care to be returned to and be maintained with their families. </w:t>
      </w:r>
    </w:p>
    <w:p w:rsidR="00D86A11" w:rsidRPr="00AD2CEF" w:rsidRDefault="00D86A11" w:rsidP="00D86A11">
      <w:pPr>
        <w:numPr>
          <w:ilvl w:val="0"/>
          <w:numId w:val="16"/>
        </w:numPr>
        <w:spacing w:before="120" w:after="0"/>
        <w:ind w:right="130"/>
        <w:rPr>
          <w:rFonts w:ascii="Franklin Gothic Book" w:hAnsi="Franklin Gothic Book"/>
          <w:color w:val="auto"/>
          <w:spacing w:val="20"/>
          <w:szCs w:val="28"/>
        </w:rPr>
      </w:pPr>
      <w:r w:rsidRPr="00AD2CEF">
        <w:rPr>
          <w:rFonts w:ascii="Franklin Gothic Book" w:hAnsi="Franklin Gothic Book"/>
          <w:color w:val="auto"/>
          <w:spacing w:val="20"/>
          <w:szCs w:val="28"/>
        </w:rPr>
        <w:t>Reunification services address the problems of families whose children have been placed in out-of-home care so that reunification may occur in a safe and stable manner in accordance with the Adoptions and Safe Families Act of 1997.</w:t>
      </w:r>
    </w:p>
    <w:p w:rsidR="00D86A11" w:rsidRPr="003C4CC6" w:rsidRDefault="00D86A11" w:rsidP="00D86A11">
      <w:pPr>
        <w:pStyle w:val="Heading3"/>
        <w:spacing w:line="276" w:lineRule="auto"/>
        <w:rPr>
          <w:b w:val="0"/>
          <w:color w:val="auto"/>
          <w:sz w:val="22"/>
        </w:rPr>
      </w:pPr>
      <w:r w:rsidRPr="003C4CC6">
        <w:rPr>
          <w:b w:val="0"/>
          <w:color w:val="auto"/>
          <w:sz w:val="22"/>
        </w:rPr>
        <w:t>In FY 14/15 approximately 1,495 families receive</w:t>
      </w:r>
      <w:r>
        <w:rPr>
          <w:b w:val="0"/>
          <w:color w:val="auto"/>
          <w:sz w:val="22"/>
        </w:rPr>
        <w:t>d</w:t>
      </w:r>
      <w:r w:rsidRPr="003C4CC6">
        <w:rPr>
          <w:b w:val="0"/>
          <w:color w:val="auto"/>
          <w:sz w:val="22"/>
        </w:rPr>
        <w:t xml:space="preserve"> case management, 976 parents completed education services and, 346 </w:t>
      </w:r>
      <w:r>
        <w:rPr>
          <w:b w:val="0"/>
          <w:color w:val="auto"/>
          <w:sz w:val="22"/>
        </w:rPr>
        <w:t>p</w:t>
      </w:r>
      <w:r w:rsidRPr="003C4CC6">
        <w:rPr>
          <w:b w:val="0"/>
          <w:color w:val="auto"/>
          <w:sz w:val="22"/>
        </w:rPr>
        <w:t xml:space="preserve">arents worked with a Parent Partner with many more families referred to other services. </w:t>
      </w:r>
    </w:p>
    <w:p w:rsidR="00D86A11" w:rsidRPr="003C4CC6" w:rsidRDefault="00D86A11" w:rsidP="00D86A11">
      <w:pPr>
        <w:pStyle w:val="Heading3"/>
        <w:spacing w:line="276" w:lineRule="auto"/>
        <w:rPr>
          <w:b w:val="0"/>
          <w:color w:val="auto"/>
          <w:sz w:val="22"/>
        </w:rPr>
      </w:pPr>
      <w:r w:rsidRPr="00530D19">
        <w:rPr>
          <w:b w:val="0"/>
          <w:color w:val="auto"/>
          <w:sz w:val="22"/>
        </w:rPr>
        <w:t>CSF services are offered countywide through a combination of CWS, community and self-referrals. Families either receive services directly from the contracted agencies or they are referred to more appropriate services that are funded through a collaborative network of community-based service providers. Referrals made by CWS social workers are based on the SDM risk assessment and Family Services</w:t>
      </w:r>
      <w:r>
        <w:rPr>
          <w:b w:val="0"/>
          <w:color w:val="auto"/>
          <w:sz w:val="22"/>
        </w:rPr>
        <w:t xml:space="preserve"> Needs Assessment (FSNA). </w:t>
      </w:r>
      <w:r w:rsidRPr="003C4CC6">
        <w:rPr>
          <w:b w:val="0"/>
          <w:color w:val="auto"/>
          <w:sz w:val="22"/>
        </w:rPr>
        <w:t xml:space="preserve">The following four Community Services for Families contractors provide services across the six HHSA service regions: </w:t>
      </w:r>
    </w:p>
    <w:p w:rsidR="00D86A11" w:rsidRPr="003C4CC6" w:rsidRDefault="00D86A11" w:rsidP="00D86A11">
      <w:pPr>
        <w:numPr>
          <w:ilvl w:val="0"/>
          <w:numId w:val="16"/>
        </w:numPr>
        <w:spacing w:before="120" w:after="0"/>
        <w:ind w:right="130"/>
        <w:rPr>
          <w:rFonts w:ascii="Franklin Gothic Book" w:hAnsi="Franklin Gothic Book"/>
          <w:color w:val="auto"/>
          <w:spacing w:val="20"/>
          <w:szCs w:val="28"/>
        </w:rPr>
      </w:pPr>
      <w:r w:rsidRPr="003C4CC6">
        <w:rPr>
          <w:rFonts w:ascii="Franklin Gothic Book" w:hAnsi="Franklin Gothic Book"/>
          <w:color w:val="auto"/>
          <w:spacing w:val="20"/>
          <w:szCs w:val="28"/>
        </w:rPr>
        <w:t>South Bay Community Services – South Region</w:t>
      </w:r>
    </w:p>
    <w:p w:rsidR="00D86A11" w:rsidRPr="003C4CC6" w:rsidRDefault="00D86A11" w:rsidP="00D86A11">
      <w:pPr>
        <w:numPr>
          <w:ilvl w:val="0"/>
          <w:numId w:val="16"/>
        </w:numPr>
        <w:spacing w:before="120" w:after="0"/>
        <w:ind w:right="130"/>
        <w:rPr>
          <w:rFonts w:ascii="Franklin Gothic Book" w:hAnsi="Franklin Gothic Book"/>
          <w:color w:val="auto"/>
          <w:spacing w:val="20"/>
          <w:szCs w:val="28"/>
        </w:rPr>
      </w:pPr>
      <w:r w:rsidRPr="003C4CC6">
        <w:rPr>
          <w:rFonts w:ascii="Franklin Gothic Book" w:hAnsi="Franklin Gothic Book"/>
          <w:color w:val="auto"/>
          <w:spacing w:val="20"/>
          <w:szCs w:val="28"/>
        </w:rPr>
        <w:t>North County Lifeline – North Coastal and North Inland Regions</w:t>
      </w:r>
    </w:p>
    <w:p w:rsidR="00D86A11" w:rsidRPr="003C4CC6" w:rsidRDefault="00D86A11" w:rsidP="00D86A11">
      <w:pPr>
        <w:numPr>
          <w:ilvl w:val="0"/>
          <w:numId w:val="16"/>
        </w:numPr>
        <w:spacing w:before="120" w:after="0"/>
        <w:ind w:right="130"/>
        <w:rPr>
          <w:rFonts w:ascii="Franklin Gothic Book" w:hAnsi="Franklin Gothic Book"/>
          <w:color w:val="auto"/>
          <w:spacing w:val="20"/>
          <w:szCs w:val="28"/>
        </w:rPr>
      </w:pPr>
      <w:r w:rsidRPr="003C4CC6">
        <w:rPr>
          <w:rFonts w:ascii="Franklin Gothic Book" w:hAnsi="Franklin Gothic Book"/>
          <w:color w:val="auto"/>
          <w:spacing w:val="20"/>
          <w:szCs w:val="28"/>
        </w:rPr>
        <w:t>Social Advocates for Youth – North Central and Central Regions</w:t>
      </w:r>
    </w:p>
    <w:p w:rsidR="00D86A11" w:rsidRPr="003C4CC6" w:rsidRDefault="00D86A11" w:rsidP="00D86A11">
      <w:pPr>
        <w:numPr>
          <w:ilvl w:val="0"/>
          <w:numId w:val="16"/>
        </w:numPr>
        <w:spacing w:before="120" w:after="0"/>
        <w:ind w:right="130"/>
        <w:rPr>
          <w:rFonts w:ascii="Franklin Gothic Book" w:hAnsi="Franklin Gothic Book"/>
          <w:color w:val="auto"/>
          <w:spacing w:val="20"/>
          <w:szCs w:val="28"/>
        </w:rPr>
      </w:pPr>
      <w:r w:rsidRPr="003C4CC6">
        <w:rPr>
          <w:rFonts w:ascii="Franklin Gothic Book" w:hAnsi="Franklin Gothic Book"/>
          <w:color w:val="auto"/>
          <w:spacing w:val="20"/>
          <w:szCs w:val="28"/>
        </w:rPr>
        <w:t>Home Start – East Region</w:t>
      </w:r>
    </w:p>
    <w:p w:rsidR="00D86A11" w:rsidRPr="00F21223" w:rsidRDefault="00D86A11" w:rsidP="00D86A11">
      <w:pPr>
        <w:pStyle w:val="Heading3"/>
        <w:spacing w:line="276" w:lineRule="auto"/>
        <w:rPr>
          <w:b w:val="0"/>
          <w:color w:val="auto"/>
          <w:sz w:val="22"/>
        </w:rPr>
      </w:pPr>
      <w:r w:rsidRPr="00F21223">
        <w:rPr>
          <w:b w:val="0"/>
          <w:color w:val="auto"/>
          <w:sz w:val="22"/>
        </w:rPr>
        <w:t>The key service components of CSF include:</w:t>
      </w:r>
    </w:p>
    <w:p w:rsidR="00D86A11" w:rsidRPr="00C450B8" w:rsidRDefault="00D86A11" w:rsidP="00D86A11">
      <w:pPr>
        <w:numPr>
          <w:ilvl w:val="0"/>
          <w:numId w:val="16"/>
        </w:numPr>
        <w:spacing w:before="120" w:after="0"/>
        <w:ind w:right="130"/>
        <w:rPr>
          <w:rFonts w:ascii="Franklin Gothic Book" w:hAnsi="Franklin Gothic Book"/>
          <w:color w:val="auto"/>
          <w:spacing w:val="20"/>
          <w:szCs w:val="28"/>
        </w:rPr>
      </w:pPr>
      <w:r w:rsidRPr="00C450B8">
        <w:rPr>
          <w:rFonts w:ascii="Franklin Gothic Book" w:hAnsi="Franklin Gothic Book"/>
          <w:color w:val="auto"/>
          <w:spacing w:val="20"/>
          <w:szCs w:val="28"/>
        </w:rPr>
        <w:t>Case management services utilizing a family strengths participation approach;</w:t>
      </w:r>
    </w:p>
    <w:p w:rsidR="00D86A11" w:rsidRPr="00F21223" w:rsidRDefault="00D86A11" w:rsidP="00D86A11">
      <w:pPr>
        <w:numPr>
          <w:ilvl w:val="0"/>
          <w:numId w:val="16"/>
        </w:numPr>
        <w:spacing w:before="120" w:after="0"/>
        <w:ind w:right="130"/>
        <w:rPr>
          <w:rFonts w:ascii="Franklin Gothic Book" w:hAnsi="Franklin Gothic Book"/>
          <w:color w:val="auto"/>
          <w:spacing w:val="20"/>
          <w:szCs w:val="28"/>
        </w:rPr>
      </w:pPr>
      <w:r w:rsidRPr="00F21223">
        <w:rPr>
          <w:rFonts w:ascii="Franklin Gothic Book" w:hAnsi="Franklin Gothic Book"/>
          <w:color w:val="auto"/>
          <w:spacing w:val="20"/>
          <w:szCs w:val="28"/>
        </w:rPr>
        <w:t>In-home individualized parenting training using SafeCare, an evidence-based model that focuses on bonding, skill training, home safety/cleanliness training, health care, communication and problem solving;</w:t>
      </w:r>
    </w:p>
    <w:p w:rsidR="00D86A11" w:rsidRPr="00C450B8" w:rsidRDefault="00D86A11" w:rsidP="00D86A11">
      <w:pPr>
        <w:numPr>
          <w:ilvl w:val="0"/>
          <w:numId w:val="16"/>
        </w:numPr>
        <w:spacing w:before="120" w:after="0"/>
        <w:ind w:right="130"/>
        <w:rPr>
          <w:rFonts w:ascii="Franklin Gothic Book" w:hAnsi="Franklin Gothic Book"/>
          <w:color w:val="auto"/>
          <w:spacing w:val="20"/>
          <w:szCs w:val="28"/>
        </w:rPr>
      </w:pPr>
      <w:r w:rsidRPr="00C450B8">
        <w:rPr>
          <w:rFonts w:ascii="Franklin Gothic Book" w:hAnsi="Franklin Gothic Book"/>
          <w:color w:val="auto"/>
          <w:spacing w:val="20"/>
          <w:szCs w:val="28"/>
        </w:rPr>
        <w:t>Parenting education in a classroom setting using Systematic Training for Effective Parenting (STEP) curriculum;</w:t>
      </w:r>
    </w:p>
    <w:p w:rsidR="00D86A11" w:rsidRPr="00F21223" w:rsidRDefault="00D86A11" w:rsidP="00D86A11">
      <w:pPr>
        <w:numPr>
          <w:ilvl w:val="0"/>
          <w:numId w:val="16"/>
        </w:numPr>
        <w:spacing w:before="120" w:after="0"/>
        <w:ind w:right="130"/>
        <w:rPr>
          <w:rFonts w:ascii="Franklin Gothic Book" w:hAnsi="Franklin Gothic Book"/>
          <w:color w:val="auto"/>
          <w:spacing w:val="20"/>
          <w:szCs w:val="28"/>
        </w:rPr>
      </w:pPr>
      <w:r w:rsidRPr="00F21223">
        <w:rPr>
          <w:rFonts w:ascii="Franklin Gothic Book" w:hAnsi="Franklin Gothic Book"/>
          <w:color w:val="auto"/>
          <w:spacing w:val="20"/>
          <w:szCs w:val="28"/>
        </w:rPr>
        <w:t>Parent Partners, former CWS clients, who support and guide current CWS parents through the child welfare process; and</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C450B8">
        <w:rPr>
          <w:rFonts w:ascii="Franklin Gothic Book" w:hAnsi="Franklin Gothic Book"/>
          <w:color w:val="auto"/>
          <w:spacing w:val="20"/>
          <w:szCs w:val="28"/>
        </w:rPr>
        <w:t>Other supportive services, including referrals to community resources, support groups, individual therapy, emergency funds, and specialized services for foster and kinship families.</w:t>
      </w:r>
    </w:p>
    <w:p w:rsidR="00D86A11" w:rsidRPr="00EE5FEA" w:rsidRDefault="00D86A11" w:rsidP="00D86A11">
      <w:pPr>
        <w:pStyle w:val="Heading3"/>
        <w:spacing w:line="276" w:lineRule="auto"/>
        <w:rPr>
          <w:b w:val="0"/>
          <w:color w:val="auto"/>
          <w:sz w:val="22"/>
          <w:szCs w:val="22"/>
        </w:rPr>
      </w:pPr>
      <w:r w:rsidRPr="00A348C0">
        <w:rPr>
          <w:b w:val="0"/>
          <w:color w:val="auto"/>
          <w:sz w:val="22"/>
        </w:rPr>
        <w:t>It is hard to know the direct impact of the CSF contracts on the federal and state measures because there are multiple factors</w:t>
      </w:r>
      <w:r w:rsidRPr="00A348C0">
        <w:rPr>
          <w:b w:val="0"/>
          <w:color w:val="auto"/>
          <w:szCs w:val="28"/>
        </w:rPr>
        <w:t xml:space="preserve"> </w:t>
      </w:r>
      <w:r w:rsidRPr="00EE5FEA">
        <w:rPr>
          <w:b w:val="0"/>
          <w:color w:val="auto"/>
          <w:sz w:val="22"/>
          <w:szCs w:val="22"/>
        </w:rPr>
        <w:t>at play. The belief is that these are valuable services to the families we serve.</w:t>
      </w:r>
    </w:p>
    <w:p w:rsidR="00D86A11" w:rsidRPr="00F21223" w:rsidRDefault="00D86A11" w:rsidP="00D86A11">
      <w:pPr>
        <w:spacing w:before="120"/>
        <w:rPr>
          <w:rFonts w:ascii="Franklin Gothic Book" w:hAnsi="Franklin Gothic Book"/>
          <w:color w:val="auto"/>
          <w:spacing w:val="20"/>
          <w:szCs w:val="28"/>
        </w:rPr>
      </w:pPr>
      <w:r w:rsidRPr="00F21223">
        <w:rPr>
          <w:rFonts w:ascii="Franklin Gothic Book" w:hAnsi="Franklin Gothic Book"/>
          <w:color w:val="auto"/>
          <w:spacing w:val="20"/>
          <w:szCs w:val="28"/>
        </w:rPr>
        <w:lastRenderedPageBreak/>
        <w:t>The CSF outcomes include requirements to assess each member of the families served for health insurance eligibility and to assist eligible individuals with completing the application process through Certified Application Assistants</w:t>
      </w:r>
      <w:r>
        <w:rPr>
          <w:rFonts w:ascii="Franklin Gothic Book" w:hAnsi="Franklin Gothic Book"/>
          <w:color w:val="auto"/>
          <w:spacing w:val="20"/>
          <w:szCs w:val="28"/>
        </w:rPr>
        <w:t xml:space="preserve">. </w:t>
      </w:r>
      <w:r w:rsidRPr="00F21223">
        <w:rPr>
          <w:rFonts w:ascii="Franklin Gothic Book" w:hAnsi="Franklin Gothic Book"/>
          <w:color w:val="auto"/>
          <w:spacing w:val="20"/>
          <w:szCs w:val="28"/>
        </w:rPr>
        <w:t>CSF outcomes also include ensuring that children have a family medical home and immunizations are either started or are brought current for the child’s age</w:t>
      </w:r>
      <w:r>
        <w:rPr>
          <w:rFonts w:ascii="Franklin Gothic Book" w:hAnsi="Franklin Gothic Book"/>
          <w:color w:val="auto"/>
          <w:spacing w:val="20"/>
          <w:szCs w:val="28"/>
        </w:rPr>
        <w:t>. I</w:t>
      </w:r>
      <w:r w:rsidRPr="00F21223">
        <w:rPr>
          <w:rFonts w:ascii="Franklin Gothic Book" w:hAnsi="Franklin Gothic Book"/>
          <w:color w:val="auto"/>
          <w:spacing w:val="20"/>
          <w:szCs w:val="28"/>
        </w:rPr>
        <w:t>n FY 14/15</w:t>
      </w:r>
      <w:r>
        <w:rPr>
          <w:rFonts w:ascii="Franklin Gothic Book" w:hAnsi="Franklin Gothic Book"/>
          <w:color w:val="auto"/>
          <w:spacing w:val="20"/>
          <w:szCs w:val="28"/>
        </w:rPr>
        <w:t>,</w:t>
      </w:r>
      <w:r w:rsidRPr="00F21223">
        <w:rPr>
          <w:rFonts w:ascii="Franklin Gothic Book" w:hAnsi="Franklin Gothic Book"/>
          <w:color w:val="auto"/>
          <w:spacing w:val="20"/>
          <w:szCs w:val="28"/>
        </w:rPr>
        <w:t>122 Families received help with their applications for medical service to establish their medical home and immunizations for their children</w:t>
      </w:r>
      <w:r>
        <w:rPr>
          <w:rFonts w:ascii="Franklin Gothic Book" w:hAnsi="Franklin Gothic Book"/>
          <w:color w:val="auto"/>
          <w:spacing w:val="20"/>
          <w:szCs w:val="28"/>
        </w:rPr>
        <w:t xml:space="preserve">. </w:t>
      </w:r>
      <w:r w:rsidRPr="00F21223">
        <w:rPr>
          <w:rFonts w:ascii="Franklin Gothic Book" w:hAnsi="Franklin Gothic Book"/>
          <w:color w:val="auto"/>
          <w:spacing w:val="20"/>
          <w:szCs w:val="28"/>
        </w:rPr>
        <w:t>1,127 Families received information on Nutrition and childhood obesity and assistanc</w:t>
      </w:r>
      <w:r>
        <w:rPr>
          <w:rFonts w:ascii="Franklin Gothic Book" w:hAnsi="Franklin Gothic Book"/>
          <w:color w:val="auto"/>
          <w:spacing w:val="20"/>
          <w:szCs w:val="28"/>
        </w:rPr>
        <w:t>e in applying for CalFresh</w:t>
      </w:r>
      <w:r w:rsidRPr="00F21223">
        <w:rPr>
          <w:rFonts w:ascii="Franklin Gothic Book" w:hAnsi="Franklin Gothic Book"/>
          <w:color w:val="auto"/>
          <w:spacing w:val="20"/>
          <w:szCs w:val="28"/>
        </w:rPr>
        <w:t>.</w:t>
      </w:r>
    </w:p>
    <w:p w:rsidR="00D86A11" w:rsidRPr="00486880" w:rsidRDefault="00D86A11" w:rsidP="00D86A11">
      <w:pPr>
        <w:pStyle w:val="Heading2"/>
        <w:rPr>
          <w:color w:val="F6872B"/>
        </w:rPr>
      </w:pPr>
      <w:r w:rsidRPr="00486880">
        <w:rPr>
          <w:color w:val="F6872B"/>
        </w:rPr>
        <w:t>Parent Partners</w:t>
      </w:r>
    </w:p>
    <w:p w:rsidR="00D86A11" w:rsidRPr="00530D19" w:rsidRDefault="00D86A11" w:rsidP="00D86A11">
      <w:pPr>
        <w:pStyle w:val="Heading3"/>
        <w:spacing w:line="276" w:lineRule="auto"/>
        <w:rPr>
          <w:b w:val="0"/>
          <w:color w:val="auto"/>
          <w:sz w:val="22"/>
        </w:rPr>
      </w:pPr>
      <w:r w:rsidRPr="00530D19">
        <w:rPr>
          <w:b w:val="0"/>
          <w:color w:val="auto"/>
          <w:sz w:val="22"/>
        </w:rPr>
        <w:t>The Parent Partners service is a unique component of the program. Parent Partners are birth parents who have been involved with CWS and were successfully reunified with their children. As a result of their journey through the child welfare and Dependency Court systems, they possess a unique perspective and can provide guidance by sharing their experiences and lessons learned. The Parent Partners provide educational and support</w:t>
      </w:r>
      <w:r>
        <w:rPr>
          <w:b w:val="0"/>
          <w:color w:val="auto"/>
          <w:sz w:val="22"/>
        </w:rPr>
        <w:t>ive</w:t>
      </w:r>
      <w:r w:rsidRPr="00530D19">
        <w:rPr>
          <w:b w:val="0"/>
          <w:color w:val="auto"/>
          <w:sz w:val="22"/>
        </w:rPr>
        <w:t xml:space="preserve"> services to parents with a CWS case plan which include the following activities:</w:t>
      </w:r>
    </w:p>
    <w:p w:rsidR="00D86A11" w:rsidRPr="00F21223" w:rsidRDefault="00763E81" w:rsidP="00D86A11">
      <w:pPr>
        <w:numPr>
          <w:ilvl w:val="0"/>
          <w:numId w:val="16"/>
        </w:numPr>
        <w:spacing w:before="120" w:after="0"/>
        <w:ind w:right="130"/>
        <w:rPr>
          <w:rFonts w:ascii="Franklin Gothic Book" w:hAnsi="Franklin Gothic Book"/>
          <w:color w:val="auto"/>
          <w:spacing w:val="20"/>
          <w:szCs w:val="28"/>
        </w:rPr>
      </w:pPr>
      <w:r>
        <w:rPr>
          <w:noProof/>
        </w:rPr>
        <mc:AlternateContent>
          <mc:Choice Requires="wps">
            <w:drawing>
              <wp:anchor distT="91440" distB="91440" distL="114300" distR="114300" simplePos="0" relativeHeight="251725824" behindDoc="0" locked="0" layoutInCell="0" allowOverlap="1">
                <wp:simplePos x="0" y="0"/>
                <wp:positionH relativeFrom="margin">
                  <wp:posOffset>3615690</wp:posOffset>
                </wp:positionH>
                <wp:positionV relativeFrom="margin">
                  <wp:posOffset>693420</wp:posOffset>
                </wp:positionV>
                <wp:extent cx="2306320" cy="2062480"/>
                <wp:effectExtent l="0" t="0" r="60960" b="33020"/>
                <wp:wrapSquare wrapText="bothSides"/>
                <wp:docPr id="26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06320" cy="2062480"/>
                        </a:xfrm>
                        <a:prstGeom prst="rect">
                          <a:avLst/>
                        </a:prstGeom>
                        <a:solidFill>
                          <a:srgbClr val="EAF1DD"/>
                        </a:solidFill>
                        <a:ln w="19050">
                          <a:solidFill>
                            <a:srgbClr val="7F7F7F"/>
                          </a:solidFill>
                          <a:miter lim="800000"/>
                          <a:headEnd/>
                          <a:tailEnd/>
                        </a:ln>
                        <a:effectLst>
                          <a:outerShdw dist="38100" dir="2700000" sx="100500" sy="100500" algn="tl" rotWithShape="0">
                            <a:srgbClr val="000000">
                              <a:alpha val="39999"/>
                            </a:srgbClr>
                          </a:outerShdw>
                        </a:effectLst>
                      </wps:spPr>
                      <wps:txbx>
                        <w:txbxContent>
                          <w:p w:rsidR="009103E6" w:rsidRPr="000B56BB" w:rsidRDefault="009103E6">
                            <w:pPr>
                              <w:rPr>
                                <w:color w:val="17365D"/>
                                <w:sz w:val="28"/>
                                <w:szCs w:val="28"/>
                              </w:rPr>
                            </w:pPr>
                            <w:r w:rsidRPr="000B56BB">
                              <w:rPr>
                                <w:color w:val="17365D"/>
                                <w:sz w:val="28"/>
                                <w:szCs w:val="28"/>
                              </w:rPr>
                              <w:t>CSA stakeholders identified Parent Partners as an important support and resource to support families from prevention to aftercare services</w:t>
                            </w:r>
                          </w:p>
                        </w:txbxContent>
                      </wps:txbx>
                      <wps:bodyPr rot="0" vert="horz" wrap="square" lIns="274320" tIns="274320" rIns="274320" bIns="274320" anchor="ctr" anchorCtr="0" upright="1">
                        <a:noAutofit/>
                      </wps:bodyPr>
                    </wps:wsp>
                  </a:graphicData>
                </a:graphic>
                <wp14:sizeRelH relativeFrom="margin">
                  <wp14:pctWidth>40000</wp14:pctWidth>
                </wp14:sizeRelH>
                <wp14:sizeRelV relativeFrom="page">
                  <wp14:pctHeight>0</wp14:pctHeight>
                </wp14:sizeRelV>
              </wp:anchor>
            </w:drawing>
          </mc:Choice>
          <mc:Fallback>
            <w:pict>
              <v:rect id="Rectangle 90" o:spid="_x0000_s1071" style="position:absolute;left:0;text-align:left;margin-left:284.7pt;margin-top:54.6pt;width:181.6pt;height:162.4pt;flip:x;z-index:25172582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" o:allowincell="f" fillcolor="#eaf1dd" strokecolor="#7f7f7f" strokeweight="1.5pt">
                <v:shadow on="t" type="perspective" color="black" opacity="26213f" origin="-.5,-.5" offset=".74836mm,.74836mm" matrix="65864f,,,65864f"/>
                <v:textbox inset="21.6pt,21.6pt,21.6pt,21.6pt">
                  <w:txbxContent>
                    <w:p w:rsidR="009103E6" w:rsidRPr="000B56BB" w:rsidRDefault="009103E6">
                      <w:pPr>
                        <w:rPr>
                          <w:color w:val="17365D"/>
                          <w:sz w:val="28"/>
                          <w:szCs w:val="28"/>
                        </w:rPr>
                      </w:pPr>
                      <w:r w:rsidRPr="000B56BB">
                        <w:rPr>
                          <w:color w:val="17365D"/>
                          <w:sz w:val="28"/>
                          <w:szCs w:val="28"/>
                        </w:rPr>
                        <w:t>CSA stakeholders identified Parent Partners as an important support and resource to support families from prevention to aftercare services</w:t>
                      </w:r>
                    </w:p>
                  </w:txbxContent>
                </v:textbox>
                <w10:wrap type="square" anchorx="margin" anchory="margin"/>
              </v:rect>
            </w:pict>
          </mc:Fallback>
        </mc:AlternateContent>
      </w:r>
      <w:r w:rsidR="000E1EB5">
        <w:rPr>
          <w:rFonts w:ascii="Franklin Gothic Book" w:hAnsi="Franklin Gothic Book"/>
          <w:color w:val="auto"/>
          <w:spacing w:val="20"/>
          <w:szCs w:val="28"/>
        </w:rPr>
        <w:t>m</w:t>
      </w:r>
      <w:r w:rsidR="00D86A11" w:rsidRPr="00F21223">
        <w:rPr>
          <w:rFonts w:ascii="Franklin Gothic Book" w:hAnsi="Franklin Gothic Book"/>
          <w:color w:val="auto"/>
          <w:spacing w:val="20"/>
          <w:szCs w:val="28"/>
        </w:rPr>
        <w:t>eet with dependency and voluntary parents to encourage early engagement in services needed to meet their CWS Case Plan objectives (refer at case opening);</w:t>
      </w:r>
    </w:p>
    <w:p w:rsidR="00D86A11" w:rsidRPr="00F21223" w:rsidRDefault="000E1EB5"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p</w:t>
      </w:r>
      <w:r w:rsidR="00D86A11" w:rsidRPr="00F21223">
        <w:rPr>
          <w:rFonts w:ascii="Franklin Gothic Book" w:hAnsi="Franklin Gothic Book"/>
          <w:color w:val="auto"/>
          <w:spacing w:val="20"/>
          <w:szCs w:val="28"/>
        </w:rPr>
        <w:t>rovide parents with a face-to-face review of A Parent’s Guide to the Child Welfare System booklet and video to supplement information provided by the CWS Social Worker; and</w:t>
      </w:r>
    </w:p>
    <w:p w:rsidR="00D86A11" w:rsidRPr="00F21223" w:rsidRDefault="000E1EB5"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a</w:t>
      </w:r>
      <w:r w:rsidR="00D86A11" w:rsidRPr="00F21223">
        <w:rPr>
          <w:rFonts w:ascii="Franklin Gothic Book" w:hAnsi="Franklin Gothic Book"/>
          <w:color w:val="auto"/>
          <w:spacing w:val="20"/>
          <w:szCs w:val="28"/>
        </w:rPr>
        <w:t>ttend family centered meetings.</w:t>
      </w:r>
    </w:p>
    <w:p w:rsidR="0078351C" w:rsidRPr="0078351C" w:rsidRDefault="00D86A11" w:rsidP="0078351C">
      <w:pPr>
        <w:pStyle w:val="Heading3"/>
        <w:spacing w:line="276" w:lineRule="auto"/>
        <w:rPr>
          <w:b w:val="0"/>
          <w:color w:val="auto"/>
          <w:sz w:val="22"/>
        </w:rPr>
      </w:pPr>
      <w:r w:rsidRPr="00530D19">
        <w:rPr>
          <w:b w:val="0"/>
          <w:color w:val="auto"/>
          <w:sz w:val="22"/>
        </w:rPr>
        <w:t>Parents have indicated that they are very grateful for the parent partner program because they feel understood by the parent partner and that the service helps them lower their defenses and better understand and cooperate with the process.</w:t>
      </w:r>
      <w:r w:rsidR="0078351C">
        <w:rPr>
          <w:b w:val="0"/>
          <w:color w:val="auto"/>
          <w:sz w:val="22"/>
        </w:rPr>
        <w:t xml:space="preserve">  Families with an open Child Welfare Services case are eligible for Parent Partners.  The Parent Partner services are available countywide.</w:t>
      </w:r>
    </w:p>
    <w:p w:rsidR="0078351C" w:rsidRPr="0078351C" w:rsidRDefault="0078351C" w:rsidP="0078351C"/>
    <w:p w:rsidR="00D86A11" w:rsidRPr="00486880" w:rsidRDefault="00D86A11" w:rsidP="00D86A11">
      <w:pPr>
        <w:pStyle w:val="Heading2"/>
        <w:rPr>
          <w:color w:val="F6872B"/>
        </w:rPr>
      </w:pPr>
      <w:r w:rsidRPr="00486880">
        <w:rPr>
          <w:color w:val="F6872B"/>
        </w:rPr>
        <w:t xml:space="preserve">Established Networks of Community Services and Resources </w:t>
      </w:r>
    </w:p>
    <w:p w:rsidR="0078351C" w:rsidRPr="0078351C" w:rsidRDefault="00D86A11" w:rsidP="0078351C">
      <w:pPr>
        <w:rPr>
          <w:rFonts w:ascii="Franklin Gothic Book" w:hAnsi="Franklin Gothic Book"/>
          <w:spacing w:val="20"/>
        </w:rPr>
      </w:pPr>
      <w:r w:rsidRPr="0078351C">
        <w:rPr>
          <w:rFonts w:ascii="Franklin Gothic Book" w:hAnsi="Franklin Gothic Book"/>
          <w:color w:val="auto"/>
          <w:spacing w:val="20"/>
        </w:rPr>
        <w:t xml:space="preserve">Each of the CWS regions provides a network of services unique to the needs of the residents and the geography of the region. </w:t>
      </w:r>
      <w:r w:rsidR="0078351C">
        <w:rPr>
          <w:rFonts w:ascii="Franklin Gothic Book" w:hAnsi="Franklin Gothic Book"/>
          <w:color w:val="auto"/>
          <w:spacing w:val="20"/>
        </w:rPr>
        <w:t xml:space="preserve">The network </w:t>
      </w:r>
      <w:r w:rsidR="0078351C" w:rsidRPr="0078351C">
        <w:rPr>
          <w:rFonts w:ascii="Franklin Gothic Book" w:hAnsi="Franklin Gothic Book"/>
          <w:spacing w:val="20"/>
        </w:rPr>
        <w:t xml:space="preserve">is unfunded.  It is more of a community collaborative of service providers.  </w:t>
      </w:r>
    </w:p>
    <w:p w:rsidR="00D86A11" w:rsidRPr="00BC36E2" w:rsidRDefault="00D86A11" w:rsidP="00D86A11">
      <w:pPr>
        <w:pStyle w:val="Heading3"/>
        <w:spacing w:line="276" w:lineRule="auto"/>
        <w:rPr>
          <w:b w:val="0"/>
          <w:color w:val="auto"/>
          <w:sz w:val="22"/>
        </w:rPr>
      </w:pPr>
      <w:r w:rsidRPr="00BC36E2">
        <w:rPr>
          <w:b w:val="0"/>
          <w:color w:val="auto"/>
          <w:sz w:val="22"/>
        </w:rPr>
        <w:t xml:space="preserve">In South, Central and North Central Regions there is a network of school-based Family Resource Centers (FRC) where a wide range of agencies, including CSF, provide comprehensive services. In East Region, the County and community-based </w:t>
      </w:r>
      <w:r w:rsidRPr="00BC36E2">
        <w:rPr>
          <w:b w:val="0"/>
          <w:color w:val="auto"/>
          <w:sz w:val="22"/>
        </w:rPr>
        <w:lastRenderedPageBreak/>
        <w:t>agencies, including CSF, provide services through school-based collaborative that are known as the East Region Collaborative Network. The vast geographic areas that comprise North Inland and North Coastal Regions result in services that are provided uniquely to each community. Some communities have school-based services and others rely on sites at a variety of community-based non-profit agencies.</w:t>
      </w:r>
      <w:r w:rsidR="0078351C">
        <w:rPr>
          <w:b w:val="0"/>
          <w:color w:val="auto"/>
          <w:sz w:val="22"/>
        </w:rPr>
        <w:t xml:space="preserve">  </w:t>
      </w:r>
    </w:p>
    <w:p w:rsidR="00D86A11" w:rsidRPr="00AA7029" w:rsidRDefault="00D86A11" w:rsidP="00D86A11">
      <w:pPr>
        <w:pStyle w:val="Heading2"/>
        <w:rPr>
          <w:color w:val="F6872B"/>
        </w:rPr>
      </w:pPr>
      <w:r w:rsidRPr="00AA7029">
        <w:rPr>
          <w:color w:val="F6872B"/>
        </w:rPr>
        <w:t xml:space="preserve">Child Abuse Prevention Strategies </w:t>
      </w:r>
    </w:p>
    <w:p w:rsidR="00D86A11" w:rsidRPr="00880297" w:rsidRDefault="00D86A11" w:rsidP="00D86A11">
      <w:pPr>
        <w:pStyle w:val="Heading3"/>
        <w:spacing w:line="276" w:lineRule="auto"/>
        <w:rPr>
          <w:b w:val="0"/>
          <w:color w:val="auto"/>
          <w:sz w:val="22"/>
        </w:rPr>
      </w:pPr>
      <w:r w:rsidRPr="00880297">
        <w:rPr>
          <w:b w:val="0"/>
          <w:color w:val="auto"/>
          <w:sz w:val="22"/>
        </w:rPr>
        <w:t xml:space="preserve">The Child Abuse Prevention Coordinating Council plans campaigns throughout the year to promote public awareness of prevention, intervention and treatment of child abuse and neglect. </w:t>
      </w:r>
      <w:r w:rsidR="00A818CA">
        <w:rPr>
          <w:b w:val="0"/>
          <w:color w:val="auto"/>
          <w:sz w:val="22"/>
        </w:rPr>
        <w:t xml:space="preserve"> The CAPCC is funded by the Children’s Trust Fund.</w:t>
      </w:r>
    </w:p>
    <w:p w:rsidR="00D86A11" w:rsidRPr="00880297" w:rsidRDefault="00D86A11" w:rsidP="00D86A11">
      <w:pPr>
        <w:pStyle w:val="Heading3"/>
        <w:spacing w:line="276" w:lineRule="auto"/>
        <w:rPr>
          <w:b w:val="0"/>
          <w:color w:val="auto"/>
          <w:sz w:val="22"/>
        </w:rPr>
      </w:pPr>
      <w:r w:rsidRPr="00880297">
        <w:rPr>
          <w:b w:val="0"/>
          <w:color w:val="auto"/>
          <w:sz w:val="22"/>
        </w:rPr>
        <w:t>To support community prevention efforts, materials and informational brochures are distributed to schools and community groups throughout the year. Input on the need for campaigns is received from CAPCC committees as well as partnering organizations, such as the Domestic Violence Council and the Child Fatality Committee. Other child abuse prevention strategies included:</w:t>
      </w:r>
    </w:p>
    <w:p w:rsidR="00D86A11" w:rsidRPr="00273906" w:rsidRDefault="00D86A11" w:rsidP="00D86A11">
      <w:pPr>
        <w:numPr>
          <w:ilvl w:val="0"/>
          <w:numId w:val="16"/>
        </w:numPr>
        <w:spacing w:before="120" w:after="0"/>
        <w:ind w:right="130"/>
        <w:rPr>
          <w:rFonts w:ascii="Franklin Gothic Book" w:hAnsi="Franklin Gothic Book"/>
          <w:color w:val="auto"/>
          <w:spacing w:val="20"/>
          <w:szCs w:val="28"/>
        </w:rPr>
      </w:pPr>
      <w:r w:rsidRPr="00F068FC">
        <w:rPr>
          <w:rFonts w:ascii="Franklin Gothic Book" w:hAnsi="Franklin Gothic Book"/>
          <w:b/>
          <w:color w:val="auto"/>
          <w:spacing w:val="20"/>
          <w:szCs w:val="28"/>
        </w:rPr>
        <w:t>SafeCare</w:t>
      </w:r>
      <w:r w:rsidRPr="00273906">
        <w:rPr>
          <w:rFonts w:ascii="Franklin Gothic Book" w:hAnsi="Franklin Gothic Book"/>
          <w:color w:val="auto"/>
          <w:spacing w:val="20"/>
          <w:szCs w:val="28"/>
        </w:rPr>
        <w:t xml:space="preserve">: an evidence-based in-home parenting model program that provides direct skill training to parents in child behavior management, home safety training, child health skills, and planned activity training </w:t>
      </w:r>
    </w:p>
    <w:p w:rsidR="00D86A11" w:rsidRPr="00273906" w:rsidRDefault="00D86A11" w:rsidP="00D86A11">
      <w:pPr>
        <w:numPr>
          <w:ilvl w:val="0"/>
          <w:numId w:val="16"/>
        </w:numPr>
        <w:spacing w:before="120" w:after="0"/>
        <w:ind w:right="130"/>
        <w:rPr>
          <w:rFonts w:ascii="Franklin Gothic Book" w:hAnsi="Franklin Gothic Book"/>
          <w:color w:val="auto"/>
          <w:spacing w:val="20"/>
          <w:szCs w:val="28"/>
        </w:rPr>
      </w:pPr>
      <w:r w:rsidRPr="00F068FC">
        <w:rPr>
          <w:rFonts w:ascii="Franklin Gothic Book" w:hAnsi="Franklin Gothic Book"/>
          <w:b/>
          <w:color w:val="auto"/>
          <w:spacing w:val="20"/>
          <w:szCs w:val="28"/>
        </w:rPr>
        <w:t>Parenting Conference:</w:t>
      </w:r>
      <w:r w:rsidRPr="00273906">
        <w:rPr>
          <w:rFonts w:ascii="Franklin Gothic Book" w:hAnsi="Franklin Gothic Book"/>
          <w:color w:val="auto"/>
          <w:spacing w:val="20"/>
          <w:szCs w:val="28"/>
        </w:rPr>
        <w:t xml:space="preserve"> provide educational opportunities to support families in raising healthy children through speakers, sessions, and community resource exhibits. </w:t>
      </w:r>
    </w:p>
    <w:p w:rsidR="00D86A11" w:rsidRPr="00880297" w:rsidRDefault="00D86A11" w:rsidP="00D86A11">
      <w:pPr>
        <w:pStyle w:val="Heading3"/>
        <w:spacing w:line="276" w:lineRule="auto"/>
        <w:rPr>
          <w:b w:val="0"/>
          <w:color w:val="auto"/>
          <w:sz w:val="22"/>
        </w:rPr>
      </w:pPr>
      <w:r w:rsidRPr="00880297">
        <w:rPr>
          <w:b w:val="0"/>
          <w:color w:val="auto"/>
          <w:sz w:val="22"/>
        </w:rPr>
        <w:t xml:space="preserve">Between FY 2014-15, approximately 100,000 pieces of prevention and educational materials were distributed in English and Spanish to  attendees at CAPCC sponsored and co-sponsored conferences, meetings, trainings and community events (such as those events mentioned above). There were 6,742 messages distributed through local radio stations and online streaming for prevention and recruitment. </w:t>
      </w:r>
    </w:p>
    <w:p w:rsidR="00D86A11" w:rsidRDefault="00D86A11" w:rsidP="00D86A11">
      <w:pPr>
        <w:pStyle w:val="Heading3"/>
        <w:spacing w:line="276" w:lineRule="auto"/>
        <w:rPr>
          <w:b w:val="0"/>
          <w:color w:val="auto"/>
          <w:sz w:val="22"/>
        </w:rPr>
      </w:pPr>
      <w:r w:rsidRPr="00880297">
        <w:rPr>
          <w:b w:val="0"/>
          <w:color w:val="auto"/>
          <w:sz w:val="22"/>
        </w:rPr>
        <w:t xml:space="preserve">With the use of data from CWS, the Commission targets the communities that will benefit from events/trainings/campaigns that will have a direct and immediate effect on the awareness and reduction of child abuse. </w:t>
      </w:r>
      <w:r w:rsidR="00A818CA">
        <w:rPr>
          <w:b w:val="0"/>
          <w:color w:val="auto"/>
          <w:sz w:val="22"/>
        </w:rPr>
        <w:t>It is estimated that the majority of the conferences and trainings were held in the Central region.</w:t>
      </w:r>
    </w:p>
    <w:p w:rsidR="00D86A11" w:rsidRPr="00EB27A3" w:rsidRDefault="00D86A11" w:rsidP="00D86A11">
      <w:pPr>
        <w:pStyle w:val="Heading2"/>
        <w:rPr>
          <w:color w:val="F6872B"/>
        </w:rPr>
      </w:pPr>
      <w:r w:rsidRPr="00EB27A3">
        <w:rPr>
          <w:color w:val="F6872B"/>
        </w:rPr>
        <w:t xml:space="preserve">Services to Native American Children </w:t>
      </w:r>
    </w:p>
    <w:p w:rsidR="00D86A11" w:rsidRPr="00EB27A3" w:rsidRDefault="00D86A11" w:rsidP="00D86A11">
      <w:pPr>
        <w:pStyle w:val="Heading3"/>
        <w:spacing w:line="276" w:lineRule="auto"/>
        <w:rPr>
          <w:b w:val="0"/>
          <w:color w:val="auto"/>
          <w:sz w:val="22"/>
        </w:rPr>
      </w:pPr>
      <w:r w:rsidRPr="00EB27A3">
        <w:rPr>
          <w:b w:val="0"/>
          <w:color w:val="auto"/>
          <w:sz w:val="22"/>
        </w:rPr>
        <w:t xml:space="preserve">Services to Native American children and families are centralized through the County’s Indian Specialty Unit (ISU). ISU staff members either directly case manage the Native American children or provide consultation to other County staff responsible for the child’s case plan. The ISU works closely with the ICWA workers for the Northern and Southern Indian Consortiums to provide Native American children with culturally sensitive and relevant services and to ensure that the children that are not placed in their native communities stay connected to their heritage and traditions. </w:t>
      </w:r>
    </w:p>
    <w:p w:rsidR="00D86A11" w:rsidRPr="00B5727D" w:rsidRDefault="00D86A11" w:rsidP="00D86A11">
      <w:pPr>
        <w:pStyle w:val="Heading3"/>
        <w:spacing w:line="276" w:lineRule="auto"/>
        <w:rPr>
          <w:b w:val="0"/>
          <w:color w:val="auto"/>
          <w:sz w:val="22"/>
        </w:rPr>
      </w:pPr>
      <w:r w:rsidRPr="00B5727D">
        <w:rPr>
          <w:b w:val="0"/>
          <w:color w:val="auto"/>
          <w:sz w:val="22"/>
        </w:rPr>
        <w:lastRenderedPageBreak/>
        <w:t>The strengths of the relationship between CWS and Native American Communities include:</w:t>
      </w:r>
    </w:p>
    <w:p w:rsidR="00D86A11" w:rsidRPr="00F21223" w:rsidRDefault="00D86A11" w:rsidP="00D86A11">
      <w:pPr>
        <w:numPr>
          <w:ilvl w:val="0"/>
          <w:numId w:val="16"/>
        </w:numPr>
        <w:spacing w:before="120" w:after="0"/>
        <w:ind w:right="130"/>
        <w:rPr>
          <w:rFonts w:ascii="Franklin Gothic Book" w:hAnsi="Franklin Gothic Book"/>
          <w:color w:val="auto"/>
          <w:spacing w:val="20"/>
          <w:szCs w:val="28"/>
        </w:rPr>
      </w:pPr>
      <w:r w:rsidRPr="00F21223">
        <w:rPr>
          <w:rFonts w:ascii="Franklin Gothic Book" w:hAnsi="Franklin Gothic Book"/>
          <w:color w:val="auto"/>
          <w:spacing w:val="20"/>
          <w:szCs w:val="28"/>
        </w:rPr>
        <w:t>CWS procedures place a high priority on adherence to the Indian Child Welfare Act (ICWA) and all social workers receive training on ICWA-related issues to ensure best practice and cultural sensitivity when working with Native American families</w:t>
      </w:r>
      <w:r>
        <w:rPr>
          <w:rFonts w:ascii="Franklin Gothic Book" w:hAnsi="Franklin Gothic Book"/>
          <w:color w:val="auto"/>
          <w:spacing w:val="20"/>
          <w:szCs w:val="28"/>
        </w:rPr>
        <w:t xml:space="preserve">. </w:t>
      </w:r>
    </w:p>
    <w:p w:rsidR="00D86A11" w:rsidRPr="00F21223" w:rsidRDefault="00D86A11" w:rsidP="00D86A11">
      <w:pPr>
        <w:numPr>
          <w:ilvl w:val="0"/>
          <w:numId w:val="16"/>
        </w:numPr>
        <w:spacing w:before="120" w:after="0"/>
        <w:ind w:right="130"/>
        <w:rPr>
          <w:rFonts w:ascii="Franklin Gothic Book" w:hAnsi="Franklin Gothic Book"/>
          <w:color w:val="auto"/>
          <w:spacing w:val="20"/>
          <w:szCs w:val="28"/>
        </w:rPr>
      </w:pPr>
      <w:r w:rsidRPr="00F21223">
        <w:rPr>
          <w:rFonts w:ascii="Franklin Gothic Book" w:hAnsi="Franklin Gothic Book"/>
          <w:color w:val="auto"/>
          <w:spacing w:val="20"/>
          <w:szCs w:val="28"/>
        </w:rPr>
        <w:t>CWS policy manual addresses the policies that pertain to Native American communities and ICWA related issues</w:t>
      </w:r>
      <w:r>
        <w:rPr>
          <w:rFonts w:ascii="Franklin Gothic Book" w:hAnsi="Franklin Gothic Book"/>
          <w:color w:val="auto"/>
          <w:spacing w:val="20"/>
          <w:szCs w:val="28"/>
        </w:rPr>
        <w:t xml:space="preserve">. </w:t>
      </w:r>
    </w:p>
    <w:p w:rsidR="00D86A11" w:rsidRPr="00C654E0" w:rsidRDefault="00D86A11" w:rsidP="00D86A11">
      <w:pPr>
        <w:numPr>
          <w:ilvl w:val="0"/>
          <w:numId w:val="16"/>
        </w:numPr>
        <w:spacing w:before="120" w:after="0"/>
        <w:ind w:right="130"/>
        <w:rPr>
          <w:rFonts w:ascii="Franklin Gothic Book" w:hAnsi="Franklin Gothic Book"/>
          <w:b/>
          <w:color w:val="auto"/>
          <w:spacing w:val="20"/>
          <w:szCs w:val="28"/>
        </w:rPr>
      </w:pPr>
      <w:r w:rsidRPr="00C654E0">
        <w:rPr>
          <w:rFonts w:ascii="Franklin Gothic Book" w:hAnsi="Franklin Gothic Book"/>
          <w:color w:val="auto"/>
          <w:spacing w:val="20"/>
          <w:szCs w:val="28"/>
        </w:rPr>
        <w:t>Collaboration and participation in tribal communities and services including the Sexual Assault Response Team (SART) at Southern Indian Health Council, Inc. (a multidisciplinary team consisting of CWS staff, tribal law enforcement, law enforcement, medical staff, district attorneys, tribal service providers and border patrol);  Club 7 (a group of current and former tribal foster youth, CWS staff and tribal partners working together to help keep Native children connected to their community while in foster care); participate and present at ICWA State Conferences and the Annual Barona Wellness Conference on the Barona Indian Reservation</w:t>
      </w:r>
      <w:r w:rsidRPr="00C654E0">
        <w:rPr>
          <w:rFonts w:ascii="Franklin Gothic Book" w:hAnsi="Franklin Gothic Book"/>
          <w:b/>
          <w:color w:val="auto"/>
          <w:spacing w:val="20"/>
          <w:szCs w:val="28"/>
        </w:rPr>
        <w:t xml:space="preserve">. </w:t>
      </w:r>
    </w:p>
    <w:p w:rsidR="00D86A11" w:rsidRPr="00C654E0" w:rsidRDefault="00D86A11" w:rsidP="00D86A11">
      <w:pPr>
        <w:numPr>
          <w:ilvl w:val="0"/>
          <w:numId w:val="16"/>
        </w:numPr>
        <w:spacing w:before="120" w:after="0"/>
        <w:ind w:right="130"/>
        <w:rPr>
          <w:rFonts w:ascii="Franklin Gothic Book" w:hAnsi="Franklin Gothic Book"/>
          <w:color w:val="auto"/>
          <w:spacing w:val="20"/>
          <w:szCs w:val="28"/>
        </w:rPr>
      </w:pPr>
      <w:r w:rsidRPr="00C654E0">
        <w:rPr>
          <w:rFonts w:ascii="Franklin Gothic Book" w:hAnsi="Franklin Gothic Book"/>
          <w:color w:val="auto"/>
          <w:spacing w:val="20"/>
          <w:szCs w:val="28"/>
        </w:rPr>
        <w:t>Participate in 7th Generation which is a collaborative group that addresses disparities among Native children and families in CWS</w:t>
      </w:r>
    </w:p>
    <w:p w:rsidR="00D86A11" w:rsidRPr="00C654E0" w:rsidRDefault="00D86A11" w:rsidP="00D86A11">
      <w:pPr>
        <w:numPr>
          <w:ilvl w:val="0"/>
          <w:numId w:val="16"/>
        </w:numPr>
        <w:spacing w:before="120" w:after="0"/>
        <w:ind w:right="130"/>
        <w:rPr>
          <w:rFonts w:ascii="Franklin Gothic Book" w:hAnsi="Franklin Gothic Book"/>
          <w:color w:val="auto"/>
          <w:spacing w:val="20"/>
          <w:szCs w:val="28"/>
        </w:rPr>
      </w:pPr>
      <w:r w:rsidRPr="00C654E0">
        <w:rPr>
          <w:rFonts w:ascii="Franklin Gothic Book" w:hAnsi="Franklin Gothic Book"/>
          <w:color w:val="auto"/>
          <w:spacing w:val="20"/>
          <w:szCs w:val="28"/>
        </w:rPr>
        <w:t xml:space="preserve">Quarterly ICWA State Group meetings in efforts to continue to learn about policy and statewide trends related to working with tribal families. </w:t>
      </w:r>
    </w:p>
    <w:p w:rsidR="00D86A11" w:rsidRPr="00B5727D" w:rsidRDefault="00D86A11" w:rsidP="00D86A11">
      <w:pPr>
        <w:pStyle w:val="Heading3"/>
        <w:spacing w:line="276" w:lineRule="auto"/>
        <w:rPr>
          <w:b w:val="0"/>
          <w:color w:val="auto"/>
          <w:sz w:val="22"/>
        </w:rPr>
      </w:pPr>
      <w:r w:rsidRPr="00B5727D">
        <w:rPr>
          <w:b w:val="0"/>
          <w:color w:val="auto"/>
          <w:sz w:val="22"/>
        </w:rPr>
        <w:t>Even though the County has built some strong collaborative relationships with the local tribes, the tribal communities continue to lack resources and access to services which is a challenge due to the remote areas of the reservations and limited transportation.</w:t>
      </w:r>
    </w:p>
    <w:p w:rsidR="00D86A11" w:rsidRPr="00667E7B" w:rsidRDefault="00D86A11" w:rsidP="00D86A11">
      <w:pPr>
        <w:pStyle w:val="Heading2"/>
        <w:rPr>
          <w:color w:val="F6872B"/>
        </w:rPr>
      </w:pPr>
      <w:r w:rsidRPr="00667E7B">
        <w:rPr>
          <w:color w:val="F6872B"/>
        </w:rPr>
        <w:t>Cultural Broker Services</w:t>
      </w:r>
    </w:p>
    <w:p w:rsidR="00D86A11" w:rsidRPr="00667E7B" w:rsidRDefault="00D86A11" w:rsidP="00D86A11">
      <w:pPr>
        <w:pStyle w:val="Heading3"/>
        <w:spacing w:line="276" w:lineRule="auto"/>
        <w:rPr>
          <w:b w:val="0"/>
          <w:color w:val="auto"/>
          <w:sz w:val="22"/>
        </w:rPr>
      </w:pPr>
      <w:r w:rsidRPr="00667E7B">
        <w:rPr>
          <w:b w:val="0"/>
          <w:color w:val="auto"/>
          <w:sz w:val="22"/>
        </w:rPr>
        <w:t xml:space="preserve">Cultural Broker Services is a program in our Central Region and is funded by CWS. 464 Families were referred for services with 177 completing the program in FY 14/15. Decreasing the disproportional representation of African American Children in CWS, along with other overrepresented minorities (Native Americans) has been a long standing goal. </w:t>
      </w:r>
    </w:p>
    <w:p w:rsidR="00D86A11" w:rsidRPr="00667E7B" w:rsidRDefault="00D86A11" w:rsidP="00D86A11">
      <w:pPr>
        <w:pStyle w:val="Heading3"/>
        <w:spacing w:line="276" w:lineRule="auto"/>
        <w:rPr>
          <w:b w:val="0"/>
          <w:color w:val="auto"/>
          <w:sz w:val="22"/>
        </w:rPr>
      </w:pPr>
      <w:r w:rsidRPr="00667E7B">
        <w:rPr>
          <w:b w:val="0"/>
          <w:color w:val="auto"/>
          <w:sz w:val="22"/>
        </w:rPr>
        <w:t xml:space="preserve">The purpose of the Cultural Broker program is to educate African American families involved in the </w:t>
      </w:r>
      <w:r>
        <w:rPr>
          <w:b w:val="0"/>
          <w:color w:val="auto"/>
          <w:sz w:val="22"/>
        </w:rPr>
        <w:t>c</w:t>
      </w:r>
      <w:r w:rsidRPr="00667E7B">
        <w:rPr>
          <w:b w:val="0"/>
          <w:color w:val="auto"/>
          <w:sz w:val="22"/>
        </w:rPr>
        <w:t xml:space="preserve">hild </w:t>
      </w:r>
      <w:r>
        <w:rPr>
          <w:b w:val="0"/>
          <w:color w:val="auto"/>
          <w:sz w:val="22"/>
        </w:rPr>
        <w:t>w</w:t>
      </w:r>
      <w:r w:rsidRPr="00667E7B">
        <w:rPr>
          <w:b w:val="0"/>
          <w:color w:val="auto"/>
          <w:sz w:val="22"/>
        </w:rPr>
        <w:t xml:space="preserve">elfare </w:t>
      </w:r>
      <w:r>
        <w:rPr>
          <w:b w:val="0"/>
          <w:color w:val="auto"/>
          <w:sz w:val="22"/>
        </w:rPr>
        <w:t>s</w:t>
      </w:r>
      <w:r w:rsidRPr="00667E7B">
        <w:rPr>
          <w:b w:val="0"/>
          <w:color w:val="auto"/>
          <w:sz w:val="22"/>
        </w:rPr>
        <w:t xml:space="preserve">ystem on child welfare laws and system process, life skills, effective communication skills, prevention and early intervention strategies that enhance child safety, and provide linkages to supportive services. Services also focus on educating Child Welfare Social Workers in cultural differences to understand the culture of the families they serve and to ensure the services provided to children and families are respectful of and compatible with their cultural strengths and needs. </w:t>
      </w:r>
    </w:p>
    <w:p w:rsidR="00D86A11" w:rsidRPr="006C1FC4" w:rsidRDefault="00D86A11" w:rsidP="00D86A11">
      <w:pPr>
        <w:pStyle w:val="Heading3"/>
        <w:spacing w:line="276" w:lineRule="auto"/>
        <w:rPr>
          <w:b w:val="0"/>
          <w:color w:val="auto"/>
          <w:sz w:val="22"/>
        </w:rPr>
      </w:pPr>
      <w:r w:rsidRPr="006C1FC4">
        <w:rPr>
          <w:b w:val="0"/>
          <w:color w:val="auto"/>
          <w:sz w:val="22"/>
        </w:rPr>
        <w:lastRenderedPageBreak/>
        <w:t xml:space="preserve">Cultural Broker services include public education forums, culturally sensitive parenting classes, counseling, employment assistance, teen support, budgeting and other services related to improving the overall well-being of the family and reducing risk and safety factors for the children in the home. </w:t>
      </w:r>
    </w:p>
    <w:p w:rsidR="00D86A11" w:rsidRDefault="00763E81" w:rsidP="00D86A11">
      <w:pPr>
        <w:pStyle w:val="Heading3"/>
        <w:spacing w:line="276" w:lineRule="auto"/>
        <w:rPr>
          <w:b w:val="0"/>
          <w:color w:val="auto"/>
          <w:sz w:val="22"/>
        </w:rPr>
      </w:pPr>
      <w:r>
        <w:rPr>
          <w:noProof/>
        </w:rPr>
        <mc:AlternateContent>
          <mc:Choice Requires="wps">
            <w:drawing>
              <wp:anchor distT="91440" distB="91440" distL="182880" distR="182880" simplePos="0" relativeHeight="251659264" behindDoc="1" locked="0" layoutInCell="0" allowOverlap="1">
                <wp:simplePos x="0" y="0"/>
                <wp:positionH relativeFrom="margin">
                  <wp:posOffset>-76200</wp:posOffset>
                </wp:positionH>
                <wp:positionV relativeFrom="margin">
                  <wp:posOffset>7084060</wp:posOffset>
                </wp:positionV>
                <wp:extent cx="6067425" cy="1314450"/>
                <wp:effectExtent l="0" t="0" r="0" b="0"/>
                <wp:wrapSquare wrapText="bothSides"/>
                <wp:docPr id="26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314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103E6" w:rsidRPr="00C81DC6" w:rsidRDefault="009103E6" w:rsidP="00D86A11">
                            <w:pPr>
                              <w:pBdr>
                                <w:top w:val="single" w:sz="4" w:space="2" w:color="A7BFDE"/>
                                <w:bottom w:val="single" w:sz="4" w:space="10" w:color="A7BFDE"/>
                              </w:pBdr>
                              <w:spacing w:after="0"/>
                              <w:jc w:val="center"/>
                              <w:rPr>
                                <w:b/>
                                <w:i/>
                                <w:iCs/>
                                <w:color w:val="2E7029"/>
                                <w:sz w:val="8"/>
                                <w:szCs w:val="28"/>
                              </w:rPr>
                            </w:pPr>
                          </w:p>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 xml:space="preserve">“We need more </w:t>
                            </w:r>
                            <w:r w:rsidRPr="00995A19">
                              <w:rPr>
                                <w:b/>
                                <w:i/>
                                <w:iCs/>
                                <w:color w:val="2E7029"/>
                                <w:sz w:val="28"/>
                                <w:szCs w:val="28"/>
                              </w:rPr>
                              <w:t xml:space="preserve">one-on-one, in-home parenting support, someone </w:t>
                            </w:r>
                            <w:r>
                              <w:rPr>
                                <w:b/>
                                <w:i/>
                                <w:iCs/>
                                <w:color w:val="2E7029"/>
                                <w:sz w:val="28"/>
                                <w:szCs w:val="28"/>
                              </w:rPr>
                              <w:t xml:space="preserve">coming to the house and saying </w:t>
                            </w:r>
                            <w:r w:rsidRPr="00995A19">
                              <w:rPr>
                                <w:b/>
                                <w:i/>
                                <w:iCs/>
                                <w:color w:val="2E7029"/>
                                <w:sz w:val="28"/>
                                <w:szCs w:val="28"/>
                              </w:rPr>
                              <w:t>you’re doing a good job and provide support, life skills, hearing their concerns, identifying strategies</w:t>
                            </w:r>
                            <w:r>
                              <w:rPr>
                                <w:b/>
                                <w:i/>
                                <w:iCs/>
                                <w:color w:val="2E7029"/>
                                <w:sz w:val="28"/>
                                <w:szCs w:val="28"/>
                              </w:rPr>
                              <w:t>”</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Pr>
                                <w:b/>
                                <w:i/>
                                <w:iCs/>
                                <w:color w:val="F6872B"/>
                                <w:sz w:val="28"/>
                                <w:szCs w:val="28"/>
                              </w:rPr>
                              <w:t>-Focus group participant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5" o:spid="_x0000_s1072" style="position:absolute;margin-left:-6pt;margin-top:557.8pt;width:477.75pt;height:103.5pt;z-index:-251657216;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" o:allowincell="f" filled="f" stroked="f" strokecolor="#90b5e3" strokeweight="6pt">
                <v:textbox inset="0,0,0,0">
                  <w:txbxContent>
                    <w:p w:rsidR="009103E6" w:rsidRPr="00C81DC6" w:rsidRDefault="009103E6" w:rsidP="00D86A11">
                      <w:pPr>
                        <w:pBdr>
                          <w:top w:val="single" w:sz="4" w:space="2" w:color="A7BFDE"/>
                          <w:bottom w:val="single" w:sz="4" w:space="10" w:color="A7BFDE"/>
                        </w:pBdr>
                        <w:spacing w:after="0"/>
                        <w:jc w:val="center"/>
                        <w:rPr>
                          <w:b/>
                          <w:i/>
                          <w:iCs/>
                          <w:color w:val="2E7029"/>
                          <w:sz w:val="8"/>
                          <w:szCs w:val="28"/>
                        </w:rPr>
                      </w:pPr>
                    </w:p>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 xml:space="preserve">“We need more </w:t>
                      </w:r>
                      <w:r w:rsidRPr="00995A19">
                        <w:rPr>
                          <w:b/>
                          <w:i/>
                          <w:iCs/>
                          <w:color w:val="2E7029"/>
                          <w:sz w:val="28"/>
                          <w:szCs w:val="28"/>
                        </w:rPr>
                        <w:t xml:space="preserve">one-on-one, in-home parenting support, someone </w:t>
                      </w:r>
                      <w:r>
                        <w:rPr>
                          <w:b/>
                          <w:i/>
                          <w:iCs/>
                          <w:color w:val="2E7029"/>
                          <w:sz w:val="28"/>
                          <w:szCs w:val="28"/>
                        </w:rPr>
                        <w:t xml:space="preserve">coming to the house and saying </w:t>
                      </w:r>
                      <w:r w:rsidRPr="00995A19">
                        <w:rPr>
                          <w:b/>
                          <w:i/>
                          <w:iCs/>
                          <w:color w:val="2E7029"/>
                          <w:sz w:val="28"/>
                          <w:szCs w:val="28"/>
                        </w:rPr>
                        <w:t>you’re doing a good job and provide support, life skills, hearing their concerns, identifying strategies</w:t>
                      </w:r>
                      <w:r>
                        <w:rPr>
                          <w:b/>
                          <w:i/>
                          <w:iCs/>
                          <w:color w:val="2E7029"/>
                          <w:sz w:val="28"/>
                          <w:szCs w:val="28"/>
                        </w:rPr>
                        <w:t>”</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Pr>
                          <w:b/>
                          <w:i/>
                          <w:iCs/>
                          <w:color w:val="F6872B"/>
                          <w:sz w:val="28"/>
                          <w:szCs w:val="28"/>
                        </w:rPr>
                        <w:t>-Focus group participant</w:t>
                      </w:r>
                    </w:p>
                  </w:txbxContent>
                </v:textbox>
                <w10:wrap type="square" anchorx="margin" anchory="margin"/>
              </v:rect>
            </w:pict>
          </mc:Fallback>
        </mc:AlternateContent>
      </w:r>
      <w:r w:rsidR="00D86A11">
        <w:rPr>
          <w:b w:val="0"/>
          <w:color w:val="auto"/>
          <w:sz w:val="22"/>
        </w:rPr>
        <w:t>The</w:t>
      </w:r>
      <w:r w:rsidR="00D86A11" w:rsidRPr="006C1FC4">
        <w:rPr>
          <w:b w:val="0"/>
          <w:color w:val="auto"/>
          <w:sz w:val="22"/>
        </w:rPr>
        <w:t xml:space="preserve"> County has implemented several </w:t>
      </w:r>
      <w:r w:rsidR="00D86A11">
        <w:rPr>
          <w:b w:val="0"/>
          <w:color w:val="auto"/>
          <w:sz w:val="22"/>
        </w:rPr>
        <w:t xml:space="preserve">efforts to address this problem and we have seen some improvements </w:t>
      </w:r>
      <w:r w:rsidR="00121985" w:rsidRPr="00121985">
        <w:rPr>
          <w:b w:val="0"/>
          <w:color w:val="auto"/>
          <w:sz w:val="22"/>
        </w:rPr>
        <w:t>in the rate of African-American children entering the system and the rate of African-American children who are in out-of-home care. It is our hope that this program, based on a model adopted from Fresno County, will continue to prove successful and can be taken to scale so that this important issue can be addressed.</w:t>
      </w:r>
    </w:p>
    <w:p w:rsidR="00D86A11" w:rsidRPr="006C1FC4" w:rsidRDefault="00D86A11" w:rsidP="00D86A11">
      <w:pPr>
        <w:pStyle w:val="Heading2"/>
        <w:rPr>
          <w:color w:val="F6872B"/>
        </w:rPr>
      </w:pPr>
      <w:r w:rsidRPr="006C1FC4">
        <w:rPr>
          <w:color w:val="F6872B"/>
        </w:rPr>
        <w:t>Promoting Safe and Stable Families</w:t>
      </w:r>
    </w:p>
    <w:p w:rsidR="00D86A11" w:rsidRPr="006C1FC4" w:rsidRDefault="00D86A11" w:rsidP="00D86A11">
      <w:pPr>
        <w:pStyle w:val="Heading3"/>
        <w:spacing w:line="276" w:lineRule="auto"/>
        <w:rPr>
          <w:b w:val="0"/>
          <w:color w:val="auto"/>
          <w:sz w:val="22"/>
        </w:rPr>
      </w:pPr>
      <w:r w:rsidRPr="006C1FC4">
        <w:rPr>
          <w:b w:val="0"/>
          <w:color w:val="auto"/>
          <w:sz w:val="22"/>
        </w:rPr>
        <w:t>Promoting Safe and Stable Families (PSSF) funding is used to provide families with timely, intensive, and responsive support services in order to shorten the time it takes for them to reunite with their children. Some of the funded programs include:</w:t>
      </w:r>
    </w:p>
    <w:p w:rsidR="00D86A11" w:rsidRPr="00AB0E82" w:rsidRDefault="00D86A11" w:rsidP="00D86A11">
      <w:pPr>
        <w:numPr>
          <w:ilvl w:val="0"/>
          <w:numId w:val="16"/>
        </w:numPr>
        <w:spacing w:before="120" w:after="0"/>
        <w:ind w:right="130"/>
        <w:rPr>
          <w:rFonts w:ascii="Franklin Gothic Book" w:hAnsi="Franklin Gothic Book"/>
          <w:color w:val="auto"/>
          <w:spacing w:val="20"/>
          <w:szCs w:val="28"/>
        </w:rPr>
      </w:pPr>
      <w:r w:rsidRPr="00AB0E82">
        <w:rPr>
          <w:rFonts w:ascii="Franklin Gothic Book" w:hAnsi="Franklin Gothic Book"/>
          <w:color w:val="auto"/>
          <w:spacing w:val="20"/>
          <w:szCs w:val="28"/>
        </w:rPr>
        <w:t>Community Services for Families (CSF) - CAPIT, CBCAP, PSSF-FP and PSSF-FS services are provided in all regions and have been described previously in other sections.</w:t>
      </w:r>
    </w:p>
    <w:p w:rsidR="00D86A11" w:rsidRPr="00AB0E82" w:rsidRDefault="00D86A11" w:rsidP="00D86A11">
      <w:pPr>
        <w:numPr>
          <w:ilvl w:val="0"/>
          <w:numId w:val="16"/>
        </w:numPr>
        <w:spacing w:before="120" w:after="0"/>
        <w:ind w:right="130"/>
        <w:rPr>
          <w:rFonts w:ascii="Franklin Gothic Book" w:hAnsi="Franklin Gothic Book"/>
          <w:color w:val="auto"/>
          <w:spacing w:val="20"/>
          <w:szCs w:val="28"/>
        </w:rPr>
      </w:pPr>
      <w:r w:rsidRPr="00AB0E82">
        <w:rPr>
          <w:rFonts w:ascii="Franklin Gothic Book" w:hAnsi="Franklin Gothic Book"/>
          <w:color w:val="auto"/>
          <w:spacing w:val="20"/>
          <w:szCs w:val="28"/>
        </w:rPr>
        <w:t>Family Visitation – PSSF funded services provided in all regions. In FY 2014-15 771 families participated in 13</w:t>
      </w:r>
      <w:r>
        <w:rPr>
          <w:rFonts w:ascii="Franklin Gothic Book" w:hAnsi="Franklin Gothic Book"/>
          <w:color w:val="auto"/>
          <w:spacing w:val="20"/>
          <w:szCs w:val="28"/>
        </w:rPr>
        <w:t>,</w:t>
      </w:r>
      <w:r w:rsidRPr="00AB0E82">
        <w:rPr>
          <w:rFonts w:ascii="Franklin Gothic Book" w:hAnsi="Franklin Gothic Book"/>
          <w:color w:val="auto"/>
          <w:spacing w:val="20"/>
          <w:szCs w:val="28"/>
        </w:rPr>
        <w:t>657 visits with their children in contracted visitation services.</w:t>
      </w:r>
    </w:p>
    <w:p w:rsidR="00D86A11" w:rsidRPr="00AB0E82" w:rsidRDefault="00D86A11" w:rsidP="00D86A11">
      <w:pPr>
        <w:numPr>
          <w:ilvl w:val="0"/>
          <w:numId w:val="16"/>
        </w:numPr>
        <w:spacing w:before="120" w:after="0"/>
        <w:ind w:right="130"/>
        <w:rPr>
          <w:rFonts w:ascii="Franklin Gothic Book" w:hAnsi="Franklin Gothic Book"/>
          <w:color w:val="auto"/>
          <w:spacing w:val="20"/>
          <w:szCs w:val="28"/>
        </w:rPr>
      </w:pPr>
      <w:r w:rsidRPr="00AB0E82">
        <w:rPr>
          <w:rFonts w:ascii="Franklin Gothic Book" w:hAnsi="Franklin Gothic Book"/>
          <w:color w:val="auto"/>
          <w:spacing w:val="20"/>
          <w:szCs w:val="28"/>
        </w:rPr>
        <w:t>Child Abuse Prevention – Indian Health Council, PSSF-FP, East and North Inland Regions only. The goals of the program are to increase awareness and involvement in child abuse prevention through cultural and community activities, enhance resilience and protective factors, reduce isolation (measured by assessment instruments) and increase youth and community wellness. The total number served is 51 families for FY 2014- 15</w:t>
      </w:r>
    </w:p>
    <w:p w:rsidR="00D86A11" w:rsidRPr="00AB0E82" w:rsidRDefault="00D86A11" w:rsidP="00D86A11">
      <w:pPr>
        <w:numPr>
          <w:ilvl w:val="0"/>
          <w:numId w:val="16"/>
        </w:numPr>
        <w:spacing w:before="120" w:after="0"/>
        <w:ind w:right="130"/>
        <w:rPr>
          <w:rFonts w:ascii="Franklin Gothic Book" w:hAnsi="Franklin Gothic Book"/>
          <w:color w:val="auto"/>
          <w:spacing w:val="20"/>
          <w:szCs w:val="28"/>
        </w:rPr>
      </w:pPr>
      <w:r w:rsidRPr="00AB0E82">
        <w:rPr>
          <w:rFonts w:ascii="Franklin Gothic Book" w:hAnsi="Franklin Gothic Book"/>
          <w:color w:val="auto"/>
          <w:spacing w:val="20"/>
          <w:szCs w:val="28"/>
        </w:rPr>
        <w:t>Adoption Support Services – PSSF funding; services provided in all regions. This includes both Family Support Services and Family Preservation Services. The total numbers served are 1</w:t>
      </w:r>
      <w:r>
        <w:rPr>
          <w:rFonts w:ascii="Franklin Gothic Book" w:hAnsi="Franklin Gothic Book"/>
          <w:color w:val="auto"/>
          <w:spacing w:val="20"/>
          <w:szCs w:val="28"/>
        </w:rPr>
        <w:t>,</w:t>
      </w:r>
      <w:r w:rsidRPr="00AB0E82">
        <w:rPr>
          <w:rFonts w:ascii="Franklin Gothic Book" w:hAnsi="Franklin Gothic Book"/>
          <w:color w:val="auto"/>
          <w:spacing w:val="20"/>
          <w:szCs w:val="28"/>
        </w:rPr>
        <w:t>530 parents and 2</w:t>
      </w:r>
      <w:r>
        <w:rPr>
          <w:rFonts w:ascii="Franklin Gothic Book" w:hAnsi="Franklin Gothic Book"/>
          <w:color w:val="auto"/>
          <w:spacing w:val="20"/>
          <w:szCs w:val="28"/>
        </w:rPr>
        <w:t>,</w:t>
      </w:r>
      <w:r w:rsidRPr="00AB0E82">
        <w:rPr>
          <w:rFonts w:ascii="Franklin Gothic Book" w:hAnsi="Franklin Gothic Book"/>
          <w:color w:val="auto"/>
          <w:spacing w:val="20"/>
          <w:szCs w:val="28"/>
        </w:rPr>
        <w:t>030 children for FY 2014-15.</w:t>
      </w:r>
    </w:p>
    <w:p w:rsidR="00D86A11" w:rsidRPr="00402038" w:rsidRDefault="00D86A11" w:rsidP="00D86A11">
      <w:pPr>
        <w:pStyle w:val="Heading2"/>
        <w:rPr>
          <w:color w:val="F6872B"/>
        </w:rPr>
      </w:pPr>
      <w:r w:rsidRPr="00402038">
        <w:rPr>
          <w:color w:val="F6872B"/>
        </w:rPr>
        <w:t>Family Visitation Services</w:t>
      </w:r>
    </w:p>
    <w:p w:rsidR="00D86A11" w:rsidRPr="00F21223" w:rsidRDefault="00D86A11" w:rsidP="00D86A11">
      <w:pPr>
        <w:spacing w:before="120"/>
        <w:rPr>
          <w:rFonts w:ascii="Franklin Gothic Book" w:hAnsi="Franklin Gothic Book"/>
          <w:color w:val="auto"/>
          <w:spacing w:val="20"/>
          <w:szCs w:val="28"/>
        </w:rPr>
      </w:pPr>
      <w:r w:rsidRPr="00F21223">
        <w:rPr>
          <w:rFonts w:ascii="Franklin Gothic Book" w:hAnsi="Franklin Gothic Book"/>
          <w:color w:val="auto"/>
          <w:spacing w:val="20"/>
          <w:szCs w:val="28"/>
        </w:rPr>
        <w:t xml:space="preserve">Family Visitation services help to maintain the bond between child and parents while apart, decreasing the trauma associated with family separation. Research </w:t>
      </w:r>
      <w:r w:rsidRPr="00F21223">
        <w:rPr>
          <w:rFonts w:ascii="Franklin Gothic Book" w:hAnsi="Franklin Gothic Book"/>
          <w:color w:val="auto"/>
          <w:spacing w:val="20"/>
          <w:szCs w:val="28"/>
        </w:rPr>
        <w:lastRenderedPageBreak/>
        <w:t>has shown a positive correlation between parents maintaining visitation with their children while in out-of-home care and eventual reunification of the children with their parents. Visitation also leads to increased self-esteem and more stable placements for children. The visitation contractors in the County of San Diego provide an additional and important resource to social workers in ensuring that children are able to visit with their families while apart. The visitation contractors provide transportation, regional family friendly visitation centers in locations that are convenient to families, and monitoring of visits including providing feedback to parents after the visits in order to improve parenting skills and increase relationship skills.</w:t>
      </w:r>
      <w:r w:rsidR="00A818CA">
        <w:rPr>
          <w:rFonts w:ascii="Franklin Gothic Book" w:hAnsi="Franklin Gothic Book"/>
          <w:color w:val="auto"/>
          <w:spacing w:val="20"/>
          <w:szCs w:val="28"/>
        </w:rPr>
        <w:t xml:space="preserve">  This contract is funded by PSSF.</w:t>
      </w:r>
    </w:p>
    <w:p w:rsidR="00D86A11" w:rsidRPr="00867B52" w:rsidRDefault="00D86A11" w:rsidP="00D86A11">
      <w:pPr>
        <w:pStyle w:val="Heading3"/>
        <w:spacing w:line="276" w:lineRule="auto"/>
        <w:rPr>
          <w:b w:val="0"/>
          <w:color w:val="auto"/>
          <w:sz w:val="22"/>
        </w:rPr>
      </w:pPr>
      <w:r w:rsidRPr="00867B52">
        <w:rPr>
          <w:b w:val="0"/>
          <w:color w:val="auto"/>
          <w:sz w:val="22"/>
        </w:rPr>
        <w:t xml:space="preserve">The Family Visitation services objectives include reducing reunification time by facilitating frequent and positive visits, holding visitation sessions in family friendly atmospheres to reduce child trauma, and monitoring/observing visits which allow the best possible visit for both child and parent. Contracted Visitation services include Pre and Post Visit Conferences to improve parent-child interactions. Pre-consultations include rules for the visits and a review (based on prior visits) of concerns from previous visitations with the goal of assisting parents and children to maximize their visitation experience. Post consultations include a review of the visit that just concluded, re-enforcement of the positive aspects of the visit, and identification of concerns. These two conferences are done for every parent/child visit. </w:t>
      </w:r>
    </w:p>
    <w:p w:rsidR="00D86A11" w:rsidRPr="00F21223" w:rsidRDefault="00D86A11" w:rsidP="00D575CA">
      <w:pPr>
        <w:spacing w:before="120"/>
        <w:rPr>
          <w:rFonts w:ascii="Franklin Gothic Book" w:hAnsi="Franklin Gothic Book"/>
          <w:color w:val="auto"/>
          <w:spacing w:val="20"/>
          <w:szCs w:val="28"/>
        </w:rPr>
      </w:pPr>
      <w:r w:rsidRPr="00F21223">
        <w:rPr>
          <w:rFonts w:ascii="Franklin Gothic Book" w:hAnsi="Franklin Gothic Book"/>
          <w:color w:val="auto"/>
          <w:spacing w:val="20"/>
          <w:szCs w:val="28"/>
        </w:rPr>
        <w:t>The visitation contract also assists with:</w:t>
      </w:r>
    </w:p>
    <w:p w:rsidR="00D86A11" w:rsidRPr="008F3931" w:rsidRDefault="00D86A11" w:rsidP="00D86A11">
      <w:pPr>
        <w:numPr>
          <w:ilvl w:val="0"/>
          <w:numId w:val="16"/>
        </w:numPr>
        <w:spacing w:before="120" w:after="0"/>
        <w:ind w:right="130"/>
        <w:rPr>
          <w:rFonts w:ascii="Franklin Gothic Book" w:hAnsi="Franklin Gothic Book"/>
          <w:color w:val="auto"/>
          <w:spacing w:val="20"/>
          <w:szCs w:val="28"/>
        </w:rPr>
      </w:pPr>
      <w:r w:rsidRPr="008F3931">
        <w:rPr>
          <w:rFonts w:ascii="Franklin Gothic Book" w:hAnsi="Franklin Gothic Book"/>
          <w:b/>
          <w:color w:val="auto"/>
          <w:spacing w:val="20"/>
          <w:szCs w:val="28"/>
        </w:rPr>
        <w:t>Incredible Families</w:t>
      </w:r>
      <w:r>
        <w:rPr>
          <w:rFonts w:ascii="Franklin Gothic Book" w:hAnsi="Franklin Gothic Book"/>
          <w:b/>
          <w:color w:val="auto"/>
          <w:spacing w:val="20"/>
          <w:szCs w:val="28"/>
        </w:rPr>
        <w:t>:</w:t>
      </w:r>
      <w:r w:rsidRPr="008F3931">
        <w:rPr>
          <w:rFonts w:ascii="Franklin Gothic Book" w:hAnsi="Franklin Gothic Book"/>
          <w:color w:val="auto"/>
          <w:spacing w:val="20"/>
          <w:szCs w:val="28"/>
        </w:rPr>
        <w:t xml:space="preserve"> a family focused approach that integrates the evidence-based Incredible Years model of parent education with a family meal and monitored visit. The visitation contractors provide transportation and monitor the visits. Incredible Families is funded by Mental Health Services Act funding.</w:t>
      </w:r>
    </w:p>
    <w:p w:rsidR="00D86A11" w:rsidRPr="00867B52" w:rsidRDefault="00D86A11" w:rsidP="00D86A11">
      <w:pPr>
        <w:pStyle w:val="Heading3"/>
        <w:spacing w:line="276" w:lineRule="auto"/>
        <w:rPr>
          <w:b w:val="0"/>
          <w:color w:val="auto"/>
          <w:sz w:val="22"/>
        </w:rPr>
      </w:pPr>
      <w:r w:rsidRPr="00867B52">
        <w:rPr>
          <w:b w:val="0"/>
          <w:color w:val="auto"/>
          <w:sz w:val="22"/>
        </w:rPr>
        <w:t xml:space="preserve">Families have consistently provided positive ratings in customer satisfaction surveys of these services. </w:t>
      </w:r>
    </w:p>
    <w:p w:rsidR="00D86A11" w:rsidRPr="00402038" w:rsidRDefault="00D86A11" w:rsidP="00D86A11">
      <w:pPr>
        <w:pStyle w:val="Heading2"/>
        <w:rPr>
          <w:color w:val="F6872B"/>
        </w:rPr>
      </w:pPr>
      <w:r w:rsidRPr="00402038">
        <w:rPr>
          <w:color w:val="F6872B"/>
        </w:rPr>
        <w:t>Permanency</w:t>
      </w:r>
    </w:p>
    <w:p w:rsidR="00D86A11" w:rsidRPr="00402038" w:rsidRDefault="00D86A11" w:rsidP="00D86A11">
      <w:pPr>
        <w:pStyle w:val="Heading3"/>
        <w:spacing w:line="276" w:lineRule="auto"/>
        <w:rPr>
          <w:b w:val="0"/>
          <w:color w:val="auto"/>
          <w:sz w:val="22"/>
        </w:rPr>
      </w:pPr>
      <w:r w:rsidRPr="00402038">
        <w:rPr>
          <w:b w:val="0"/>
          <w:color w:val="auto"/>
          <w:sz w:val="22"/>
        </w:rPr>
        <w:t xml:space="preserve">Permanency has been a focus of </w:t>
      </w:r>
      <w:r>
        <w:rPr>
          <w:b w:val="0"/>
          <w:color w:val="auto"/>
          <w:sz w:val="22"/>
        </w:rPr>
        <w:t xml:space="preserve">the </w:t>
      </w:r>
      <w:r w:rsidRPr="00402038">
        <w:rPr>
          <w:b w:val="0"/>
          <w:color w:val="auto"/>
          <w:sz w:val="22"/>
        </w:rPr>
        <w:t>County of San Diego’s System Improvement Plan for the past two cycles and the County has made significant progress in improving performance on the federal measure. The contracted family visitation services have contributed to this improvement by providing social workers with an additional resource they can use to support frequent family visitations while children are in out-of-home care.</w:t>
      </w:r>
    </w:p>
    <w:p w:rsidR="00D86A11" w:rsidRPr="00402038" w:rsidRDefault="00D86A11" w:rsidP="00D86A11">
      <w:pPr>
        <w:pStyle w:val="Heading2"/>
        <w:rPr>
          <w:color w:val="F6872B"/>
        </w:rPr>
      </w:pPr>
      <w:r w:rsidRPr="00402038">
        <w:rPr>
          <w:color w:val="F6872B"/>
        </w:rPr>
        <w:t>Adoption Support Services</w:t>
      </w:r>
    </w:p>
    <w:p w:rsidR="00D86A11" w:rsidRDefault="00D86A11" w:rsidP="00D86A11">
      <w:pPr>
        <w:pStyle w:val="Heading3"/>
        <w:spacing w:line="276" w:lineRule="auto"/>
        <w:rPr>
          <w:b w:val="0"/>
          <w:color w:val="auto"/>
          <w:sz w:val="22"/>
        </w:rPr>
      </w:pPr>
      <w:r w:rsidRPr="00402038">
        <w:rPr>
          <w:b w:val="0"/>
          <w:color w:val="auto"/>
          <w:sz w:val="22"/>
        </w:rPr>
        <w:t xml:space="preserve">PSSF funds are allocated for the Adoption Support Services program for families at all stages of the adoption process. Highly trained staff provide a range of services for all members of adoptive families, including support groups, training, referrals, mental health services, respite and recreational activities. Despite the reduction in </w:t>
      </w:r>
      <w:r w:rsidRPr="00402038">
        <w:rPr>
          <w:b w:val="0"/>
          <w:color w:val="auto"/>
          <w:sz w:val="22"/>
        </w:rPr>
        <w:lastRenderedPageBreak/>
        <w:t xml:space="preserve">PSSF funds, the Adoption Support Services Contractor provides quality and efficient services to adoption families. Additional needs identified include respite care and clinical services to all regions of the county. </w:t>
      </w:r>
    </w:p>
    <w:p w:rsidR="00D86A11" w:rsidRPr="00945145" w:rsidRDefault="00D86A11" w:rsidP="00D86A11">
      <w:pPr>
        <w:pStyle w:val="Heading2"/>
        <w:rPr>
          <w:color w:val="F6872B"/>
        </w:rPr>
      </w:pPr>
      <w:r w:rsidRPr="00945145">
        <w:rPr>
          <w:color w:val="F6872B"/>
        </w:rPr>
        <w:t>Legal Advocacy Services for Children and Families</w:t>
      </w:r>
    </w:p>
    <w:p w:rsidR="00D86A11" w:rsidRPr="00493290" w:rsidRDefault="00D86A11" w:rsidP="00D86A11">
      <w:pPr>
        <w:pStyle w:val="Heading3"/>
        <w:spacing w:line="276" w:lineRule="auto"/>
        <w:rPr>
          <w:b w:val="0"/>
          <w:color w:val="auto"/>
          <w:sz w:val="22"/>
        </w:rPr>
      </w:pPr>
      <w:r w:rsidRPr="00493290">
        <w:rPr>
          <w:b w:val="0"/>
          <w:color w:val="auto"/>
          <w:sz w:val="22"/>
        </w:rPr>
        <w:t xml:space="preserve">The County funds a Special Education Advocacy program through the San Diego Volunteer Lawyers Program (SDVLP) that provides legal assistance, advocacy and representation to dependency youth with special education or disciplinary needs. They provide consultation and information for CWS Social Workers, foster parents, relative/non-relative caretakers and parents of children who are dependents of the </w:t>
      </w:r>
      <w:r>
        <w:rPr>
          <w:b w:val="0"/>
          <w:color w:val="auto"/>
          <w:sz w:val="22"/>
        </w:rPr>
        <w:t>County of San Diego</w:t>
      </w:r>
      <w:r w:rsidRPr="00493290">
        <w:rPr>
          <w:b w:val="0"/>
          <w:color w:val="auto"/>
          <w:sz w:val="22"/>
        </w:rPr>
        <w:t xml:space="preserve"> Juvenile Court. </w:t>
      </w:r>
    </w:p>
    <w:p w:rsidR="00D86A11" w:rsidRPr="00493290" w:rsidRDefault="00D86A11" w:rsidP="00D86A11">
      <w:pPr>
        <w:pStyle w:val="Heading3"/>
        <w:spacing w:line="276" w:lineRule="auto"/>
        <w:rPr>
          <w:b w:val="0"/>
          <w:color w:val="auto"/>
          <w:sz w:val="22"/>
        </w:rPr>
      </w:pPr>
      <w:r w:rsidRPr="00493290">
        <w:rPr>
          <w:b w:val="0"/>
          <w:color w:val="auto"/>
          <w:sz w:val="22"/>
        </w:rPr>
        <w:t xml:space="preserve">The County also funds a Guardianship Legal Advocacy program through the SDVLP that provides legal services to adults seeking to become legal guardians for relative or minor children who are not CWS dependents but are unable to live with a parent. These SDVLP programs leverage CWS funding and Children’s Trust Fund. This allows the contractors to serve voluntary and dependency families. </w:t>
      </w:r>
    </w:p>
    <w:p w:rsidR="00D575CA" w:rsidRDefault="00D575CA" w:rsidP="00D86A11">
      <w:pPr>
        <w:pStyle w:val="Heading2"/>
        <w:rPr>
          <w:color w:val="F6872B"/>
        </w:rPr>
      </w:pPr>
    </w:p>
    <w:p w:rsidR="00D86A11" w:rsidRPr="00501BDF" w:rsidRDefault="00D86A11" w:rsidP="00D86A11">
      <w:pPr>
        <w:pStyle w:val="Heading2"/>
        <w:rPr>
          <w:color w:val="F6872B"/>
        </w:rPr>
      </w:pPr>
      <w:r w:rsidRPr="00501BDF">
        <w:rPr>
          <w:color w:val="F6872B"/>
        </w:rPr>
        <w:t>Evidence-Based and Evidence-Informed Practices</w:t>
      </w:r>
    </w:p>
    <w:p w:rsidR="00D86A11" w:rsidRPr="00501BDF" w:rsidRDefault="00D86A11" w:rsidP="00D86A11">
      <w:pPr>
        <w:pStyle w:val="Heading3"/>
        <w:spacing w:line="276" w:lineRule="auto"/>
        <w:rPr>
          <w:b w:val="0"/>
          <w:color w:val="auto"/>
          <w:sz w:val="22"/>
        </w:rPr>
      </w:pPr>
      <w:r w:rsidRPr="00501BDF">
        <w:rPr>
          <w:b w:val="0"/>
          <w:color w:val="auto"/>
          <w:sz w:val="22"/>
        </w:rPr>
        <w:t xml:space="preserve">The County of San Diego is committed to implementing evidence-based and evidence-informed practices. These programs are funded through a variety of mechanisms including CBCAP, Children’s Trust Fund, Mental Health Services Act funds, and grant funds. The array of programs below, demonstrate the commitment the County has made to implementing evidence-based practice. We have a close relationship with our local universities and participate in a number of research projects. The Child Welfare Director is a member of the Advisory Committee for the </w:t>
      </w:r>
      <w:r>
        <w:rPr>
          <w:b w:val="0"/>
          <w:color w:val="auto"/>
          <w:sz w:val="22"/>
        </w:rPr>
        <w:t xml:space="preserve">California </w:t>
      </w:r>
      <w:r w:rsidRPr="00501BDF">
        <w:rPr>
          <w:b w:val="0"/>
          <w:color w:val="auto"/>
          <w:sz w:val="22"/>
        </w:rPr>
        <w:t xml:space="preserve">Evidence-Based Clearinghouse for Child Welfare. This is a resource the County uses and also provides input on topical areas to be studied. </w:t>
      </w:r>
    </w:p>
    <w:p w:rsidR="00D86A11" w:rsidRPr="00501BDF" w:rsidRDefault="00D86A11" w:rsidP="00D86A11">
      <w:pPr>
        <w:pStyle w:val="Heading3"/>
        <w:spacing w:line="276" w:lineRule="auto"/>
        <w:rPr>
          <w:b w:val="0"/>
          <w:color w:val="auto"/>
          <w:sz w:val="22"/>
        </w:rPr>
      </w:pPr>
      <w:r w:rsidRPr="00501BDF">
        <w:rPr>
          <w:b w:val="0"/>
          <w:color w:val="auto"/>
          <w:sz w:val="22"/>
        </w:rPr>
        <w:t xml:space="preserve">The County is challenged with the ability to offer the range of services in all areas of the County. In the rural areas, many families have transportation issues and lengthy travel times. We have been working with our contracted services to increase the coverage. An example of this is the Native American program offered on the reservations. </w:t>
      </w:r>
    </w:p>
    <w:p w:rsidR="00D86A11" w:rsidRPr="00F1558F" w:rsidRDefault="00D86A11" w:rsidP="00D86A11">
      <w:pPr>
        <w:pStyle w:val="Heading3"/>
        <w:spacing w:line="276" w:lineRule="auto"/>
        <w:rPr>
          <w:b w:val="0"/>
          <w:color w:val="auto"/>
          <w:sz w:val="22"/>
        </w:rPr>
      </w:pPr>
      <w:r w:rsidRPr="00F1558F">
        <w:rPr>
          <w:b w:val="0"/>
          <w:color w:val="auto"/>
          <w:sz w:val="22"/>
        </w:rPr>
        <w:t>Children with disabilities are served through a variety of programs to ensure their needs are met. Through the Educational Liaisons and Educational Legal Advocacy Program, social workers work with contractors to ensure children are receiving needed school-based services. The County has made a strong commitment to identifying infants and young children with physical, developmental, and mental health problems as evidenced by the Developmental Screening and Enhancement Program and KidSTART Center and Clinic.</w:t>
      </w:r>
    </w:p>
    <w:p w:rsidR="00D86A11" w:rsidRPr="006239A1" w:rsidRDefault="00D86A11" w:rsidP="00D86A11">
      <w:pPr>
        <w:pStyle w:val="Heading2"/>
        <w:rPr>
          <w:color w:val="F6872B"/>
        </w:rPr>
      </w:pPr>
      <w:r w:rsidRPr="006239A1">
        <w:rPr>
          <w:color w:val="F6872B"/>
        </w:rPr>
        <w:t>Project KEEP</w:t>
      </w:r>
    </w:p>
    <w:p w:rsidR="00D86A11" w:rsidRPr="0032164B" w:rsidRDefault="00D86A11" w:rsidP="00D86A11">
      <w:pPr>
        <w:pStyle w:val="Heading3"/>
        <w:spacing w:line="276" w:lineRule="auto"/>
        <w:rPr>
          <w:b w:val="0"/>
          <w:color w:val="auto"/>
          <w:sz w:val="22"/>
        </w:rPr>
      </w:pPr>
      <w:r w:rsidRPr="0032164B">
        <w:rPr>
          <w:b w:val="0"/>
          <w:color w:val="auto"/>
          <w:sz w:val="22"/>
        </w:rPr>
        <w:lastRenderedPageBreak/>
        <w:t xml:space="preserve">Project KEEP’s main objective is to give foster and relative parents effective tools for dealing with their child's behavioral and emotional problems, and to support them in the implementation of those tools. </w:t>
      </w:r>
    </w:p>
    <w:p w:rsidR="00D86A11" w:rsidRPr="0032164B" w:rsidRDefault="00D86A11" w:rsidP="00D86A11">
      <w:pPr>
        <w:pStyle w:val="Heading3"/>
        <w:spacing w:line="276" w:lineRule="auto"/>
        <w:rPr>
          <w:b w:val="0"/>
          <w:color w:val="auto"/>
          <w:sz w:val="22"/>
        </w:rPr>
      </w:pPr>
      <w:r w:rsidRPr="0032164B">
        <w:rPr>
          <w:b w:val="0"/>
          <w:color w:val="auto"/>
          <w:sz w:val="22"/>
        </w:rPr>
        <w:t>Curriculum topics include framing the foster/relative parents' role as that of key agents of change with opportunities to alter the life course trajectories of the children placed with them. Foster/relative parents are taught methods for encouraging child cooperation, using behavioral contingencies and effective limit setting, and balancing encouragement and limits. There are also sessions on dealing with difficult problem behaviors, including covert behaviors, promoting school success, encouraging positive peer relationships and strategies for managing stress brought on by providing foster care. There is an emphasis on active learning methods; illustrations of primary concepts are presented via role-plays and videotapes. This program is currently funded through grant funds.</w:t>
      </w:r>
    </w:p>
    <w:p w:rsidR="00D86A11" w:rsidRPr="00632E80" w:rsidRDefault="00D86A11" w:rsidP="00D86A11">
      <w:pPr>
        <w:pStyle w:val="Heading2"/>
        <w:rPr>
          <w:color w:val="F6872B"/>
        </w:rPr>
      </w:pPr>
      <w:r w:rsidRPr="00632E80">
        <w:rPr>
          <w:color w:val="F6872B"/>
        </w:rPr>
        <w:t>Incredible Years</w:t>
      </w:r>
    </w:p>
    <w:p w:rsidR="00D86A11" w:rsidRDefault="00D86A11" w:rsidP="00D86A11">
      <w:pPr>
        <w:pStyle w:val="Heading3"/>
        <w:spacing w:line="276" w:lineRule="auto"/>
        <w:rPr>
          <w:b w:val="0"/>
          <w:color w:val="auto"/>
          <w:sz w:val="22"/>
        </w:rPr>
      </w:pPr>
      <w:r w:rsidRPr="00632E80">
        <w:rPr>
          <w:b w:val="0"/>
          <w:color w:val="auto"/>
          <w:sz w:val="22"/>
        </w:rPr>
        <w:t xml:space="preserve">Incredible Years (IY) is a series of three separate, multifaceted, and developmentally based curricula for parents, teachers and children. This series is designed to promote emotional and social competence; and to prevent, reduce, and treat behavior and emotional problems in young children. The parent, teacher and child programs can be used separately or in combination. There are treatment versions of the parent and child programs as well as prevention versions for high-risk populations. This program is being implemented with CWS parents and children in two regions in the County in a unique format that starts each session with a monitored visitation and meal for parents and children, and then the visitation contractors return the children to their placement homes and parents remain to participate in the IY training. This program is currently funded through Mental Health Services Act funds. If additional funds could be identified, this would be a useful model to extend countywide. </w:t>
      </w:r>
    </w:p>
    <w:p w:rsidR="00D86A11" w:rsidRDefault="00D86A11" w:rsidP="00D86A11">
      <w:pPr>
        <w:pStyle w:val="Heading1"/>
        <w:rPr>
          <w:color w:val="013161"/>
        </w:rPr>
      </w:pPr>
      <w:r w:rsidRPr="000602BA">
        <w:rPr>
          <w:color w:val="013161"/>
        </w:rPr>
        <w:t>7. Quality Assurance System</w:t>
      </w:r>
    </w:p>
    <w:p w:rsidR="00D86A11" w:rsidRPr="000602BA" w:rsidRDefault="00D86A11" w:rsidP="00D86A11">
      <w:pPr>
        <w:pStyle w:val="Heading2"/>
        <w:rPr>
          <w:color w:val="F6872B"/>
        </w:rPr>
      </w:pPr>
      <w:r w:rsidRPr="004161DC">
        <w:rPr>
          <w:color w:val="F6872B"/>
        </w:rPr>
        <w:t>CWS</w:t>
      </w:r>
      <w:r w:rsidRPr="000602BA">
        <w:rPr>
          <w:color w:val="F6872B"/>
        </w:rPr>
        <w:t xml:space="preserve"> Quality Assurance  </w:t>
      </w:r>
    </w:p>
    <w:p w:rsidR="00D86A11" w:rsidRPr="000F3E9B" w:rsidRDefault="00D86A11" w:rsidP="00D86A11">
      <w:pPr>
        <w:pStyle w:val="Heading3"/>
        <w:spacing w:line="276" w:lineRule="auto"/>
        <w:rPr>
          <w:b w:val="0"/>
          <w:color w:val="auto"/>
          <w:sz w:val="22"/>
        </w:rPr>
      </w:pPr>
      <w:r w:rsidRPr="000F3E9B">
        <w:rPr>
          <w:b w:val="0"/>
          <w:color w:val="auto"/>
          <w:sz w:val="22"/>
        </w:rPr>
        <w:t xml:space="preserve">In 2012 the County of San Diego Child Welfare Services (CWS) began shifting from Quality Assurance (QA) to Continuous Quality Improvement (CQI). The goal for CQI in San Diego is to evaluate and identify what is working well and build our strengths as a child welfare system as well as recognizing where improvements are needed. Additionally, there has been a focused and comprehensive effort to improve the quality of data, how to use data to help inform practice, and to expand the reporting and outcome measures. </w:t>
      </w:r>
      <w:r>
        <w:rPr>
          <w:b w:val="0"/>
          <w:color w:val="auto"/>
          <w:sz w:val="22"/>
        </w:rPr>
        <w:t>CWS utilizes CFSR outcome measures, the UC Berkeley CWS/CMS data system and Safe Measures to assist with quality assurance.  In the past five years, m</w:t>
      </w:r>
      <w:r w:rsidRPr="000F3E9B">
        <w:rPr>
          <w:b w:val="0"/>
          <w:color w:val="auto"/>
          <w:sz w:val="22"/>
        </w:rPr>
        <w:t>ajor milestones include:</w:t>
      </w:r>
    </w:p>
    <w:p w:rsidR="00D86A11" w:rsidRPr="000F3E9B" w:rsidRDefault="00D86A11" w:rsidP="00D86A11">
      <w:pPr>
        <w:numPr>
          <w:ilvl w:val="0"/>
          <w:numId w:val="16"/>
        </w:numPr>
        <w:spacing w:before="120" w:after="0"/>
        <w:ind w:right="130"/>
        <w:rPr>
          <w:rFonts w:ascii="Franklin Gothic Book" w:hAnsi="Franklin Gothic Book"/>
          <w:color w:val="auto"/>
          <w:spacing w:val="20"/>
          <w:szCs w:val="28"/>
        </w:rPr>
      </w:pPr>
      <w:r w:rsidRPr="000F3E9B">
        <w:rPr>
          <w:rFonts w:ascii="Franklin Gothic Book" w:hAnsi="Franklin Gothic Book"/>
          <w:color w:val="auto"/>
          <w:spacing w:val="20"/>
          <w:szCs w:val="28"/>
        </w:rPr>
        <w:t xml:space="preserve">Establishment and staffing of the Data and Continuous Quality Improvement Unit (CQI). The Data unit currently has four staff members and our CQI unit consists of 2 supervisors and 8 social workers. </w:t>
      </w:r>
    </w:p>
    <w:p w:rsidR="00D86A11" w:rsidRPr="000F3E9B" w:rsidRDefault="00D86A11" w:rsidP="00D86A11">
      <w:pPr>
        <w:numPr>
          <w:ilvl w:val="0"/>
          <w:numId w:val="16"/>
        </w:numPr>
        <w:spacing w:before="120" w:after="0"/>
        <w:ind w:right="130"/>
        <w:rPr>
          <w:rFonts w:ascii="Franklin Gothic Book" w:hAnsi="Franklin Gothic Book"/>
          <w:color w:val="auto"/>
          <w:spacing w:val="20"/>
          <w:szCs w:val="28"/>
        </w:rPr>
      </w:pPr>
      <w:r w:rsidRPr="000F3E9B">
        <w:rPr>
          <w:rFonts w:ascii="Franklin Gothic Book" w:hAnsi="Franklin Gothic Book"/>
          <w:color w:val="auto"/>
          <w:spacing w:val="20"/>
          <w:szCs w:val="28"/>
        </w:rPr>
        <w:lastRenderedPageBreak/>
        <w:t xml:space="preserve">In 2012 </w:t>
      </w:r>
      <w:r w:rsidR="00A56CE5" w:rsidRPr="000F3E9B">
        <w:rPr>
          <w:rFonts w:ascii="Franklin Gothic Book" w:hAnsi="Franklin Gothic Book"/>
          <w:color w:val="auto"/>
          <w:spacing w:val="20"/>
          <w:szCs w:val="28"/>
        </w:rPr>
        <w:t>a</w:t>
      </w:r>
      <w:r w:rsidRPr="000F3E9B">
        <w:rPr>
          <w:rFonts w:ascii="Franklin Gothic Book" w:hAnsi="Franklin Gothic Book"/>
          <w:color w:val="auto"/>
          <w:spacing w:val="20"/>
          <w:szCs w:val="28"/>
        </w:rPr>
        <w:t xml:space="preserve"> CQI Policy Analyst was assigned to each regional office, as well as centralized programs. CQI Policy Analysts ensure that policies and practices are correctly </w:t>
      </w:r>
      <w:r w:rsidR="00A56CE5" w:rsidRPr="000F3E9B">
        <w:rPr>
          <w:rFonts w:ascii="Franklin Gothic Book" w:hAnsi="Franklin Gothic Book"/>
          <w:color w:val="auto"/>
          <w:spacing w:val="20"/>
          <w:szCs w:val="28"/>
        </w:rPr>
        <w:t>followed</w:t>
      </w:r>
      <w:r w:rsidR="00A56CE5">
        <w:rPr>
          <w:rFonts w:ascii="Franklin Gothic Book" w:hAnsi="Franklin Gothic Book"/>
          <w:color w:val="auto"/>
          <w:spacing w:val="20"/>
          <w:szCs w:val="28"/>
        </w:rPr>
        <w:t>;</w:t>
      </w:r>
      <w:r>
        <w:rPr>
          <w:rFonts w:ascii="Franklin Gothic Book" w:hAnsi="Franklin Gothic Book"/>
          <w:color w:val="auto"/>
          <w:spacing w:val="20"/>
          <w:szCs w:val="28"/>
        </w:rPr>
        <w:t xml:space="preserve"> conduct case reviews for each region,</w:t>
      </w:r>
      <w:r w:rsidRPr="000F3E9B">
        <w:rPr>
          <w:rFonts w:ascii="Franklin Gothic Book" w:hAnsi="Franklin Gothic Book"/>
          <w:color w:val="auto"/>
          <w:spacing w:val="20"/>
          <w:szCs w:val="28"/>
        </w:rPr>
        <w:t xml:space="preserve"> and </w:t>
      </w:r>
      <w:r>
        <w:rPr>
          <w:rFonts w:ascii="Franklin Gothic Book" w:hAnsi="Franklin Gothic Book"/>
          <w:color w:val="auto"/>
          <w:spacing w:val="20"/>
          <w:szCs w:val="28"/>
        </w:rPr>
        <w:t xml:space="preserve">ensure </w:t>
      </w:r>
      <w:r w:rsidRPr="000F3E9B">
        <w:rPr>
          <w:rFonts w:ascii="Franklin Gothic Book" w:hAnsi="Franklin Gothic Book"/>
          <w:color w:val="auto"/>
          <w:spacing w:val="20"/>
          <w:szCs w:val="28"/>
        </w:rPr>
        <w:t xml:space="preserve">that best practices are used in providing services to children and families. </w:t>
      </w:r>
    </w:p>
    <w:p w:rsidR="00D86A11" w:rsidRPr="000F3E9B" w:rsidRDefault="00D86A11" w:rsidP="00D86A11">
      <w:pPr>
        <w:numPr>
          <w:ilvl w:val="0"/>
          <w:numId w:val="16"/>
        </w:numPr>
        <w:spacing w:before="120" w:after="0"/>
        <w:ind w:right="130"/>
        <w:rPr>
          <w:rFonts w:ascii="Franklin Gothic Book" w:hAnsi="Franklin Gothic Book"/>
          <w:color w:val="auto"/>
          <w:spacing w:val="20"/>
          <w:szCs w:val="28"/>
        </w:rPr>
      </w:pPr>
      <w:r w:rsidRPr="000F3E9B">
        <w:rPr>
          <w:rFonts w:ascii="Franklin Gothic Book" w:hAnsi="Franklin Gothic Book"/>
          <w:color w:val="auto"/>
          <w:spacing w:val="20"/>
          <w:szCs w:val="28"/>
        </w:rPr>
        <w:t xml:space="preserve">Monthly CQI  Workgroup meetings that address a variety of data and practice issues and lead efforts to improve performance on federal, state and local performance measures. The meetings are co-chaired by the Data and CQI manager and supervisors. </w:t>
      </w:r>
    </w:p>
    <w:p w:rsidR="00D86A11" w:rsidRPr="000F3E9B" w:rsidRDefault="00D86A11" w:rsidP="00D86A11">
      <w:pPr>
        <w:numPr>
          <w:ilvl w:val="0"/>
          <w:numId w:val="16"/>
        </w:numPr>
        <w:spacing w:before="120" w:after="0"/>
        <w:ind w:right="130"/>
        <w:rPr>
          <w:rFonts w:ascii="Franklin Gothic Book" w:hAnsi="Franklin Gothic Book"/>
          <w:color w:val="auto"/>
          <w:spacing w:val="20"/>
          <w:szCs w:val="28"/>
        </w:rPr>
      </w:pPr>
      <w:r w:rsidRPr="000F3E9B">
        <w:rPr>
          <w:rFonts w:ascii="Franklin Gothic Book" w:hAnsi="Franklin Gothic Book"/>
          <w:color w:val="auto"/>
          <w:spacing w:val="20"/>
          <w:szCs w:val="28"/>
        </w:rPr>
        <w:t>Alignment of local performance measures with state and federal measures.</w:t>
      </w:r>
    </w:p>
    <w:p w:rsidR="00D86A11" w:rsidRPr="000F3E9B" w:rsidRDefault="00D86A11" w:rsidP="00D86A11">
      <w:pPr>
        <w:numPr>
          <w:ilvl w:val="0"/>
          <w:numId w:val="16"/>
        </w:numPr>
        <w:spacing w:before="120" w:after="0"/>
        <w:ind w:right="130"/>
        <w:rPr>
          <w:rFonts w:ascii="Franklin Gothic Book" w:hAnsi="Franklin Gothic Book"/>
          <w:color w:val="auto"/>
          <w:spacing w:val="20"/>
          <w:szCs w:val="28"/>
        </w:rPr>
      </w:pPr>
      <w:r w:rsidRPr="000F3E9B">
        <w:rPr>
          <w:rFonts w:ascii="Franklin Gothic Book" w:hAnsi="Franklin Gothic Book"/>
          <w:color w:val="auto"/>
          <w:spacing w:val="20"/>
          <w:szCs w:val="28"/>
        </w:rPr>
        <w:t xml:space="preserve">Development of referral and case review  tools </w:t>
      </w:r>
      <w:r>
        <w:rPr>
          <w:rFonts w:ascii="Franklin Gothic Book" w:hAnsi="Franklin Gothic Book"/>
          <w:color w:val="auto"/>
          <w:spacing w:val="20"/>
          <w:szCs w:val="28"/>
        </w:rPr>
        <w:t xml:space="preserve">aligned with the SET practice framework </w:t>
      </w:r>
      <w:r w:rsidRPr="000F3E9B">
        <w:rPr>
          <w:rFonts w:ascii="Franklin Gothic Book" w:hAnsi="Franklin Gothic Book"/>
          <w:color w:val="auto"/>
          <w:spacing w:val="20"/>
          <w:szCs w:val="28"/>
        </w:rPr>
        <w:t>to identify best practice and improvement areas</w:t>
      </w:r>
    </w:p>
    <w:p w:rsidR="00D86A11" w:rsidRPr="000F3E9B" w:rsidRDefault="00D86A11" w:rsidP="00D86A11">
      <w:pPr>
        <w:pStyle w:val="Heading3"/>
        <w:spacing w:line="276" w:lineRule="auto"/>
        <w:rPr>
          <w:b w:val="0"/>
          <w:color w:val="auto"/>
          <w:sz w:val="22"/>
        </w:rPr>
      </w:pPr>
      <w:r w:rsidRPr="000F3E9B">
        <w:rPr>
          <w:b w:val="0"/>
          <w:color w:val="auto"/>
          <w:sz w:val="22"/>
        </w:rPr>
        <w:t>The Data Unit distributes approximately 4 weekly</w:t>
      </w:r>
      <w:r>
        <w:rPr>
          <w:b w:val="0"/>
          <w:color w:val="auto"/>
          <w:sz w:val="22"/>
        </w:rPr>
        <w:t xml:space="preserve"> data reports</w:t>
      </w:r>
      <w:r w:rsidRPr="000F3E9B">
        <w:rPr>
          <w:b w:val="0"/>
          <w:color w:val="auto"/>
          <w:sz w:val="22"/>
        </w:rPr>
        <w:t xml:space="preserve">, 20 monthly data reports, 8 quarterly reports and several annual reports and produces 5-10 ad hoc data reports each month. In addition, the County contracts with the National Council on Crime and Delinquency, Children’s Research Center, for additional ad hoc reporting services. </w:t>
      </w:r>
    </w:p>
    <w:p w:rsidR="00D86A11" w:rsidRPr="00204F17" w:rsidRDefault="00D86A11" w:rsidP="00176DFC">
      <w:pPr>
        <w:pStyle w:val="Heading3"/>
        <w:spacing w:beforeLines="200" w:before="480" w:afterLines="40" w:after="96" w:line="276" w:lineRule="auto"/>
        <w:rPr>
          <w:b w:val="0"/>
          <w:color w:val="auto"/>
          <w:sz w:val="22"/>
          <w:szCs w:val="22"/>
        </w:rPr>
      </w:pPr>
      <w:r w:rsidRPr="000F3E9B">
        <w:rPr>
          <w:b w:val="0"/>
          <w:color w:val="auto"/>
          <w:sz w:val="22"/>
        </w:rPr>
        <w:t xml:space="preserve">The Data Unit also provides coordination and oversight of research requests from universities and other researchers, provides technical assistance in developing performance measures for CAPIT/CBCAP/PSSF and other contracts and provides </w:t>
      </w:r>
      <w:r w:rsidRPr="00204F17">
        <w:rPr>
          <w:b w:val="0"/>
          <w:color w:val="auto"/>
          <w:sz w:val="22"/>
          <w:szCs w:val="22"/>
        </w:rPr>
        <w:t xml:space="preserve">some limited support in program evaluation efforts. </w:t>
      </w:r>
    </w:p>
    <w:p w:rsidR="00204F17" w:rsidRPr="00204F17" w:rsidRDefault="00204F17" w:rsidP="00176DFC">
      <w:pPr>
        <w:spacing w:beforeLines="200" w:before="480" w:afterLines="40" w:after="96"/>
        <w:rPr>
          <w:rFonts w:ascii="Franklin Gothic Book" w:hAnsi="Franklin Gothic Book"/>
          <w:spacing w:val="20"/>
          <w:szCs w:val="22"/>
        </w:rPr>
      </w:pPr>
      <w:r w:rsidRPr="00204F17">
        <w:rPr>
          <w:rFonts w:ascii="Franklin Gothic Book" w:hAnsi="Franklin Gothic Book"/>
          <w:spacing w:val="20"/>
          <w:szCs w:val="22"/>
        </w:rPr>
        <w:t>CWS receives</w:t>
      </w:r>
      <w:r>
        <w:rPr>
          <w:rFonts w:ascii="Franklin Gothic Book" w:hAnsi="Franklin Gothic Book"/>
          <w:spacing w:val="20"/>
          <w:szCs w:val="22"/>
        </w:rPr>
        <w:t xml:space="preserve"> Monthly Program Reports (MPR) from each contractor. These reports contain information regarding each of the goals and outcomes listed in the contract Scope of Work (SOW). Spending is tracked by review of monthly invoice statements and fiscal audits. Each Contract Officer Representative (COR) closely monitors their assigned contracts throughout the year. Monitoring activities may include month review of invoices and progress reports, data review, survey results, site visits, case file reviews, fiscal audits and provider meetings</w:t>
      </w:r>
    </w:p>
    <w:p w:rsidR="009103E6" w:rsidRDefault="00D86A11" w:rsidP="00176DFC">
      <w:pPr>
        <w:pStyle w:val="Heading3"/>
        <w:spacing w:beforeLines="200" w:before="480" w:afterLines="40" w:after="96" w:line="276" w:lineRule="auto"/>
        <w:rPr>
          <w:b w:val="0"/>
          <w:color w:val="auto"/>
          <w:sz w:val="22"/>
        </w:rPr>
      </w:pPr>
      <w:r w:rsidRPr="00204F17">
        <w:rPr>
          <w:b w:val="0"/>
          <w:color w:val="auto"/>
          <w:sz w:val="22"/>
          <w:szCs w:val="22"/>
        </w:rPr>
        <w:t>The CQI Policy Analysts use Safe Measures and Data Unit reports on a regular basis</w:t>
      </w:r>
      <w:r w:rsidRPr="000F3E9B">
        <w:rPr>
          <w:b w:val="0"/>
          <w:color w:val="auto"/>
          <w:sz w:val="22"/>
        </w:rPr>
        <w:t xml:space="preserve"> with their regional managers, supervisors and workers to identify areas of excellence and areas of improvement. They conduct referral, case and court report reviews, and facilitate and track Multi-Disciplinary Team meetings. </w:t>
      </w:r>
    </w:p>
    <w:p w:rsidR="00D86A11" w:rsidRPr="00B91E96" w:rsidRDefault="00D86A11" w:rsidP="00D86A11">
      <w:pPr>
        <w:pStyle w:val="Heading3"/>
        <w:spacing w:line="276" w:lineRule="auto"/>
        <w:rPr>
          <w:b w:val="0"/>
          <w:color w:val="auto"/>
          <w:sz w:val="22"/>
        </w:rPr>
      </w:pPr>
      <w:r w:rsidRPr="00B91E96">
        <w:rPr>
          <w:b w:val="0"/>
          <w:color w:val="auto"/>
          <w:sz w:val="22"/>
        </w:rPr>
        <w:t xml:space="preserve">The CWS Director and Policy and Program Support Managers review the CDSS Quarterly Data Report each quarter. In addition, the Data Unit has established Safe Measures dashboards on the County Intranet so that managers and executives in the region can easily find and evaluate the performance of their regions on the County of San Diego’s SIP measures and other key compliance measures. In addition, the SIP measures have been integrated into the County’s Operational </w:t>
      </w:r>
      <w:r w:rsidRPr="00B91E96">
        <w:rPr>
          <w:b w:val="0"/>
          <w:color w:val="auto"/>
          <w:sz w:val="22"/>
        </w:rPr>
        <w:lastRenderedPageBreak/>
        <w:t xml:space="preserve">Plan and the Operational Incentive Plans of the CWS Director, Regional Managers and the Deputy Directors of Centralized and Regional programs. </w:t>
      </w:r>
    </w:p>
    <w:p w:rsidR="00D86A11" w:rsidRPr="008D494A" w:rsidRDefault="00D86A11" w:rsidP="00D86A11">
      <w:pPr>
        <w:pStyle w:val="Heading3"/>
        <w:spacing w:line="276" w:lineRule="auto"/>
        <w:rPr>
          <w:b w:val="0"/>
          <w:color w:val="auto"/>
          <w:sz w:val="22"/>
        </w:rPr>
      </w:pPr>
      <w:r w:rsidRPr="00B91E96">
        <w:rPr>
          <w:b w:val="0"/>
          <w:color w:val="auto"/>
          <w:sz w:val="22"/>
        </w:rPr>
        <w:t xml:space="preserve">All CWS Managers and CQI Policy Analysts are also tasked with monitoring performance for their region/program and working in conjunction with the CQI Workgroup to identify and implement strategies to improve performance. </w:t>
      </w:r>
    </w:p>
    <w:p w:rsidR="00D86A11" w:rsidRPr="008D494A" w:rsidRDefault="00D86A11" w:rsidP="00D86A11">
      <w:pPr>
        <w:pStyle w:val="Heading3"/>
        <w:spacing w:line="276" w:lineRule="auto"/>
        <w:rPr>
          <w:b w:val="0"/>
          <w:color w:val="auto"/>
          <w:sz w:val="22"/>
        </w:rPr>
      </w:pPr>
      <w:r w:rsidRPr="008D494A">
        <w:rPr>
          <w:b w:val="0"/>
          <w:color w:val="auto"/>
          <w:sz w:val="22"/>
        </w:rPr>
        <w:t xml:space="preserve">The Centralized CQI team has incorporated the Child and Family Services Review cases into its regular CQI processes.  The centralized team completes the 100 cases required to be reviewed each year.  </w:t>
      </w:r>
    </w:p>
    <w:p w:rsidR="00D86A11" w:rsidRPr="004161DC" w:rsidRDefault="00D86A11" w:rsidP="00D86A11">
      <w:pPr>
        <w:pStyle w:val="Heading2"/>
        <w:rPr>
          <w:color w:val="F6872B"/>
        </w:rPr>
      </w:pPr>
      <w:r w:rsidRPr="004161DC">
        <w:rPr>
          <w:color w:val="F6872B"/>
        </w:rPr>
        <w:t>Indian Child Welfare Act</w:t>
      </w:r>
    </w:p>
    <w:p w:rsidR="00D86A11" w:rsidRPr="004161DC" w:rsidRDefault="00D86A11" w:rsidP="00D86A11">
      <w:pPr>
        <w:pStyle w:val="Heading3"/>
        <w:spacing w:line="276" w:lineRule="auto"/>
        <w:rPr>
          <w:b w:val="0"/>
          <w:color w:val="auto"/>
          <w:sz w:val="22"/>
        </w:rPr>
      </w:pPr>
      <w:r w:rsidRPr="004161DC">
        <w:rPr>
          <w:b w:val="0"/>
          <w:color w:val="auto"/>
          <w:sz w:val="22"/>
        </w:rPr>
        <w:t xml:space="preserve">CWS policies to meet the Indian Child Welfare Act (ICWA) mandates are available to all social workers in the CWS Policy </w:t>
      </w:r>
      <w:r w:rsidR="00653C5E" w:rsidRPr="004161DC">
        <w:rPr>
          <w:b w:val="0"/>
          <w:color w:val="auto"/>
          <w:sz w:val="22"/>
          <w:szCs w:val="28"/>
        </w:rPr>
        <w:t>Manu</w:t>
      </w:r>
      <w:r w:rsidR="00653C5E">
        <w:rPr>
          <w:b w:val="0"/>
          <w:color w:val="auto"/>
          <w:sz w:val="22"/>
          <w:szCs w:val="28"/>
        </w:rPr>
        <w:t>a</w:t>
      </w:r>
      <w:r w:rsidR="00653C5E" w:rsidRPr="004161DC">
        <w:rPr>
          <w:b w:val="0"/>
          <w:color w:val="auto"/>
          <w:sz w:val="22"/>
          <w:szCs w:val="28"/>
        </w:rPr>
        <w:t>l</w:t>
      </w:r>
      <w:r w:rsidRPr="004161DC">
        <w:rPr>
          <w:b w:val="0"/>
          <w:color w:val="auto"/>
          <w:sz w:val="22"/>
        </w:rPr>
        <w:t>. In addition, CWS has implemented the following to ensure ICWA compliance:</w:t>
      </w:r>
    </w:p>
    <w:p w:rsidR="00D86A11" w:rsidRPr="004161DC" w:rsidRDefault="00D86A11" w:rsidP="00D86A11">
      <w:pPr>
        <w:numPr>
          <w:ilvl w:val="0"/>
          <w:numId w:val="16"/>
        </w:numPr>
        <w:spacing w:before="120" w:after="0"/>
        <w:ind w:right="130"/>
        <w:rPr>
          <w:rFonts w:ascii="Franklin Gothic Book" w:hAnsi="Franklin Gothic Book"/>
          <w:color w:val="auto"/>
          <w:spacing w:val="20"/>
          <w:szCs w:val="28"/>
        </w:rPr>
      </w:pPr>
      <w:r w:rsidRPr="004161DC">
        <w:rPr>
          <w:rFonts w:ascii="Franklin Gothic Book" w:hAnsi="Franklin Gothic Book"/>
          <w:color w:val="auto"/>
          <w:spacing w:val="20"/>
          <w:szCs w:val="28"/>
        </w:rPr>
        <w:t xml:space="preserve">Monthly ICWA  noticing meetings; </w:t>
      </w:r>
    </w:p>
    <w:p w:rsidR="00D86A11" w:rsidRPr="004161DC" w:rsidRDefault="00D86A11" w:rsidP="00D86A11">
      <w:pPr>
        <w:numPr>
          <w:ilvl w:val="0"/>
          <w:numId w:val="16"/>
        </w:numPr>
        <w:spacing w:before="120" w:after="0"/>
        <w:ind w:right="130"/>
        <w:rPr>
          <w:rFonts w:ascii="Franklin Gothic Book" w:hAnsi="Franklin Gothic Book"/>
          <w:color w:val="auto"/>
          <w:spacing w:val="20"/>
          <w:szCs w:val="28"/>
        </w:rPr>
      </w:pPr>
      <w:r w:rsidRPr="004161DC">
        <w:rPr>
          <w:rFonts w:ascii="Franklin Gothic Book" w:hAnsi="Franklin Gothic Book"/>
          <w:color w:val="auto"/>
          <w:spacing w:val="20"/>
          <w:szCs w:val="28"/>
        </w:rPr>
        <w:t xml:space="preserve">ICWA appeal cases are discussed and reasons for the appeal are reviewed;  </w:t>
      </w:r>
    </w:p>
    <w:p w:rsidR="00D86A11" w:rsidRPr="004161DC" w:rsidRDefault="00D86A11" w:rsidP="00D86A11">
      <w:pPr>
        <w:numPr>
          <w:ilvl w:val="0"/>
          <w:numId w:val="16"/>
        </w:numPr>
        <w:spacing w:before="120" w:after="0"/>
        <w:ind w:right="130"/>
        <w:rPr>
          <w:rFonts w:ascii="Franklin Gothic Book" w:hAnsi="Franklin Gothic Book"/>
          <w:color w:val="auto"/>
          <w:spacing w:val="20"/>
          <w:szCs w:val="28"/>
        </w:rPr>
      </w:pPr>
      <w:r w:rsidRPr="004161DC">
        <w:rPr>
          <w:rFonts w:ascii="Franklin Gothic Book" w:hAnsi="Franklin Gothic Book"/>
          <w:color w:val="auto"/>
          <w:spacing w:val="20"/>
          <w:szCs w:val="28"/>
        </w:rPr>
        <w:t xml:space="preserve">Designated ICWA specialists are regionally located;  </w:t>
      </w:r>
    </w:p>
    <w:p w:rsidR="00D86A11" w:rsidRPr="004161DC" w:rsidRDefault="00D86A11" w:rsidP="00D86A11">
      <w:pPr>
        <w:numPr>
          <w:ilvl w:val="0"/>
          <w:numId w:val="16"/>
        </w:numPr>
        <w:spacing w:before="120" w:after="0"/>
        <w:ind w:right="130"/>
        <w:rPr>
          <w:rFonts w:ascii="Franklin Gothic Book" w:hAnsi="Franklin Gothic Book"/>
          <w:color w:val="auto"/>
          <w:spacing w:val="20"/>
          <w:szCs w:val="28"/>
        </w:rPr>
      </w:pPr>
      <w:r w:rsidRPr="004161DC">
        <w:rPr>
          <w:rFonts w:ascii="Franklin Gothic Book" w:hAnsi="Franklin Gothic Book"/>
          <w:color w:val="auto"/>
          <w:spacing w:val="20"/>
          <w:szCs w:val="28"/>
        </w:rPr>
        <w:t>Child Welfare Policy Analyst tracks trends, issues and training concerns;</w:t>
      </w:r>
    </w:p>
    <w:p w:rsidR="00D86A11" w:rsidRPr="004161DC" w:rsidRDefault="00D86A11" w:rsidP="00D86A11">
      <w:pPr>
        <w:numPr>
          <w:ilvl w:val="0"/>
          <w:numId w:val="16"/>
        </w:numPr>
        <w:spacing w:before="120" w:after="0"/>
        <w:ind w:right="130"/>
        <w:rPr>
          <w:rFonts w:ascii="Franklin Gothic Book" w:hAnsi="Franklin Gothic Book"/>
          <w:color w:val="auto"/>
          <w:spacing w:val="20"/>
          <w:szCs w:val="28"/>
        </w:rPr>
      </w:pPr>
      <w:r w:rsidRPr="004161DC">
        <w:rPr>
          <w:rFonts w:ascii="Franklin Gothic Book" w:hAnsi="Franklin Gothic Book"/>
          <w:color w:val="auto"/>
          <w:spacing w:val="20"/>
          <w:szCs w:val="28"/>
        </w:rPr>
        <w:t xml:space="preserve">Child Welfare Policy Analyst attends State ICWA meetings and brings State issues to the ICWA group; </w:t>
      </w:r>
    </w:p>
    <w:p w:rsidR="00D86A11" w:rsidRPr="004161DC" w:rsidRDefault="00D86A11" w:rsidP="00D86A11">
      <w:pPr>
        <w:numPr>
          <w:ilvl w:val="0"/>
          <w:numId w:val="16"/>
        </w:numPr>
        <w:spacing w:before="120" w:after="0"/>
        <w:ind w:right="130"/>
        <w:rPr>
          <w:rFonts w:ascii="Franklin Gothic Book" w:hAnsi="Franklin Gothic Book"/>
          <w:color w:val="auto"/>
          <w:spacing w:val="20"/>
          <w:szCs w:val="28"/>
        </w:rPr>
      </w:pPr>
      <w:r w:rsidRPr="004161DC">
        <w:rPr>
          <w:rFonts w:ascii="Franklin Gothic Book" w:hAnsi="Franklin Gothic Book"/>
          <w:color w:val="auto"/>
          <w:spacing w:val="20"/>
          <w:szCs w:val="28"/>
        </w:rPr>
        <w:t>County of San Diego developed a Tribal protocol in collaboration with local Tribes, and other agency partners. The protocol was highlighted at the 2016 State ICWA conference and highlights ICWA laws and best case practices for ensuring ICWA compliance;</w:t>
      </w:r>
    </w:p>
    <w:p w:rsidR="00D86A11" w:rsidRPr="004161DC" w:rsidRDefault="00D86A11" w:rsidP="00D86A11">
      <w:pPr>
        <w:numPr>
          <w:ilvl w:val="0"/>
          <w:numId w:val="16"/>
        </w:numPr>
        <w:spacing w:before="120" w:after="0"/>
        <w:ind w:right="130"/>
        <w:rPr>
          <w:rFonts w:ascii="Franklin Gothic Book" w:hAnsi="Franklin Gothic Book"/>
          <w:color w:val="auto"/>
          <w:spacing w:val="20"/>
          <w:szCs w:val="28"/>
        </w:rPr>
      </w:pPr>
      <w:r w:rsidRPr="004161DC">
        <w:rPr>
          <w:rFonts w:ascii="Franklin Gothic Book" w:hAnsi="Franklin Gothic Book"/>
          <w:color w:val="auto"/>
          <w:spacing w:val="20"/>
          <w:szCs w:val="28"/>
        </w:rPr>
        <w:t>Permanent Placement Assessment Unit (PPAU) coordinates with Regional staff to ensure ICWA noticing forms are completed correctly.</w:t>
      </w:r>
    </w:p>
    <w:p w:rsidR="00D86A11" w:rsidRPr="009B1816" w:rsidRDefault="00D86A11" w:rsidP="00D86A11">
      <w:pPr>
        <w:pStyle w:val="Heading2"/>
        <w:rPr>
          <w:color w:val="F6872B"/>
        </w:rPr>
      </w:pPr>
      <w:r w:rsidRPr="009B1816">
        <w:rPr>
          <w:color w:val="F6872B"/>
        </w:rPr>
        <w:t>Multi Ethnic Placement Act (MEPA)</w:t>
      </w:r>
    </w:p>
    <w:p w:rsidR="00D86A11" w:rsidRPr="009B1816" w:rsidRDefault="00D86A11" w:rsidP="00D86A11">
      <w:pPr>
        <w:pStyle w:val="Heading3"/>
        <w:spacing w:line="276" w:lineRule="auto"/>
        <w:rPr>
          <w:b w:val="0"/>
          <w:color w:val="auto"/>
          <w:sz w:val="22"/>
        </w:rPr>
      </w:pPr>
      <w:r w:rsidRPr="009B1816">
        <w:rPr>
          <w:b w:val="0"/>
          <w:color w:val="auto"/>
          <w:sz w:val="22"/>
        </w:rPr>
        <w:t>CWS has the following internal processes in place to assure compliance with the Multiethnic Placement Act (MEPA) when making adoptive placements:</w:t>
      </w:r>
    </w:p>
    <w:p w:rsidR="00D86A11" w:rsidRDefault="00D86A11" w:rsidP="00D86A11">
      <w:pPr>
        <w:numPr>
          <w:ilvl w:val="0"/>
          <w:numId w:val="16"/>
        </w:numPr>
        <w:spacing w:before="120" w:after="0"/>
        <w:ind w:right="130"/>
        <w:rPr>
          <w:rFonts w:ascii="Franklin Gothic Book" w:eastAsia="Times New Roman" w:hAnsi="Franklin Gothic Book"/>
          <w:color w:val="auto"/>
          <w:spacing w:val="20"/>
          <w:szCs w:val="22"/>
        </w:rPr>
      </w:pPr>
      <w:r>
        <w:rPr>
          <w:rFonts w:ascii="Franklin Gothic Book" w:eastAsia="Times New Roman" w:hAnsi="Franklin Gothic Book"/>
          <w:color w:val="auto"/>
          <w:spacing w:val="20"/>
        </w:rPr>
        <w:t>The Adoption Placement Committee screens all children in need of an adoptive placement and sends out home studies of potential adoptive families to social workers, regardless of child and family's race (unless the family is not willing to adopt a child of a certain race, which is allowable under MEPA).</w:t>
      </w:r>
    </w:p>
    <w:p w:rsidR="00D86A11" w:rsidRDefault="00D86A11" w:rsidP="00D86A11">
      <w:pPr>
        <w:numPr>
          <w:ilvl w:val="0"/>
          <w:numId w:val="16"/>
        </w:numPr>
        <w:spacing w:before="120" w:after="0"/>
        <w:ind w:right="130"/>
        <w:rPr>
          <w:rFonts w:ascii="Franklin Gothic Book" w:eastAsia="Times New Roman" w:hAnsi="Franklin Gothic Book"/>
          <w:color w:val="auto"/>
          <w:spacing w:val="20"/>
        </w:rPr>
      </w:pPr>
      <w:r>
        <w:rPr>
          <w:rFonts w:ascii="Franklin Gothic Book" w:eastAsia="Times New Roman" w:hAnsi="Franklin Gothic Book"/>
          <w:color w:val="auto"/>
          <w:spacing w:val="20"/>
        </w:rPr>
        <w:t>Social workers are required to review all potential matches, to discuss the matches with the families’ assigned applicant workers, and to provide written feedback on the potential match (i.e. why the family was not selected for the child or why they were matched with the child). These feedback forms are reviewed by the Supervisors.</w:t>
      </w:r>
    </w:p>
    <w:p w:rsidR="00D86A11" w:rsidRDefault="00D86A11" w:rsidP="00D86A11">
      <w:pPr>
        <w:numPr>
          <w:ilvl w:val="0"/>
          <w:numId w:val="16"/>
        </w:numPr>
        <w:spacing w:before="120" w:after="0"/>
        <w:ind w:right="130"/>
        <w:rPr>
          <w:rFonts w:ascii="Franklin Gothic Book" w:eastAsia="Times New Roman" w:hAnsi="Franklin Gothic Book"/>
          <w:color w:val="auto"/>
          <w:spacing w:val="20"/>
        </w:rPr>
      </w:pPr>
      <w:r>
        <w:rPr>
          <w:rFonts w:ascii="Franklin Gothic Book" w:eastAsia="Times New Roman" w:hAnsi="Franklin Gothic Book"/>
          <w:color w:val="auto"/>
          <w:spacing w:val="20"/>
        </w:rPr>
        <w:lastRenderedPageBreak/>
        <w:t>The Placement Committee reviews the feedback forms and returns them to the family's applicant worker and they then remain in the family's file.</w:t>
      </w:r>
    </w:p>
    <w:p w:rsidR="00D86A11" w:rsidRDefault="00D86A11" w:rsidP="00D86A11">
      <w:pPr>
        <w:numPr>
          <w:ilvl w:val="0"/>
          <w:numId w:val="16"/>
        </w:numPr>
        <w:spacing w:before="120" w:after="0"/>
        <w:ind w:right="130"/>
        <w:rPr>
          <w:rFonts w:ascii="Franklin Gothic Book" w:eastAsia="Times New Roman" w:hAnsi="Franklin Gothic Book"/>
          <w:color w:val="auto"/>
          <w:spacing w:val="20"/>
        </w:rPr>
      </w:pPr>
      <w:r>
        <w:rPr>
          <w:rFonts w:ascii="Franklin Gothic Book" w:eastAsia="Times New Roman" w:hAnsi="Franklin Gothic Book"/>
          <w:color w:val="auto"/>
          <w:spacing w:val="20"/>
        </w:rPr>
        <w:t>The feedback forms are used to provide feedback to the families as to why they were not matched; they are also used to pinpoint patterns and biases in practice, which are immediately addressed by the Supervisors and CWS Managers.</w:t>
      </w:r>
    </w:p>
    <w:p w:rsidR="00D86A11" w:rsidRDefault="00D86A11" w:rsidP="00D86A11">
      <w:pPr>
        <w:numPr>
          <w:ilvl w:val="0"/>
          <w:numId w:val="16"/>
        </w:numPr>
        <w:spacing w:before="120" w:after="0"/>
        <w:ind w:right="130"/>
        <w:rPr>
          <w:rFonts w:ascii="Franklin Gothic Book" w:eastAsia="Times New Roman" w:hAnsi="Franklin Gothic Book"/>
          <w:color w:val="auto"/>
          <w:spacing w:val="20"/>
        </w:rPr>
      </w:pPr>
      <w:r>
        <w:rPr>
          <w:rFonts w:ascii="Franklin Gothic Book" w:eastAsia="Times New Roman" w:hAnsi="Franklin Gothic Book"/>
          <w:color w:val="auto"/>
          <w:spacing w:val="20"/>
        </w:rPr>
        <w:t>Social workers for children write a “telling;” a document, which in part individually assesses a child’s needs regarding placement. They also complete a child profile form which includes a section on special</w:t>
      </w:r>
      <w:r>
        <w:rPr>
          <w:rFonts w:ascii="Franklin Gothic Book" w:eastAsia="Times New Roman" w:hAnsi="Franklin Gothic Book"/>
          <w:spacing w:val="20"/>
        </w:rPr>
        <w:t xml:space="preserve"> considerations for placement. These documents are also used in the </w:t>
      </w:r>
      <w:r>
        <w:rPr>
          <w:rFonts w:ascii="Franklin Gothic Book" w:eastAsia="Times New Roman" w:hAnsi="Franklin Gothic Book"/>
          <w:color w:val="auto"/>
          <w:spacing w:val="20"/>
        </w:rPr>
        <w:t>matching process. At times, the consideration of Race, Color, Nationality,</w:t>
      </w:r>
      <w:r w:rsidR="00062DA2">
        <w:rPr>
          <w:rFonts w:ascii="Franklin Gothic Book" w:eastAsia="Times New Roman" w:hAnsi="Franklin Gothic Book"/>
          <w:color w:val="auto"/>
          <w:spacing w:val="20"/>
        </w:rPr>
        <w:t xml:space="preserve"> </w:t>
      </w:r>
      <w:r w:rsidR="00A56CE5">
        <w:rPr>
          <w:rFonts w:ascii="Franklin Gothic Book" w:eastAsia="Times New Roman" w:hAnsi="Franklin Gothic Book"/>
          <w:color w:val="auto"/>
          <w:spacing w:val="20"/>
        </w:rPr>
        <w:t>and</w:t>
      </w:r>
      <w:r>
        <w:rPr>
          <w:rFonts w:ascii="Franklin Gothic Book" w:eastAsia="Times New Roman" w:hAnsi="Franklin Gothic Book"/>
          <w:color w:val="auto"/>
          <w:spacing w:val="20"/>
        </w:rPr>
        <w:t xml:space="preserve"> Origin (RCNO) may be in the child’s best interest and is allowed under MEPA. </w:t>
      </w:r>
    </w:p>
    <w:p w:rsidR="00D86A11" w:rsidRDefault="00D86A11" w:rsidP="00D86A11">
      <w:pPr>
        <w:numPr>
          <w:ilvl w:val="0"/>
          <w:numId w:val="16"/>
        </w:numPr>
        <w:spacing w:before="120" w:after="0"/>
        <w:ind w:right="130"/>
        <w:rPr>
          <w:rFonts w:ascii="Franklin Gothic Book" w:eastAsia="Times New Roman" w:hAnsi="Franklin Gothic Book"/>
          <w:color w:val="auto"/>
          <w:spacing w:val="20"/>
        </w:rPr>
      </w:pPr>
      <w:r>
        <w:rPr>
          <w:rFonts w:ascii="Franklin Gothic Book" w:eastAsia="Times New Roman" w:hAnsi="Franklin Gothic Book"/>
          <w:color w:val="auto"/>
          <w:spacing w:val="20"/>
        </w:rPr>
        <w:t>Recruitment of permanent placement families includes diligent efforts to reach and include families who mirror the characteristics of the children waiting for an adoptive placement.</w:t>
      </w:r>
    </w:p>
    <w:p w:rsidR="00D86A11" w:rsidRPr="007D4F45" w:rsidRDefault="00D86A11" w:rsidP="00176DFC">
      <w:pPr>
        <w:pStyle w:val="Heading3"/>
        <w:spacing w:afterLines="40" w:after="96" w:line="276" w:lineRule="auto"/>
        <w:rPr>
          <w:b w:val="0"/>
          <w:color w:val="auto"/>
          <w:sz w:val="22"/>
        </w:rPr>
      </w:pPr>
      <w:r w:rsidRPr="007D4F45">
        <w:rPr>
          <w:b w:val="0"/>
          <w:color w:val="auto"/>
          <w:sz w:val="22"/>
        </w:rPr>
        <w:t xml:space="preserve">CWS has a staff psychologist who provides case consultation to CWS staff and who liaisons with the County’s contracted Treatment and Evaluation Resources Management (TERM) program. TERM provides oversight of the fee-for-service mental health provider panel that provides individual, conjoint, and family therapy for CWS clients. </w:t>
      </w:r>
    </w:p>
    <w:p w:rsidR="007D4F45" w:rsidRPr="00D575CA" w:rsidRDefault="002B386D" w:rsidP="00176DFC">
      <w:pPr>
        <w:pStyle w:val="Heading3"/>
        <w:spacing w:afterLines="40" w:after="96" w:line="276" w:lineRule="auto"/>
        <w:rPr>
          <w:b w:val="0"/>
          <w:color w:val="auto"/>
          <w:sz w:val="22"/>
        </w:rPr>
      </w:pPr>
      <w:r w:rsidRPr="00D575CA">
        <w:rPr>
          <w:b w:val="0"/>
          <w:color w:val="auto"/>
          <w:sz w:val="22"/>
        </w:rPr>
        <w:t>Child and F</w:t>
      </w:r>
      <w:r>
        <w:rPr>
          <w:b w:val="0"/>
          <w:color w:val="auto"/>
          <w:sz w:val="22"/>
        </w:rPr>
        <w:t>amily Team Meetings (CFT) are h</w:t>
      </w:r>
      <w:r w:rsidRPr="00D575CA">
        <w:rPr>
          <w:b w:val="0"/>
          <w:color w:val="auto"/>
          <w:sz w:val="22"/>
        </w:rPr>
        <w:t xml:space="preserve">eld every 90 days with our “enhanced” children and youth or at any time a team member needs to meet. </w:t>
      </w:r>
      <w:r w:rsidR="003F4ADA" w:rsidRPr="00D575CA">
        <w:rPr>
          <w:b w:val="0"/>
          <w:color w:val="auto"/>
          <w:sz w:val="22"/>
        </w:rPr>
        <w:t>Part of the CFT process includes a medication evaluation.  If a team member believes that the youth does not need to be on medications then the youth does not need to be on medications even if a doctor has prescribed the medication.  If a youth is on medication then the youth should be involved in a service that is working towards getting the youth off of medications if possible.  For instance, the child would participate in therapy or Therapeutic Behavioral Services (TBS).  This team approach seems to be assisting with the decrease in psychotropic medication use.</w:t>
      </w:r>
    </w:p>
    <w:p w:rsidR="009103E6" w:rsidRDefault="00D86A11" w:rsidP="00176DFC">
      <w:pPr>
        <w:pStyle w:val="Heading3"/>
        <w:spacing w:afterLines="40" w:after="96" w:line="276" w:lineRule="auto"/>
        <w:rPr>
          <w:b w:val="0"/>
          <w:color w:val="auto"/>
          <w:sz w:val="22"/>
        </w:rPr>
      </w:pPr>
      <w:r w:rsidRPr="007D4F45">
        <w:rPr>
          <w:b w:val="0"/>
          <w:color w:val="auto"/>
          <w:sz w:val="22"/>
        </w:rPr>
        <w:t>The</w:t>
      </w:r>
      <w:r w:rsidRPr="00A50859">
        <w:rPr>
          <w:b w:val="0"/>
          <w:color w:val="auto"/>
          <w:sz w:val="22"/>
        </w:rPr>
        <w:t xml:space="preserve"> County of San Diego’s large size and cultural/linguistic diversity can create difficulty recruiting/retaining providers who can provide the wide array of services that are needed, in the locations where clients live, and in the appropriate languages. As a result, clients (including children) </w:t>
      </w:r>
      <w:r>
        <w:rPr>
          <w:b w:val="0"/>
          <w:color w:val="auto"/>
          <w:sz w:val="22"/>
        </w:rPr>
        <w:t>may</w:t>
      </w:r>
      <w:r w:rsidRPr="00A50859">
        <w:rPr>
          <w:b w:val="0"/>
          <w:color w:val="auto"/>
          <w:sz w:val="22"/>
        </w:rPr>
        <w:t xml:space="preserve"> have to travel many miles to receive services from a provider who is qualified to meet their unique needs. This can become particularly onerous if the client must rely on public transportation. Some providers are able to serve only clients who live in specific areas. </w:t>
      </w:r>
    </w:p>
    <w:p w:rsidR="00D86A11" w:rsidRPr="00BD1357" w:rsidRDefault="00D86A11" w:rsidP="00D86A11">
      <w:pPr>
        <w:numPr>
          <w:ilvl w:val="0"/>
          <w:numId w:val="16"/>
        </w:numPr>
        <w:spacing w:before="120" w:after="0"/>
        <w:ind w:right="130"/>
        <w:rPr>
          <w:rFonts w:ascii="Franklin Gothic Book" w:hAnsi="Franklin Gothic Book"/>
          <w:color w:val="auto"/>
          <w:spacing w:val="20"/>
          <w:szCs w:val="28"/>
        </w:rPr>
      </w:pPr>
      <w:r w:rsidRPr="0032056F">
        <w:rPr>
          <w:rFonts w:ascii="Franklin Gothic Book" w:hAnsi="Franklin Gothic Book"/>
          <w:b/>
          <w:color w:val="auto"/>
          <w:spacing w:val="20"/>
          <w:szCs w:val="28"/>
        </w:rPr>
        <w:t>Comprehensive Assessment and Stabilization Services (CASS)</w:t>
      </w:r>
      <w:r w:rsidRPr="00BD1357">
        <w:rPr>
          <w:rFonts w:ascii="Franklin Gothic Book" w:hAnsi="Franklin Gothic Book"/>
          <w:color w:val="auto"/>
          <w:spacing w:val="20"/>
          <w:szCs w:val="28"/>
        </w:rPr>
        <w:t xml:space="preserve"> works with foster, kinship, Foster Family Agency (FFA), and six-bed group home providers to evaluate and address environmental (e.g., school) and caregiver-child interactions from a trauma-informed perspective. CASS also </w:t>
      </w:r>
      <w:r w:rsidRPr="00BD1357">
        <w:rPr>
          <w:rFonts w:ascii="Franklin Gothic Book" w:hAnsi="Franklin Gothic Book"/>
          <w:color w:val="auto"/>
          <w:spacing w:val="20"/>
          <w:szCs w:val="28"/>
        </w:rPr>
        <w:lastRenderedPageBreak/>
        <w:t xml:space="preserve">provides crisis intervention and short-term therapy, collaborates with significant others in the child’s life, and makes recommendations regarding treatment and interventions with the goal of maintaining placement and enhancing the child’s psychosocial functioning. </w:t>
      </w:r>
    </w:p>
    <w:p w:rsidR="00D86A11" w:rsidRPr="00BD1357" w:rsidRDefault="00D86A11" w:rsidP="00D86A11">
      <w:pPr>
        <w:spacing w:before="120" w:after="0"/>
        <w:ind w:right="130"/>
        <w:rPr>
          <w:rFonts w:ascii="Franklin Gothic Book" w:hAnsi="Franklin Gothic Book"/>
          <w:color w:val="auto"/>
          <w:spacing w:val="20"/>
          <w:szCs w:val="28"/>
        </w:rPr>
      </w:pPr>
      <w:r w:rsidRPr="00BD1357">
        <w:rPr>
          <w:rFonts w:ascii="Franklin Gothic Book" w:hAnsi="Franklin Gothic Book"/>
          <w:color w:val="auto"/>
          <w:spacing w:val="20"/>
          <w:szCs w:val="28"/>
        </w:rPr>
        <w:t>CWS and Juvenile Probation collaborate with County Behavioral Health Services (BHS). CWS and BHS contract with a variety of mental health services and community-based partners to provide additional services such as:</w:t>
      </w:r>
    </w:p>
    <w:p w:rsidR="00D86A11" w:rsidRPr="00BD1357" w:rsidRDefault="00D86A11" w:rsidP="00D86A11">
      <w:pPr>
        <w:numPr>
          <w:ilvl w:val="0"/>
          <w:numId w:val="16"/>
        </w:numPr>
        <w:spacing w:before="120" w:after="0"/>
        <w:ind w:right="130"/>
        <w:rPr>
          <w:rFonts w:ascii="Franklin Gothic Book" w:hAnsi="Franklin Gothic Book"/>
          <w:color w:val="auto"/>
          <w:spacing w:val="20"/>
          <w:szCs w:val="28"/>
        </w:rPr>
      </w:pPr>
      <w:r w:rsidRPr="0032056F">
        <w:rPr>
          <w:rFonts w:ascii="Franklin Gothic Book" w:hAnsi="Franklin Gothic Book"/>
          <w:b/>
          <w:color w:val="auto"/>
          <w:spacing w:val="20"/>
          <w:szCs w:val="28"/>
        </w:rPr>
        <w:t>Wraparound Services</w:t>
      </w:r>
      <w:r w:rsidRPr="00BD1357">
        <w:rPr>
          <w:rFonts w:ascii="Franklin Gothic Book" w:hAnsi="Franklin Gothic Book"/>
          <w:color w:val="auto"/>
          <w:spacing w:val="20"/>
          <w:szCs w:val="28"/>
        </w:rPr>
        <w:t xml:space="preserve"> provides mental health, case management and support services for children involved in CWS</w:t>
      </w:r>
      <w:r>
        <w:rPr>
          <w:rFonts w:ascii="Franklin Gothic Book" w:hAnsi="Franklin Gothic Book"/>
          <w:color w:val="auto"/>
          <w:spacing w:val="20"/>
          <w:szCs w:val="28"/>
        </w:rPr>
        <w:t xml:space="preserve"> and Probation</w:t>
      </w:r>
      <w:r w:rsidRPr="00BD1357">
        <w:rPr>
          <w:rFonts w:ascii="Franklin Gothic Book" w:hAnsi="Franklin Gothic Book"/>
          <w:color w:val="auto"/>
          <w:spacing w:val="20"/>
          <w:szCs w:val="28"/>
        </w:rPr>
        <w:t xml:space="preserve">. </w:t>
      </w:r>
    </w:p>
    <w:p w:rsidR="00D86A11" w:rsidRPr="00BD1357" w:rsidRDefault="00D86A11" w:rsidP="00D86A11">
      <w:pPr>
        <w:numPr>
          <w:ilvl w:val="0"/>
          <w:numId w:val="16"/>
        </w:numPr>
        <w:spacing w:before="120" w:after="0"/>
        <w:ind w:right="130"/>
        <w:rPr>
          <w:rFonts w:ascii="Franklin Gothic Book" w:hAnsi="Franklin Gothic Book"/>
          <w:color w:val="auto"/>
          <w:spacing w:val="20"/>
          <w:szCs w:val="28"/>
        </w:rPr>
      </w:pPr>
      <w:r w:rsidRPr="0032056F">
        <w:rPr>
          <w:rFonts w:ascii="Franklin Gothic Book" w:hAnsi="Franklin Gothic Book"/>
          <w:b/>
          <w:color w:val="auto"/>
          <w:spacing w:val="20"/>
          <w:szCs w:val="28"/>
        </w:rPr>
        <w:t>Incredible Years</w:t>
      </w:r>
      <w:r w:rsidRPr="00BD1357">
        <w:rPr>
          <w:rFonts w:ascii="Franklin Gothic Book" w:hAnsi="Franklin Gothic Book"/>
          <w:color w:val="auto"/>
          <w:spacing w:val="20"/>
          <w:szCs w:val="28"/>
        </w:rPr>
        <w:t xml:space="preserve"> provides services to parents of young children regarding treating/preventing behavioral problems; improving parent</w:t>
      </w:r>
      <w:r>
        <w:rPr>
          <w:rFonts w:ascii="Franklin Gothic Book" w:hAnsi="Franklin Gothic Book"/>
          <w:color w:val="auto"/>
          <w:spacing w:val="20"/>
          <w:szCs w:val="28"/>
        </w:rPr>
        <w:t>/</w:t>
      </w:r>
      <w:r w:rsidRPr="00BD1357">
        <w:rPr>
          <w:rFonts w:ascii="Franklin Gothic Book" w:hAnsi="Franklin Gothic Book"/>
          <w:color w:val="auto"/>
          <w:spacing w:val="20"/>
          <w:szCs w:val="28"/>
        </w:rPr>
        <w:t>child interactions; building positive parent</w:t>
      </w:r>
      <w:r>
        <w:rPr>
          <w:rFonts w:ascii="Franklin Gothic Book" w:hAnsi="Franklin Gothic Book"/>
          <w:color w:val="auto"/>
          <w:spacing w:val="20"/>
          <w:szCs w:val="28"/>
        </w:rPr>
        <w:t>/</w:t>
      </w:r>
      <w:r w:rsidRPr="00BD1357">
        <w:rPr>
          <w:rFonts w:ascii="Franklin Gothic Book" w:hAnsi="Franklin Gothic Book"/>
          <w:color w:val="auto"/>
          <w:spacing w:val="20"/>
          <w:szCs w:val="28"/>
        </w:rPr>
        <w:t>child relationships and attachment; developing nurturing parenting skills, and increasing parental social support and problem-solving skills.</w:t>
      </w:r>
    </w:p>
    <w:p w:rsidR="00D86A11" w:rsidRPr="00E11361" w:rsidRDefault="00D86A11" w:rsidP="00D86A11">
      <w:pPr>
        <w:numPr>
          <w:ilvl w:val="0"/>
          <w:numId w:val="16"/>
        </w:numPr>
        <w:spacing w:before="120" w:after="0"/>
        <w:ind w:right="130"/>
        <w:rPr>
          <w:rFonts w:ascii="Franklin Gothic Book" w:hAnsi="Franklin Gothic Book"/>
          <w:color w:val="auto"/>
          <w:spacing w:val="20"/>
          <w:szCs w:val="28"/>
        </w:rPr>
      </w:pPr>
      <w:r w:rsidRPr="00E11361">
        <w:rPr>
          <w:rFonts w:ascii="Franklin Gothic Book" w:hAnsi="Franklin Gothic Book"/>
          <w:b/>
          <w:color w:val="auto"/>
          <w:spacing w:val="20"/>
          <w:szCs w:val="28"/>
        </w:rPr>
        <w:t>Transitional and Step-Down Services</w:t>
      </w:r>
      <w:r w:rsidRPr="000602BA">
        <w:rPr>
          <w:rFonts w:ascii="Franklin Gothic Book" w:hAnsi="Franklin Gothic Book"/>
          <w:color w:val="auto"/>
          <w:spacing w:val="20"/>
          <w:szCs w:val="28"/>
        </w:rPr>
        <w:t xml:space="preserve"> provides assistance in transitioning children from a residential treatment facility to a family setting by providing mental health case management and therapeutic services</w:t>
      </w:r>
      <w:r>
        <w:rPr>
          <w:rFonts w:ascii="Franklin Gothic Book" w:hAnsi="Franklin Gothic Book"/>
          <w:color w:val="auto"/>
          <w:spacing w:val="20"/>
          <w:szCs w:val="28"/>
        </w:rPr>
        <w:t>.</w:t>
      </w:r>
    </w:p>
    <w:p w:rsidR="00D86A11" w:rsidRPr="00BD1357" w:rsidRDefault="00D86A11" w:rsidP="00D86A11">
      <w:pPr>
        <w:numPr>
          <w:ilvl w:val="0"/>
          <w:numId w:val="16"/>
        </w:numPr>
        <w:spacing w:before="120" w:after="0"/>
        <w:ind w:right="130"/>
        <w:rPr>
          <w:rFonts w:ascii="Franklin Gothic Book" w:hAnsi="Franklin Gothic Book"/>
          <w:color w:val="auto"/>
          <w:spacing w:val="20"/>
          <w:szCs w:val="28"/>
        </w:rPr>
      </w:pPr>
      <w:r w:rsidRPr="0032056F">
        <w:rPr>
          <w:rFonts w:ascii="Franklin Gothic Book" w:hAnsi="Franklin Gothic Book"/>
          <w:b/>
          <w:color w:val="auto"/>
          <w:spacing w:val="20"/>
          <w:szCs w:val="28"/>
        </w:rPr>
        <w:t>Therapeutic Behavioral Services</w:t>
      </w:r>
      <w:r w:rsidRPr="00BD1357">
        <w:rPr>
          <w:rFonts w:ascii="Franklin Gothic Book" w:hAnsi="Franklin Gothic Book"/>
          <w:color w:val="auto"/>
          <w:spacing w:val="20"/>
          <w:szCs w:val="28"/>
        </w:rPr>
        <w:t xml:space="preserve"> provides specific behavioral modification intervention to assist youth from CWS to maintain placement.</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32056F">
        <w:rPr>
          <w:rFonts w:ascii="Franklin Gothic Book" w:hAnsi="Franklin Gothic Book"/>
          <w:b/>
          <w:color w:val="auto"/>
          <w:spacing w:val="20"/>
          <w:szCs w:val="28"/>
        </w:rPr>
        <w:t>Vista Hill Juvenile Court Clinic</w:t>
      </w:r>
      <w:r w:rsidRPr="00A2166F">
        <w:rPr>
          <w:rFonts w:ascii="Franklin Gothic Book" w:hAnsi="Franklin Gothic Book"/>
          <w:color w:val="auto"/>
          <w:spacing w:val="20"/>
          <w:szCs w:val="28"/>
        </w:rPr>
        <w:t xml:space="preserve"> provides psychotropic medication second opinions and short-term medication management for youth referred by the Juvenile Courts, Probation, and CWS.</w:t>
      </w:r>
    </w:p>
    <w:p w:rsidR="00D86A11" w:rsidRPr="000602BA" w:rsidRDefault="00D86A11" w:rsidP="00D86A11">
      <w:pPr>
        <w:numPr>
          <w:ilvl w:val="0"/>
          <w:numId w:val="16"/>
        </w:numPr>
        <w:spacing w:before="120" w:after="0"/>
        <w:rPr>
          <w:rFonts w:ascii="Franklin Gothic Book" w:hAnsi="Franklin Gothic Book"/>
          <w:color w:val="auto"/>
          <w:spacing w:val="20"/>
          <w:szCs w:val="28"/>
        </w:rPr>
      </w:pPr>
      <w:r w:rsidRPr="00D550B3">
        <w:rPr>
          <w:rFonts w:ascii="Franklin Gothic Book" w:hAnsi="Franklin Gothic Book"/>
          <w:b/>
          <w:color w:val="auto"/>
          <w:spacing w:val="20"/>
          <w:szCs w:val="28"/>
        </w:rPr>
        <w:t>Positi</w:t>
      </w:r>
      <w:r>
        <w:rPr>
          <w:rFonts w:ascii="Franklin Gothic Book" w:hAnsi="Franklin Gothic Book"/>
          <w:b/>
          <w:color w:val="auto"/>
          <w:spacing w:val="20"/>
          <w:szCs w:val="28"/>
        </w:rPr>
        <w:t>ve Parenting Program (Triple P)</w:t>
      </w:r>
      <w:r w:rsidRPr="000602BA">
        <w:rPr>
          <w:rFonts w:ascii="Franklin Gothic Book" w:hAnsi="Franklin Gothic Book"/>
          <w:color w:val="auto"/>
          <w:spacing w:val="20"/>
          <w:szCs w:val="28"/>
        </w:rPr>
        <w:t xml:space="preserve"> provides prevention and early intervention services through evidence-based practice for children 0-5 and their families.</w:t>
      </w:r>
    </w:p>
    <w:p w:rsidR="00D86A11" w:rsidRPr="00A2166F" w:rsidRDefault="00D86A11" w:rsidP="00D86A11">
      <w:pPr>
        <w:numPr>
          <w:ilvl w:val="0"/>
          <w:numId w:val="16"/>
        </w:numPr>
        <w:spacing w:before="120" w:after="0"/>
        <w:ind w:right="130"/>
        <w:rPr>
          <w:rFonts w:ascii="Franklin Gothic Book" w:hAnsi="Franklin Gothic Book"/>
          <w:color w:val="auto"/>
          <w:spacing w:val="20"/>
          <w:szCs w:val="28"/>
        </w:rPr>
      </w:pPr>
      <w:r w:rsidRPr="0032056F">
        <w:rPr>
          <w:rFonts w:ascii="Franklin Gothic Book" w:hAnsi="Franklin Gothic Book"/>
          <w:b/>
          <w:color w:val="auto"/>
          <w:spacing w:val="20"/>
          <w:szCs w:val="28"/>
        </w:rPr>
        <w:t>Multidimensional Treatment Foster Care and Treatment Foster Care</w:t>
      </w:r>
      <w:r w:rsidRPr="00A2166F">
        <w:rPr>
          <w:rFonts w:ascii="Franklin Gothic Book" w:hAnsi="Franklin Gothic Book"/>
          <w:color w:val="auto"/>
          <w:spacing w:val="20"/>
          <w:szCs w:val="28"/>
        </w:rPr>
        <w:t xml:space="preserve"> </w:t>
      </w:r>
      <w:r>
        <w:rPr>
          <w:rFonts w:ascii="Franklin Gothic Book" w:hAnsi="Franklin Gothic Book"/>
          <w:color w:val="auto"/>
          <w:spacing w:val="20"/>
          <w:szCs w:val="28"/>
        </w:rPr>
        <w:t>p</w:t>
      </w:r>
      <w:r w:rsidRPr="00A2166F">
        <w:rPr>
          <w:rFonts w:ascii="Franklin Gothic Book" w:hAnsi="Franklin Gothic Book"/>
          <w:color w:val="auto"/>
          <w:spacing w:val="20"/>
          <w:szCs w:val="28"/>
        </w:rPr>
        <w:t>rovides evidence-based intensive treatment foster care to avoid placement in a residential treatment facility and to facilitate an expeditious transition to a familial placement.</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742A59">
        <w:rPr>
          <w:rFonts w:ascii="Franklin Gothic Book" w:hAnsi="Franklin Gothic Book"/>
          <w:b/>
          <w:color w:val="auto"/>
          <w:spacing w:val="20"/>
          <w:szCs w:val="28"/>
        </w:rPr>
        <w:t>KidSTART Center and Clinic</w:t>
      </w:r>
      <w:r w:rsidRPr="00A2166F">
        <w:rPr>
          <w:rFonts w:ascii="Franklin Gothic Book" w:hAnsi="Franklin Gothic Book"/>
          <w:color w:val="auto"/>
          <w:spacing w:val="20"/>
          <w:szCs w:val="28"/>
        </w:rPr>
        <w:t xml:space="preserve"> serves children 0-5 years with complex developmental and socio-emotional/ mental health needs</w:t>
      </w:r>
      <w:r>
        <w:rPr>
          <w:rFonts w:ascii="Franklin Gothic Book" w:hAnsi="Franklin Gothic Book"/>
          <w:color w:val="auto"/>
          <w:spacing w:val="20"/>
          <w:szCs w:val="28"/>
        </w:rPr>
        <w:t xml:space="preserve">. </w:t>
      </w:r>
      <w:r w:rsidRPr="00A2166F">
        <w:rPr>
          <w:rFonts w:ascii="Franklin Gothic Book" w:hAnsi="Franklin Gothic Book"/>
          <w:color w:val="auto"/>
          <w:spacing w:val="20"/>
          <w:szCs w:val="28"/>
        </w:rPr>
        <w:t xml:space="preserve">Children receive comprehensive assessment referral and treatment. Mental health funding is leveraged with First 5 Commission of </w:t>
      </w:r>
      <w:r>
        <w:rPr>
          <w:rFonts w:ascii="Franklin Gothic Book" w:hAnsi="Franklin Gothic Book"/>
          <w:color w:val="auto"/>
          <w:spacing w:val="20"/>
          <w:szCs w:val="28"/>
        </w:rPr>
        <w:t>the County of San Diego</w:t>
      </w:r>
      <w:r w:rsidRPr="00A2166F">
        <w:rPr>
          <w:rFonts w:ascii="Franklin Gothic Book" w:hAnsi="Franklin Gothic Book"/>
          <w:color w:val="auto"/>
          <w:spacing w:val="20"/>
          <w:szCs w:val="28"/>
        </w:rPr>
        <w:t xml:space="preserve"> funding.</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515230">
        <w:rPr>
          <w:rFonts w:ascii="Franklin Gothic Book" w:hAnsi="Franklin Gothic Book"/>
          <w:color w:val="auto"/>
          <w:spacing w:val="20"/>
          <w:szCs w:val="28"/>
        </w:rPr>
        <w:t xml:space="preserve">CWS ensures service delivery for special needs children and high risk families through the </w:t>
      </w:r>
      <w:r w:rsidRPr="00742A59">
        <w:rPr>
          <w:rFonts w:ascii="Franklin Gothic Book" w:hAnsi="Franklin Gothic Book"/>
          <w:b/>
          <w:color w:val="auto"/>
          <w:spacing w:val="20"/>
          <w:szCs w:val="28"/>
        </w:rPr>
        <w:t>County CWS staffed Medically Fragile Uni</w:t>
      </w:r>
      <w:r w:rsidRPr="00515230">
        <w:rPr>
          <w:rFonts w:ascii="Franklin Gothic Book" w:hAnsi="Franklin Gothic Book"/>
          <w:color w:val="auto"/>
          <w:spacing w:val="20"/>
          <w:szCs w:val="28"/>
        </w:rPr>
        <w:t>t and the Deaf Services Unit. In addition, the County has a long standing relationship with the San Diego Regional Center which includes a working Memorandum of Understanding and quarterly collaboration meetings to ensure developmentally disabled mutual clients receive appropriate services.</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742A59">
        <w:rPr>
          <w:rFonts w:ascii="Franklin Gothic Book" w:hAnsi="Franklin Gothic Book"/>
          <w:color w:val="auto"/>
          <w:spacing w:val="20"/>
          <w:szCs w:val="28"/>
        </w:rPr>
        <w:t xml:space="preserve">The County has a specialized </w:t>
      </w:r>
      <w:r w:rsidRPr="00742A59">
        <w:rPr>
          <w:rFonts w:ascii="Franklin Gothic Book" w:hAnsi="Franklin Gothic Book"/>
          <w:b/>
          <w:color w:val="auto"/>
          <w:spacing w:val="20"/>
          <w:szCs w:val="28"/>
        </w:rPr>
        <w:t>Residential Services Program</w:t>
      </w:r>
      <w:r w:rsidRPr="00742A59">
        <w:rPr>
          <w:rFonts w:ascii="Franklin Gothic Book" w:hAnsi="Franklin Gothic Book"/>
          <w:color w:val="auto"/>
          <w:spacing w:val="20"/>
          <w:szCs w:val="28"/>
        </w:rPr>
        <w:t xml:space="preserve"> that addresses the unique needs of children requiring a higher level of care (i.e. group </w:t>
      </w:r>
      <w:r w:rsidRPr="00742A59">
        <w:rPr>
          <w:rFonts w:ascii="Franklin Gothic Book" w:hAnsi="Franklin Gothic Book"/>
          <w:color w:val="auto"/>
          <w:spacing w:val="20"/>
          <w:szCs w:val="28"/>
        </w:rPr>
        <w:lastRenderedPageBreak/>
        <w:t>home and FFA). Social workers in this unit have expertise in developing specialized case plans.</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FA6A56">
        <w:rPr>
          <w:rFonts w:ascii="Franklin Gothic Book" w:hAnsi="Franklin Gothic Book"/>
          <w:color w:val="auto"/>
          <w:spacing w:val="20"/>
          <w:szCs w:val="28"/>
        </w:rPr>
        <w:t xml:space="preserve">The </w:t>
      </w:r>
      <w:r w:rsidRPr="00FA6A56">
        <w:rPr>
          <w:rFonts w:ascii="Franklin Gothic Book" w:hAnsi="Franklin Gothic Book"/>
          <w:b/>
          <w:color w:val="auto"/>
          <w:spacing w:val="20"/>
          <w:szCs w:val="28"/>
        </w:rPr>
        <w:t>Independent Living Skills</w:t>
      </w:r>
      <w:r>
        <w:rPr>
          <w:rFonts w:ascii="Franklin Gothic Book" w:hAnsi="Franklin Gothic Book"/>
          <w:b/>
          <w:color w:val="auto"/>
          <w:spacing w:val="20"/>
          <w:szCs w:val="28"/>
        </w:rPr>
        <w:t xml:space="preserve"> (ILS)</w:t>
      </w:r>
      <w:r w:rsidRPr="00FA6A56">
        <w:rPr>
          <w:rFonts w:ascii="Franklin Gothic Book" w:hAnsi="Franklin Gothic Book"/>
          <w:color w:val="auto"/>
          <w:spacing w:val="20"/>
          <w:szCs w:val="28"/>
        </w:rPr>
        <w:t xml:space="preserve"> program is designed to assist youth transitioning out of foster care achieve self-sufficiency and lifelong skills. This program is contracted with community agencies and has a partnership with San Diego Workforce Partnership; the local Workforce Investment Act (WIA) agency. ILS contractors provide a coordinated program of classes, workshops, individualized case management and special events designed to help youth learn life-skills. These services continue with the youth up to age 21. The contractors implement an outreach plan designed to engage and encourage youth participation. They support youth to complete high school, assist with applications for post-secondary college or vocational training and financial aid, provide work-readiness skill training, identify and refer appropriate youth to Workforce Investment Act funded services including subsidized employment, help youth achieve housing stability by linking them to transitional housing providers, for current and former foster youth and connect them with community resources for emergency assistance when necessary. </w:t>
      </w:r>
    </w:p>
    <w:p w:rsidR="00D86A11" w:rsidRPr="00F300B2" w:rsidRDefault="00D86A11" w:rsidP="00D86A11">
      <w:pPr>
        <w:numPr>
          <w:ilvl w:val="0"/>
          <w:numId w:val="16"/>
        </w:numPr>
        <w:spacing w:before="120" w:after="0"/>
        <w:ind w:right="130"/>
        <w:rPr>
          <w:rFonts w:ascii="Franklin Gothic Book" w:hAnsi="Franklin Gothic Book"/>
          <w:color w:val="auto"/>
          <w:spacing w:val="20"/>
          <w:szCs w:val="28"/>
        </w:rPr>
      </w:pPr>
      <w:r w:rsidRPr="005C4625">
        <w:rPr>
          <w:rFonts w:ascii="Franklin Gothic Book" w:hAnsi="Franklin Gothic Book"/>
          <w:spacing w:val="20"/>
          <w:szCs w:val="28"/>
        </w:rPr>
        <w:t xml:space="preserve">The County has also contracted with Rady Children’s Hospital </w:t>
      </w:r>
      <w:r w:rsidRPr="005C4625">
        <w:rPr>
          <w:rFonts w:ascii="Franklin Gothic Book" w:hAnsi="Franklin Gothic Book"/>
          <w:b/>
          <w:spacing w:val="20"/>
          <w:szCs w:val="28"/>
        </w:rPr>
        <w:t>Developmental Screening and Enhancement Program (DSEP</w:t>
      </w:r>
      <w:r w:rsidRPr="005C4625">
        <w:rPr>
          <w:rFonts w:ascii="Franklin Gothic Book" w:hAnsi="Franklin Gothic Book"/>
          <w:spacing w:val="20"/>
          <w:szCs w:val="28"/>
        </w:rPr>
        <w:t>) to provide a comprehensive system of care that ensures that young children (0-5) entering the system receive a developmental and behavioral/socio-emotional screening,  annual behavioral/socio-emotional re</w:t>
      </w:r>
      <w:r>
        <w:rPr>
          <w:rFonts w:ascii="Franklin Gothic Book" w:hAnsi="Franklin Gothic Book"/>
          <w:spacing w:val="20"/>
          <w:szCs w:val="28"/>
        </w:rPr>
        <w:t>-</w:t>
      </w:r>
      <w:r w:rsidRPr="005C4625">
        <w:rPr>
          <w:rFonts w:ascii="Franklin Gothic Book" w:hAnsi="Franklin Gothic Book"/>
          <w:spacing w:val="20"/>
          <w:szCs w:val="28"/>
        </w:rPr>
        <w:t>screenings</w:t>
      </w:r>
      <w:r>
        <w:rPr>
          <w:rFonts w:ascii="Franklin Gothic Book" w:hAnsi="Franklin Gothic Book"/>
          <w:spacing w:val="20"/>
          <w:szCs w:val="28"/>
        </w:rPr>
        <w:t>,</w:t>
      </w:r>
      <w:r w:rsidRPr="005C4625">
        <w:rPr>
          <w:rFonts w:ascii="Franklin Gothic Book" w:hAnsi="Franklin Gothic Book"/>
          <w:spacing w:val="20"/>
          <w:szCs w:val="28"/>
        </w:rPr>
        <w:t xml:space="preserve"> and receive follow up services if needed. The quality assurance activities include:</w:t>
      </w:r>
    </w:p>
    <w:p w:rsidR="00D86A11" w:rsidRPr="00F300B2" w:rsidRDefault="00D86A11" w:rsidP="00D86A11">
      <w:pPr>
        <w:numPr>
          <w:ilvl w:val="1"/>
          <w:numId w:val="16"/>
        </w:numPr>
        <w:spacing w:before="120" w:after="0"/>
        <w:ind w:right="130"/>
        <w:rPr>
          <w:rFonts w:ascii="Franklin Gothic Book" w:hAnsi="Franklin Gothic Book"/>
          <w:color w:val="auto"/>
          <w:spacing w:val="20"/>
          <w:szCs w:val="28"/>
        </w:rPr>
      </w:pPr>
      <w:r w:rsidRPr="00F300B2">
        <w:rPr>
          <w:rFonts w:ascii="Franklin Gothic Book" w:hAnsi="Franklin Gothic Book"/>
          <w:spacing w:val="20"/>
          <w:szCs w:val="28"/>
        </w:rPr>
        <w:t xml:space="preserve">Every week, a report is generated by the CWS Data Unit and provided to DSEP of all children under age six who have a newly opened child welfare </w:t>
      </w:r>
      <w:r>
        <w:rPr>
          <w:rFonts w:ascii="Franklin Gothic Book" w:hAnsi="Franklin Gothic Book"/>
          <w:spacing w:val="20"/>
          <w:szCs w:val="28"/>
        </w:rPr>
        <w:t>case.</w:t>
      </w:r>
    </w:p>
    <w:p w:rsidR="00D86A11" w:rsidRPr="00F300B2" w:rsidRDefault="00D86A11" w:rsidP="00D86A11">
      <w:pPr>
        <w:numPr>
          <w:ilvl w:val="1"/>
          <w:numId w:val="16"/>
        </w:numPr>
        <w:spacing w:before="120" w:after="0"/>
        <w:ind w:right="130"/>
        <w:rPr>
          <w:rFonts w:ascii="Franklin Gothic Book" w:hAnsi="Franklin Gothic Book"/>
          <w:spacing w:val="20"/>
          <w:szCs w:val="28"/>
        </w:rPr>
      </w:pPr>
      <w:r w:rsidRPr="00F300B2">
        <w:rPr>
          <w:rFonts w:ascii="Franklin Gothic Book" w:hAnsi="Franklin Gothic Book"/>
          <w:spacing w:val="20"/>
          <w:szCs w:val="28"/>
        </w:rPr>
        <w:t xml:space="preserve">DSEP uses this report to schedule screening appointments. In FY 2014-2015, 99.0% (965/970) of children eligible to be screened received a screening. </w:t>
      </w:r>
    </w:p>
    <w:p w:rsidR="00D86A11" w:rsidRDefault="00D86A11" w:rsidP="00D86A11">
      <w:pPr>
        <w:numPr>
          <w:ilvl w:val="1"/>
          <w:numId w:val="16"/>
        </w:numPr>
        <w:spacing w:before="120" w:after="0"/>
        <w:ind w:right="130"/>
        <w:rPr>
          <w:rFonts w:ascii="Franklin Gothic Book" w:hAnsi="Franklin Gothic Book"/>
          <w:spacing w:val="20"/>
          <w:szCs w:val="28"/>
        </w:rPr>
      </w:pPr>
      <w:r w:rsidRPr="00A2166F">
        <w:rPr>
          <w:rFonts w:ascii="Franklin Gothic Book" w:hAnsi="Franklin Gothic Book"/>
          <w:spacing w:val="20"/>
          <w:szCs w:val="28"/>
        </w:rPr>
        <w:t>Following the screening, DSEP provides an Individual Care Plan for each child with recommendations of activities and services to benefit the child’s development. This document is used by workers, caregivers and service providers to support the child’s unique needs. Children can be referred to a variety of services based on need including Regional Center, early childhood education programs, DSEP provided services such as caregiver coaching, California Early Start, First 5’s Healthy Development Services program, and many others. In FY 2014-2015, 89% of children needing services received one or more of the recommended services.</w:t>
      </w:r>
    </w:p>
    <w:p w:rsidR="00D86A11" w:rsidRPr="00A2166F" w:rsidRDefault="00D86A11" w:rsidP="00D86A11">
      <w:pPr>
        <w:pStyle w:val="TxBrp2"/>
        <w:widowControl/>
        <w:tabs>
          <w:tab w:val="clear" w:pos="204"/>
        </w:tabs>
        <w:snapToGrid w:val="0"/>
        <w:spacing w:line="240" w:lineRule="auto"/>
        <w:ind w:left="720"/>
        <w:jc w:val="left"/>
        <w:rPr>
          <w:rFonts w:ascii="Franklin Gothic Book" w:eastAsia="Perpetua" w:hAnsi="Franklin Gothic Book"/>
          <w:snapToGrid/>
          <w:spacing w:val="20"/>
          <w:sz w:val="22"/>
          <w:szCs w:val="28"/>
        </w:rPr>
      </w:pPr>
    </w:p>
    <w:p w:rsidR="00D86A11" w:rsidRPr="00A2166F" w:rsidRDefault="00D86A11" w:rsidP="00D86A11">
      <w:pPr>
        <w:rPr>
          <w:rFonts w:ascii="Franklin Gothic Book" w:hAnsi="Franklin Gothic Book"/>
          <w:color w:val="auto"/>
          <w:spacing w:val="20"/>
          <w:szCs w:val="28"/>
        </w:rPr>
      </w:pPr>
      <w:r w:rsidRPr="007C7C1F">
        <w:rPr>
          <w:rFonts w:ascii="Franklin Gothic Book" w:hAnsi="Franklin Gothic Book"/>
          <w:color w:val="auto"/>
          <w:spacing w:val="20"/>
          <w:szCs w:val="28"/>
        </w:rPr>
        <w:t xml:space="preserve">When opening a case for services, CWS social workers are required to provide the Juvenile Court the initial case plan either within 30 calendar days after the initial </w:t>
      </w:r>
      <w:r w:rsidRPr="007C7C1F">
        <w:rPr>
          <w:rFonts w:ascii="Franklin Gothic Book" w:hAnsi="Franklin Gothic Book"/>
          <w:color w:val="auto"/>
          <w:spacing w:val="20"/>
          <w:szCs w:val="28"/>
        </w:rPr>
        <w:lastRenderedPageBreak/>
        <w:t>removal of the child;, or the first face-to-face contact before or by the date of the Disposition</w:t>
      </w:r>
      <w:r>
        <w:rPr>
          <w:rFonts w:ascii="Franklin Gothic Book" w:hAnsi="Franklin Gothic Book"/>
          <w:color w:val="auto"/>
          <w:spacing w:val="20"/>
          <w:szCs w:val="28"/>
        </w:rPr>
        <w:t xml:space="preserve"> Hearing, whichever comes first</w:t>
      </w:r>
      <w:r w:rsidRPr="00A2166F">
        <w:rPr>
          <w:rFonts w:ascii="Franklin Gothic Book" w:hAnsi="Franklin Gothic Book"/>
          <w:color w:val="auto"/>
          <w:spacing w:val="20"/>
          <w:szCs w:val="28"/>
        </w:rPr>
        <w:t>. Social workers are required to develop case plans for all voluntary cases within 30 days of the initial face-to-face contact</w:t>
      </w:r>
      <w:r>
        <w:rPr>
          <w:rFonts w:ascii="Franklin Gothic Book" w:hAnsi="Franklin Gothic Book"/>
          <w:color w:val="auto"/>
          <w:spacing w:val="20"/>
          <w:szCs w:val="28"/>
        </w:rPr>
        <w:t xml:space="preserve">. </w:t>
      </w:r>
      <w:r w:rsidRPr="00A2166F">
        <w:rPr>
          <w:rFonts w:ascii="Franklin Gothic Book" w:hAnsi="Franklin Gothic Book"/>
          <w:color w:val="auto"/>
          <w:spacing w:val="20"/>
          <w:szCs w:val="28"/>
        </w:rPr>
        <w:t>Parents are required to sign and date the family case plan for CWS and Probation Cases</w:t>
      </w:r>
      <w:r>
        <w:rPr>
          <w:rFonts w:ascii="Franklin Gothic Book" w:hAnsi="Franklin Gothic Book"/>
          <w:color w:val="auto"/>
          <w:spacing w:val="20"/>
          <w:szCs w:val="28"/>
        </w:rPr>
        <w:t xml:space="preserve">. </w:t>
      </w:r>
      <w:r w:rsidRPr="00A2166F">
        <w:rPr>
          <w:rFonts w:ascii="Franklin Gothic Book" w:hAnsi="Franklin Gothic Book"/>
          <w:color w:val="auto"/>
          <w:spacing w:val="20"/>
          <w:szCs w:val="28"/>
        </w:rPr>
        <w:t>The date the client signed the case plan is documented in the CWS/CMS database.</w:t>
      </w:r>
    </w:p>
    <w:p w:rsidR="00D86A11" w:rsidRPr="00A2166F" w:rsidRDefault="00D86A11" w:rsidP="00D86A11">
      <w:pPr>
        <w:rPr>
          <w:rFonts w:ascii="Franklin Gothic Book" w:hAnsi="Franklin Gothic Book"/>
          <w:color w:val="auto"/>
          <w:spacing w:val="20"/>
          <w:szCs w:val="28"/>
        </w:rPr>
      </w:pPr>
      <w:r w:rsidRPr="00C93FCD">
        <w:rPr>
          <w:rFonts w:ascii="Franklin Gothic Book" w:hAnsi="Franklin Gothic Book"/>
          <w:b/>
          <w:color w:val="auto"/>
          <w:spacing w:val="20"/>
          <w:szCs w:val="28"/>
        </w:rPr>
        <w:t>Concurrent planning</w:t>
      </w:r>
      <w:r w:rsidRPr="00A2166F">
        <w:rPr>
          <w:rFonts w:ascii="Franklin Gothic Book" w:hAnsi="Franklin Gothic Book"/>
          <w:color w:val="auto"/>
          <w:spacing w:val="20"/>
          <w:szCs w:val="28"/>
        </w:rPr>
        <w:t xml:space="preserve"> is provided for all children when: 1) a petition for dependency is filed; 2) the child is placed in out-of-home care; and/or, 3) the court has ordered reunification services. The CWS Pre-Planning Assessment Unit (PPAU) is responsible for assessing referrals of children for concurrent planning placements</w:t>
      </w:r>
      <w:r>
        <w:rPr>
          <w:rFonts w:ascii="Franklin Gothic Book" w:hAnsi="Franklin Gothic Book"/>
          <w:color w:val="auto"/>
          <w:spacing w:val="20"/>
          <w:szCs w:val="28"/>
        </w:rPr>
        <w:t xml:space="preserve">. </w:t>
      </w:r>
    </w:p>
    <w:p w:rsidR="00D86A11" w:rsidRPr="00F91CEC" w:rsidRDefault="00D86A11" w:rsidP="00D86A11">
      <w:pPr>
        <w:rPr>
          <w:rFonts w:ascii="Franklin Gothic Book" w:hAnsi="Franklin Gothic Book"/>
          <w:b/>
          <w:color w:val="auto"/>
          <w:spacing w:val="20"/>
          <w:szCs w:val="28"/>
        </w:rPr>
      </w:pPr>
      <w:r w:rsidRPr="00A2166F">
        <w:rPr>
          <w:rFonts w:ascii="Franklin Gothic Book" w:hAnsi="Franklin Gothic Book"/>
          <w:color w:val="auto"/>
          <w:spacing w:val="20"/>
          <w:szCs w:val="28"/>
        </w:rPr>
        <w:t xml:space="preserve">CWS social workers address concurrent planning activities in the case plan and </w:t>
      </w:r>
      <w:r w:rsidRPr="00F91CEC">
        <w:rPr>
          <w:rFonts w:ascii="Franklin Gothic Book" w:hAnsi="Franklin Gothic Book"/>
          <w:b/>
          <w:color w:val="auto"/>
          <w:spacing w:val="20"/>
          <w:szCs w:val="28"/>
        </w:rPr>
        <w:t xml:space="preserve">court reports as follows:    </w:t>
      </w:r>
    </w:p>
    <w:p w:rsidR="00D86A11" w:rsidRPr="00F91CEC" w:rsidRDefault="00D86A11" w:rsidP="00D86A11">
      <w:pPr>
        <w:numPr>
          <w:ilvl w:val="0"/>
          <w:numId w:val="16"/>
        </w:numPr>
        <w:spacing w:before="120" w:after="0"/>
        <w:ind w:right="130"/>
        <w:rPr>
          <w:rFonts w:ascii="Franklin Gothic Book" w:hAnsi="Franklin Gothic Book"/>
          <w:color w:val="auto"/>
          <w:spacing w:val="20"/>
          <w:szCs w:val="28"/>
        </w:rPr>
      </w:pPr>
      <w:r w:rsidRPr="00F91CEC">
        <w:rPr>
          <w:rFonts w:ascii="Franklin Gothic Book" w:hAnsi="Franklin Gothic Book"/>
          <w:b/>
          <w:color w:val="auto"/>
          <w:spacing w:val="20"/>
          <w:szCs w:val="28"/>
        </w:rPr>
        <w:t>Case Plan:</w:t>
      </w:r>
      <w:r w:rsidRPr="00F91CEC">
        <w:rPr>
          <w:rFonts w:ascii="Franklin Gothic Book" w:hAnsi="Franklin Gothic Book"/>
          <w:color w:val="auto"/>
          <w:spacing w:val="20"/>
          <w:szCs w:val="28"/>
        </w:rPr>
        <w:t xml:space="preserve"> The Initial Case Plan and the Case Plan Updates for reunification case must contain plans for two tracks: 1) the family reunification track, which describes the services </w:t>
      </w:r>
      <w:r>
        <w:rPr>
          <w:rFonts w:ascii="Franklin Gothic Book" w:hAnsi="Franklin Gothic Book"/>
          <w:color w:val="auto"/>
          <w:spacing w:val="20"/>
          <w:szCs w:val="28"/>
        </w:rPr>
        <w:t xml:space="preserve">and visitation </w:t>
      </w:r>
      <w:r w:rsidRPr="00F91CEC">
        <w:rPr>
          <w:rFonts w:ascii="Franklin Gothic Book" w:hAnsi="Franklin Gothic Book"/>
          <w:color w:val="auto"/>
          <w:spacing w:val="20"/>
          <w:szCs w:val="28"/>
        </w:rPr>
        <w:t>to be provided to assist reunification; and, 2) the permanency planning track, which identifies the child's permanency alternative and the services to be provided concurrently to achieve legal permanency, if reunification efforts fail.</w:t>
      </w:r>
    </w:p>
    <w:p w:rsidR="00D86A11" w:rsidRPr="00F91CEC" w:rsidRDefault="00D86A11" w:rsidP="00D86A11">
      <w:pPr>
        <w:numPr>
          <w:ilvl w:val="0"/>
          <w:numId w:val="16"/>
        </w:numPr>
        <w:spacing w:before="120" w:after="0"/>
        <w:ind w:right="130"/>
        <w:rPr>
          <w:rFonts w:ascii="Franklin Gothic Book" w:hAnsi="Franklin Gothic Book"/>
          <w:color w:val="auto"/>
          <w:spacing w:val="20"/>
          <w:szCs w:val="28"/>
        </w:rPr>
      </w:pPr>
      <w:r w:rsidRPr="00F91CEC">
        <w:rPr>
          <w:rFonts w:ascii="Franklin Gothic Book" w:hAnsi="Franklin Gothic Book"/>
          <w:b/>
          <w:color w:val="auto"/>
          <w:spacing w:val="20"/>
          <w:szCs w:val="28"/>
        </w:rPr>
        <w:t>Court Report:</w:t>
      </w:r>
      <w:r w:rsidRPr="00F91CEC">
        <w:rPr>
          <w:rFonts w:ascii="Franklin Gothic Book" w:hAnsi="Franklin Gothic Book"/>
          <w:color w:val="auto"/>
          <w:spacing w:val="20"/>
          <w:szCs w:val="28"/>
        </w:rPr>
        <w:t xml:space="preserve"> A court report for a family reunification case with concurrent planning must meet the following requirements, depending on the type of court report</w:t>
      </w:r>
      <w:r>
        <w:rPr>
          <w:rFonts w:ascii="Franklin Gothic Book" w:hAnsi="Franklin Gothic Book"/>
          <w:color w:val="auto"/>
          <w:spacing w:val="20"/>
          <w:szCs w:val="28"/>
        </w:rPr>
        <w:t>.</w:t>
      </w:r>
    </w:p>
    <w:p w:rsidR="00D86A11" w:rsidRPr="00F91CEC" w:rsidRDefault="00D86A11" w:rsidP="00D86A11">
      <w:pPr>
        <w:numPr>
          <w:ilvl w:val="0"/>
          <w:numId w:val="16"/>
        </w:numPr>
        <w:spacing w:before="120" w:after="0"/>
        <w:ind w:right="130"/>
        <w:rPr>
          <w:rFonts w:ascii="Franklin Gothic Book" w:hAnsi="Franklin Gothic Book"/>
          <w:color w:val="auto"/>
          <w:spacing w:val="20"/>
          <w:szCs w:val="28"/>
        </w:rPr>
      </w:pPr>
      <w:r w:rsidRPr="00F91CEC">
        <w:rPr>
          <w:rFonts w:ascii="Franklin Gothic Book" w:hAnsi="Franklin Gothic Book"/>
          <w:b/>
          <w:color w:val="auto"/>
          <w:spacing w:val="20"/>
          <w:szCs w:val="28"/>
        </w:rPr>
        <w:t>Jurisdiction/Disposition Hearing Report:</w:t>
      </w:r>
      <w:r w:rsidRPr="00F91CEC">
        <w:rPr>
          <w:rFonts w:ascii="Franklin Gothic Book" w:hAnsi="Franklin Gothic Book"/>
          <w:color w:val="auto"/>
          <w:spacing w:val="20"/>
          <w:szCs w:val="28"/>
        </w:rPr>
        <w:t xml:space="preserve"> This court report must include both the reunification plan and the permanency alternative plan. The report must also include:</w:t>
      </w:r>
    </w:p>
    <w:p w:rsidR="00D86A11" w:rsidRPr="004D1788" w:rsidRDefault="00D86A11" w:rsidP="00D86A11">
      <w:pPr>
        <w:numPr>
          <w:ilvl w:val="1"/>
          <w:numId w:val="16"/>
        </w:numPr>
        <w:spacing w:before="120" w:after="0"/>
        <w:ind w:right="130"/>
        <w:rPr>
          <w:rFonts w:ascii="Franklin Gothic Book" w:hAnsi="Franklin Gothic Book"/>
          <w:color w:val="auto"/>
          <w:spacing w:val="20"/>
          <w:szCs w:val="28"/>
        </w:rPr>
      </w:pPr>
      <w:r w:rsidRPr="004D1788">
        <w:rPr>
          <w:rFonts w:ascii="Franklin Gothic Book" w:hAnsi="Franklin Gothic Book"/>
          <w:color w:val="auto"/>
          <w:spacing w:val="20"/>
          <w:szCs w:val="28"/>
        </w:rPr>
        <w:t>The parent's prognosis for reunification</w:t>
      </w:r>
    </w:p>
    <w:p w:rsidR="00D86A11" w:rsidRPr="004D1788" w:rsidRDefault="00D86A11" w:rsidP="00D86A11">
      <w:pPr>
        <w:numPr>
          <w:ilvl w:val="1"/>
          <w:numId w:val="16"/>
        </w:numPr>
        <w:spacing w:before="120" w:after="0"/>
        <w:ind w:right="130"/>
        <w:rPr>
          <w:rFonts w:ascii="Franklin Gothic Book" w:hAnsi="Franklin Gothic Book"/>
          <w:color w:val="auto"/>
          <w:spacing w:val="20"/>
          <w:szCs w:val="28"/>
        </w:rPr>
      </w:pPr>
      <w:r w:rsidRPr="004D1788">
        <w:rPr>
          <w:rFonts w:ascii="Franklin Gothic Book" w:hAnsi="Franklin Gothic Book"/>
          <w:color w:val="auto"/>
          <w:spacing w:val="20"/>
          <w:szCs w:val="28"/>
        </w:rPr>
        <w:t>Documentation of the social worker’s discussion with the parent(s) about the requirement to plan for permanency and reunification concurrently, and the parent's option to voluntarily relinquish the child for adoption and participate in adoption planning</w:t>
      </w:r>
    </w:p>
    <w:p w:rsidR="00D86A11" w:rsidRPr="004D1788" w:rsidRDefault="00D86A11" w:rsidP="00D86A11">
      <w:pPr>
        <w:numPr>
          <w:ilvl w:val="1"/>
          <w:numId w:val="16"/>
        </w:numPr>
        <w:spacing w:before="120" w:after="0"/>
        <w:ind w:right="130"/>
        <w:rPr>
          <w:rFonts w:ascii="Franklin Gothic Book" w:hAnsi="Franklin Gothic Book"/>
          <w:color w:val="auto"/>
          <w:spacing w:val="20"/>
          <w:szCs w:val="28"/>
        </w:rPr>
      </w:pPr>
      <w:r w:rsidRPr="004D1788">
        <w:rPr>
          <w:rFonts w:ascii="Franklin Gothic Book" w:hAnsi="Franklin Gothic Book"/>
          <w:color w:val="auto"/>
          <w:spacing w:val="20"/>
          <w:szCs w:val="28"/>
        </w:rPr>
        <w:t>A statement of the reason(s) (e.g., parent unavailable/unwilling) and the steps made toward legal permanence for the child (e.g., child placed with a relative willing to provide legal permanence or referred to PPAU for placement in a concurrent planning home), if th</w:t>
      </w:r>
      <w:r>
        <w:rPr>
          <w:rFonts w:ascii="Franklin Gothic Book" w:hAnsi="Franklin Gothic Book"/>
          <w:color w:val="auto"/>
          <w:spacing w:val="20"/>
          <w:szCs w:val="28"/>
        </w:rPr>
        <w:t>ere was no such discussion.</w:t>
      </w:r>
    </w:p>
    <w:p w:rsidR="00D86A11" w:rsidRPr="00A519E1" w:rsidRDefault="00D86A11" w:rsidP="00D86A11">
      <w:pPr>
        <w:numPr>
          <w:ilvl w:val="0"/>
          <w:numId w:val="16"/>
        </w:numPr>
        <w:spacing w:before="120" w:after="0"/>
        <w:ind w:right="130"/>
        <w:rPr>
          <w:rFonts w:ascii="Franklin Gothic Book" w:hAnsi="Franklin Gothic Book"/>
          <w:color w:val="auto"/>
          <w:spacing w:val="20"/>
          <w:szCs w:val="28"/>
        </w:rPr>
      </w:pPr>
      <w:r w:rsidRPr="00A519E1">
        <w:rPr>
          <w:rFonts w:ascii="Franklin Gothic Book" w:hAnsi="Franklin Gothic Book"/>
          <w:b/>
          <w:color w:val="auto"/>
          <w:spacing w:val="20"/>
          <w:szCs w:val="28"/>
        </w:rPr>
        <w:t xml:space="preserve">Review Report: </w:t>
      </w:r>
      <w:r w:rsidRPr="00A519E1">
        <w:rPr>
          <w:rFonts w:ascii="Franklin Gothic Book" w:hAnsi="Franklin Gothic Book"/>
          <w:color w:val="auto"/>
          <w:spacing w:val="20"/>
          <w:szCs w:val="28"/>
        </w:rPr>
        <w:t>This court report must include an update on the services provided to achieve a permanent placement for the child if efforts to reunify fail.</w:t>
      </w:r>
    </w:p>
    <w:p w:rsidR="00D86A11" w:rsidRPr="00A519E1" w:rsidRDefault="00D86A11" w:rsidP="00D86A11">
      <w:pPr>
        <w:numPr>
          <w:ilvl w:val="1"/>
          <w:numId w:val="16"/>
        </w:numPr>
        <w:spacing w:before="120" w:after="0"/>
        <w:ind w:right="130"/>
        <w:rPr>
          <w:rFonts w:ascii="Franklin Gothic Book" w:hAnsi="Franklin Gothic Book"/>
          <w:color w:val="auto"/>
          <w:spacing w:val="20"/>
          <w:szCs w:val="28"/>
        </w:rPr>
      </w:pPr>
      <w:r w:rsidRPr="00A519E1">
        <w:rPr>
          <w:rFonts w:ascii="Franklin Gothic Book" w:hAnsi="Franklin Gothic Book"/>
          <w:color w:val="auto"/>
          <w:spacing w:val="20"/>
          <w:szCs w:val="28"/>
        </w:rPr>
        <w:t>The continuing services social worker is required to complete a pre-assessment for permanency (e.g. looking into guardianship or adoption as an alternate plan) for each case 30 days prior to the 6</w:t>
      </w:r>
      <w:r>
        <w:rPr>
          <w:rFonts w:ascii="Franklin Gothic Book" w:hAnsi="Franklin Gothic Book"/>
          <w:color w:val="auto"/>
          <w:spacing w:val="20"/>
          <w:szCs w:val="28"/>
        </w:rPr>
        <w:t xml:space="preserve"> </w:t>
      </w:r>
      <w:r>
        <w:rPr>
          <w:rFonts w:ascii="Franklin Gothic Book" w:hAnsi="Franklin Gothic Book"/>
          <w:color w:val="auto"/>
          <w:spacing w:val="20"/>
          <w:szCs w:val="28"/>
        </w:rPr>
        <w:lastRenderedPageBreak/>
        <w:t>and</w:t>
      </w:r>
      <w:r w:rsidRPr="00A519E1">
        <w:rPr>
          <w:rFonts w:ascii="Franklin Gothic Book" w:hAnsi="Franklin Gothic Book"/>
          <w:color w:val="auto"/>
          <w:spacing w:val="20"/>
          <w:szCs w:val="28"/>
        </w:rPr>
        <w:t xml:space="preserve"> 12 review hearing if the parent is not progressing in reunification. This facilitates the proper timelines for the case to move to TPR in a timely manner. Timelines may be out of compliance if a court hearing is continued or a trial is set that extends beyond the assessment timeframe. Documentation of compelling reasons for TPR </w:t>
      </w:r>
      <w:r w:rsidR="00A56CE5" w:rsidRPr="00A519E1">
        <w:rPr>
          <w:rFonts w:ascii="Franklin Gothic Book" w:hAnsi="Franklin Gothic Book"/>
          <w:color w:val="auto"/>
          <w:spacing w:val="20"/>
          <w:szCs w:val="28"/>
        </w:rPr>
        <w:t>is</w:t>
      </w:r>
      <w:r w:rsidRPr="00A519E1">
        <w:rPr>
          <w:rFonts w:ascii="Franklin Gothic Book" w:hAnsi="Franklin Gothic Book"/>
          <w:color w:val="auto"/>
          <w:spacing w:val="20"/>
          <w:szCs w:val="28"/>
        </w:rPr>
        <w:t xml:space="preserve"> contained in the court reports. The court report(s) outline what permanent plan is appropriate for the child and why it would be in the best interest of the child to terminate the parental rights. </w:t>
      </w:r>
    </w:p>
    <w:p w:rsidR="00D86A11" w:rsidRDefault="00D86A11" w:rsidP="00D86A11">
      <w:pPr>
        <w:pStyle w:val="Heading3"/>
        <w:spacing w:line="276" w:lineRule="auto"/>
        <w:rPr>
          <w:b w:val="0"/>
          <w:color w:val="auto"/>
          <w:sz w:val="22"/>
        </w:rPr>
      </w:pPr>
      <w:r w:rsidRPr="00156D88">
        <w:rPr>
          <w:b w:val="0"/>
          <w:color w:val="auto"/>
          <w:sz w:val="22"/>
        </w:rPr>
        <w:t>When the youth is between the age of 15-1/2 and 16, the social worker and youth meet to develop a Transitional Independent Living Plan (TILP) and the plan is reassessed when the social worker meets with the youth. The TILP is updated and submitted to the court every six months. The process is the same for Probation youth.</w:t>
      </w:r>
    </w:p>
    <w:p w:rsidR="00D86A11" w:rsidRPr="000602BA" w:rsidRDefault="00D86A11" w:rsidP="00D86A11">
      <w:pPr>
        <w:pStyle w:val="Heading2"/>
        <w:rPr>
          <w:color w:val="F6872B"/>
        </w:rPr>
      </w:pPr>
      <w:r w:rsidRPr="000602BA">
        <w:rPr>
          <w:color w:val="F6872B"/>
        </w:rPr>
        <w:t xml:space="preserve">Probation Quality Assurance  </w:t>
      </w:r>
    </w:p>
    <w:p w:rsidR="00D86A11" w:rsidRDefault="00D86A11" w:rsidP="00D86A11">
      <w:pPr>
        <w:pStyle w:val="Heading3"/>
        <w:spacing w:line="276" w:lineRule="auto"/>
        <w:rPr>
          <w:b w:val="0"/>
          <w:color w:val="auto"/>
          <w:sz w:val="22"/>
        </w:rPr>
      </w:pPr>
      <w:r w:rsidRPr="00B352AF">
        <w:rPr>
          <w:b w:val="0"/>
          <w:color w:val="auto"/>
          <w:sz w:val="22"/>
        </w:rPr>
        <w:t>The Probation Department has made significant improvements in the Quality Assurance system. Over the last several years, the P</w:t>
      </w:r>
      <w:r>
        <w:rPr>
          <w:b w:val="0"/>
          <w:color w:val="auto"/>
          <w:sz w:val="22"/>
        </w:rPr>
        <w:t>lacement Division</w:t>
      </w:r>
      <w:r w:rsidRPr="00B352AF">
        <w:rPr>
          <w:b w:val="0"/>
          <w:color w:val="auto"/>
          <w:sz w:val="22"/>
        </w:rPr>
        <w:t xml:space="preserve"> has focused on improving data collection, monitoring systems for achievement of performance measures and in revising and/or developing new procedures as a means of achieving those performance measures. The Placement </w:t>
      </w:r>
      <w:r>
        <w:rPr>
          <w:b w:val="0"/>
          <w:color w:val="auto"/>
          <w:sz w:val="22"/>
        </w:rPr>
        <w:t xml:space="preserve">Division </w:t>
      </w:r>
      <w:r w:rsidRPr="00B352AF">
        <w:rPr>
          <w:b w:val="0"/>
          <w:color w:val="auto"/>
          <w:sz w:val="22"/>
        </w:rPr>
        <w:t xml:space="preserve">has expanded to include two administrative </w:t>
      </w:r>
      <w:r>
        <w:rPr>
          <w:b w:val="0"/>
          <w:color w:val="auto"/>
          <w:sz w:val="22"/>
        </w:rPr>
        <w:t>s</w:t>
      </w:r>
      <w:r w:rsidRPr="00B352AF">
        <w:rPr>
          <w:b w:val="0"/>
          <w:color w:val="auto"/>
          <w:sz w:val="22"/>
        </w:rPr>
        <w:t xml:space="preserve">upervisors to support system improvements, </w:t>
      </w:r>
      <w:r>
        <w:rPr>
          <w:b w:val="0"/>
          <w:color w:val="auto"/>
          <w:sz w:val="22"/>
        </w:rPr>
        <w:t xml:space="preserve">two </w:t>
      </w:r>
      <w:r w:rsidRPr="00B352AF">
        <w:rPr>
          <w:b w:val="0"/>
          <w:color w:val="auto"/>
          <w:sz w:val="22"/>
        </w:rPr>
        <w:t>additional Senior Probation Officers, one who focuses on Title IV-E quality assurance, and another who</w:t>
      </w:r>
      <w:r>
        <w:rPr>
          <w:b w:val="0"/>
          <w:color w:val="auto"/>
          <w:sz w:val="22"/>
        </w:rPr>
        <w:t xml:space="preserve"> </w:t>
      </w:r>
      <w:r w:rsidRPr="00B352AF">
        <w:rPr>
          <w:b w:val="0"/>
          <w:color w:val="auto"/>
          <w:sz w:val="22"/>
        </w:rPr>
        <w:t xml:space="preserve">assists in monitoring compliance with Federal and State mandates and the achievement of performance measures. A Data Analyst was also added to assist in collecting and analyzing relevant data for use in evaluating achievement of performance measures of safety, well-being and permanency. </w:t>
      </w:r>
    </w:p>
    <w:p w:rsidR="00D86A11" w:rsidRPr="00B352AF" w:rsidRDefault="00121985" w:rsidP="00D86A11">
      <w:pPr>
        <w:pStyle w:val="Heading3"/>
        <w:spacing w:line="276" w:lineRule="auto"/>
        <w:rPr>
          <w:b w:val="0"/>
          <w:color w:val="auto"/>
          <w:sz w:val="22"/>
        </w:rPr>
      </w:pPr>
      <w:r w:rsidRPr="00121985">
        <w:rPr>
          <w:b w:val="0"/>
          <w:color w:val="auto"/>
          <w:sz w:val="22"/>
        </w:rPr>
        <w:t xml:space="preserve">The Probation Department Treatment Unit is responsible for procuring evidence-based treatments, conducting Quality Assurance and maintaining oversight of the Community Resource Directory, which is a compilation of the of providers the department utilizes throughout the continuum of care. The Director of Treatment and Clinical Services also serves as a liaison with various agencies including the Juvenile Court, Public Defenders Office and Behavioral Health Services (BHS). </w:t>
      </w:r>
    </w:p>
    <w:p w:rsidR="00D86A11" w:rsidRPr="002A1454" w:rsidRDefault="00121985" w:rsidP="00D86A11">
      <w:pPr>
        <w:pStyle w:val="Heading3"/>
        <w:spacing w:line="276" w:lineRule="auto"/>
        <w:rPr>
          <w:b w:val="0"/>
          <w:color w:val="auto"/>
          <w:sz w:val="22"/>
        </w:rPr>
      </w:pPr>
      <w:r w:rsidRPr="00121985">
        <w:rPr>
          <w:b w:val="0"/>
          <w:color w:val="auto"/>
          <w:sz w:val="22"/>
        </w:rPr>
        <w:t xml:space="preserve">Probation policies utilized to evaluate the achievement of performance measures include stringent requirements on monthly face to face visits and telephone contact with the youth and parent (legal guardian), development of comprehensive case plans, supervisor case audits to ensure compliance with Title IV-E mandates, monthly collection, analysis and distribution of data from CWS/ CMS, Safe Measures and the Probation Case Management System (PCMS). Information from the various data sites is utilized to assist in identifying barriers and to present suggestions for improvement to accomplish achievement of performance measures as identified in the county Quarterly Data Reports. </w:t>
      </w:r>
    </w:p>
    <w:p w:rsidR="00D86A11" w:rsidRPr="002A1454" w:rsidRDefault="00121985" w:rsidP="00D86A11">
      <w:pPr>
        <w:pStyle w:val="Heading3"/>
        <w:spacing w:line="276" w:lineRule="auto"/>
        <w:rPr>
          <w:b w:val="0"/>
          <w:color w:val="auto"/>
          <w:sz w:val="22"/>
        </w:rPr>
      </w:pPr>
      <w:r w:rsidRPr="00121985">
        <w:rPr>
          <w:b w:val="0"/>
          <w:color w:val="auto"/>
          <w:sz w:val="22"/>
        </w:rPr>
        <w:lastRenderedPageBreak/>
        <w:t xml:space="preserve">The Probation Department policy requires face to face contact with the youth and parent (legal guardian) at least once monthly. These face to face contacts must take place at the home or group home and allow the officer the ability to monitor the safety, well-being and permanency of the youth as he/she evaluates the placement for appropriateness, safety practices and measures and the overall placement structure. Probation Officers are also required to accompany and participate in the bi-annual group home audit as an added measure to hold providers accountable for their role in assisting the youth as our department seeks to achieve performance measures. </w:t>
      </w:r>
    </w:p>
    <w:p w:rsidR="00D86A11" w:rsidRDefault="00121985" w:rsidP="00D86A11">
      <w:pPr>
        <w:pStyle w:val="Heading3"/>
        <w:spacing w:line="276" w:lineRule="auto"/>
        <w:rPr>
          <w:b w:val="0"/>
          <w:color w:val="auto"/>
          <w:sz w:val="22"/>
        </w:rPr>
      </w:pPr>
      <w:r w:rsidRPr="00121985">
        <w:rPr>
          <w:b w:val="0"/>
          <w:color w:val="auto"/>
          <w:sz w:val="22"/>
        </w:rPr>
        <w:t>The Probation Department utilizes several screening and assessment tools to identify a youth’s treatment, mental health and trauma needs. These include:</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0B6702">
        <w:rPr>
          <w:rFonts w:ascii="Franklin Gothic Book" w:hAnsi="Franklin Gothic Book"/>
          <w:color w:val="auto"/>
          <w:spacing w:val="20"/>
          <w:szCs w:val="28"/>
        </w:rPr>
        <w:t>San Diego Risk and Resiliency Checkup (SDRRC)</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0B6702">
        <w:rPr>
          <w:rFonts w:ascii="Franklin Gothic Book" w:hAnsi="Franklin Gothic Book"/>
          <w:color w:val="auto"/>
          <w:spacing w:val="20"/>
          <w:szCs w:val="28"/>
        </w:rPr>
        <w:t>Evaluation of Imminent Risk and Reasonable Candidacy (EIRRC)</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0B6702">
        <w:rPr>
          <w:rFonts w:ascii="Franklin Gothic Book" w:hAnsi="Franklin Gothic Book"/>
          <w:color w:val="auto"/>
          <w:spacing w:val="20"/>
          <w:szCs w:val="28"/>
        </w:rPr>
        <w:t>Massachusetts Youth Screening Instrument</w:t>
      </w:r>
      <w:r>
        <w:rPr>
          <w:rFonts w:ascii="Franklin Gothic Book" w:hAnsi="Franklin Gothic Book"/>
          <w:color w:val="auto"/>
          <w:spacing w:val="20"/>
          <w:szCs w:val="28"/>
        </w:rPr>
        <w:t>-2</w:t>
      </w:r>
      <w:r w:rsidRPr="000B6702">
        <w:rPr>
          <w:rFonts w:ascii="Franklin Gothic Book" w:hAnsi="Franklin Gothic Book"/>
          <w:color w:val="auto"/>
          <w:spacing w:val="20"/>
          <w:szCs w:val="28"/>
        </w:rPr>
        <w:t>(MAYSI</w:t>
      </w:r>
      <w:r>
        <w:rPr>
          <w:rFonts w:ascii="Franklin Gothic Book" w:hAnsi="Franklin Gothic Book"/>
          <w:color w:val="auto"/>
          <w:spacing w:val="20"/>
          <w:szCs w:val="28"/>
        </w:rPr>
        <w:t>-2</w:t>
      </w:r>
      <w:r w:rsidRPr="000B6702">
        <w:rPr>
          <w:rFonts w:ascii="Franklin Gothic Book" w:hAnsi="Franklin Gothic Book"/>
          <w:color w:val="auto"/>
          <w:spacing w:val="20"/>
          <w:szCs w:val="28"/>
        </w:rPr>
        <w:t>)</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0B6702">
        <w:rPr>
          <w:rFonts w:ascii="Franklin Gothic Book" w:hAnsi="Franklin Gothic Book"/>
          <w:color w:val="auto"/>
          <w:spacing w:val="20"/>
          <w:szCs w:val="28"/>
        </w:rPr>
        <w:t>Stat</w:t>
      </w:r>
      <w:r>
        <w:rPr>
          <w:rFonts w:ascii="Franklin Gothic Book" w:hAnsi="Franklin Gothic Book"/>
          <w:color w:val="auto"/>
          <w:spacing w:val="20"/>
          <w:szCs w:val="28"/>
        </w:rPr>
        <w:t>ement of Dangerous Propensities</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0B6702">
        <w:rPr>
          <w:rFonts w:ascii="Franklin Gothic Book" w:hAnsi="Franklin Gothic Book"/>
          <w:color w:val="auto"/>
          <w:spacing w:val="20"/>
          <w:szCs w:val="28"/>
        </w:rPr>
        <w:t>Psychological Evaluations</w:t>
      </w:r>
    </w:p>
    <w:p w:rsidR="00D86A11"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Pre-Placement Case Plans (PPCP)</w:t>
      </w:r>
    </w:p>
    <w:p w:rsidR="00D86A11" w:rsidRDefault="00D86A11" w:rsidP="00D86A11">
      <w:pPr>
        <w:pStyle w:val="Heading3"/>
        <w:spacing w:line="276" w:lineRule="auto"/>
        <w:rPr>
          <w:b w:val="0"/>
          <w:color w:val="auto"/>
          <w:sz w:val="22"/>
        </w:rPr>
      </w:pPr>
      <w:r w:rsidRPr="000B6702">
        <w:rPr>
          <w:b w:val="0"/>
          <w:color w:val="auto"/>
          <w:sz w:val="22"/>
        </w:rPr>
        <w:t xml:space="preserve">Upon completion of the assessment process, </w:t>
      </w:r>
      <w:r>
        <w:rPr>
          <w:b w:val="0"/>
          <w:color w:val="auto"/>
          <w:sz w:val="22"/>
        </w:rPr>
        <w:t xml:space="preserve">Probation </w:t>
      </w:r>
      <w:r w:rsidRPr="000B6702">
        <w:rPr>
          <w:b w:val="0"/>
          <w:color w:val="auto"/>
          <w:sz w:val="22"/>
        </w:rPr>
        <w:t>Officers formulate a comprehensive case plan to include the identification of treatment needs relative to mental health, education, and trauma. Probation Officers complete all case plans with input from the youth and the parent (legal guardian). Parents (legal guardians) and the youth acknowledge participation in the case planning process by signing the bottom of all case plans. The case plan is linked to the Community Resource Directory and allows officers to link services to fit the youth’s individual needs.</w:t>
      </w:r>
    </w:p>
    <w:p w:rsidR="00D86A11" w:rsidRPr="000B6702" w:rsidRDefault="00D86A11" w:rsidP="00D86A11">
      <w:pPr>
        <w:pStyle w:val="Heading3"/>
        <w:spacing w:line="276" w:lineRule="auto"/>
        <w:rPr>
          <w:b w:val="0"/>
          <w:color w:val="auto"/>
          <w:sz w:val="22"/>
        </w:rPr>
      </w:pPr>
      <w:r w:rsidRPr="000B6702">
        <w:rPr>
          <w:b w:val="0"/>
          <w:color w:val="auto"/>
          <w:sz w:val="22"/>
        </w:rPr>
        <w:t xml:space="preserve">A Transitional Independent Living Plan (TILP) is also generated for age appropriate youth. The TILP is forwarded to the Independent Living Skills Coordinator who ensures the youth receives the appropriate services. All case plans are updated every six months to include new information and/or recommendations for additional services or needs. Officers also prepare detailed reports including Permanency Planning Hearing (PPH) reports which also identify needs and the plan to address those needs. Officers also complete a concurrent case plan for use in the event there are barriers to implementing the initial plan. </w:t>
      </w:r>
    </w:p>
    <w:p w:rsidR="00D86A11" w:rsidRPr="00317AE1" w:rsidRDefault="00D86A11" w:rsidP="00D86A11">
      <w:pPr>
        <w:pStyle w:val="Heading3"/>
        <w:spacing w:line="276" w:lineRule="auto"/>
        <w:rPr>
          <w:b w:val="0"/>
          <w:color w:val="auto"/>
          <w:sz w:val="22"/>
        </w:rPr>
      </w:pPr>
      <w:r w:rsidRPr="00317AE1">
        <w:rPr>
          <w:b w:val="0"/>
          <w:color w:val="auto"/>
          <w:sz w:val="22"/>
        </w:rPr>
        <w:t xml:space="preserve">For youth that are dually involved with Child Welfare Services and the Probation Department, officers coordinate Multi-Disciplinary Team (MDT) </w:t>
      </w:r>
      <w:r>
        <w:rPr>
          <w:b w:val="0"/>
          <w:color w:val="auto"/>
          <w:sz w:val="22"/>
        </w:rPr>
        <w:t>m</w:t>
      </w:r>
      <w:r w:rsidRPr="00317AE1">
        <w:rPr>
          <w:b w:val="0"/>
          <w:color w:val="auto"/>
          <w:sz w:val="22"/>
        </w:rPr>
        <w:t>eetings with the parent (guardian), youth, P</w:t>
      </w:r>
      <w:r>
        <w:rPr>
          <w:b w:val="0"/>
          <w:color w:val="auto"/>
          <w:sz w:val="22"/>
        </w:rPr>
        <w:t>r</w:t>
      </w:r>
      <w:r w:rsidRPr="00317AE1">
        <w:rPr>
          <w:b w:val="0"/>
          <w:color w:val="auto"/>
          <w:sz w:val="22"/>
        </w:rPr>
        <w:t xml:space="preserve">obation </w:t>
      </w:r>
      <w:r>
        <w:rPr>
          <w:b w:val="0"/>
          <w:color w:val="auto"/>
          <w:sz w:val="22"/>
        </w:rPr>
        <w:t>o</w:t>
      </w:r>
      <w:r w:rsidRPr="00317AE1">
        <w:rPr>
          <w:b w:val="0"/>
          <w:color w:val="auto"/>
          <w:sz w:val="22"/>
        </w:rPr>
        <w:t xml:space="preserve">fficer, </w:t>
      </w:r>
      <w:r>
        <w:rPr>
          <w:b w:val="0"/>
          <w:color w:val="auto"/>
          <w:sz w:val="22"/>
        </w:rPr>
        <w:t>s</w:t>
      </w:r>
      <w:r w:rsidRPr="00317AE1">
        <w:rPr>
          <w:b w:val="0"/>
          <w:color w:val="auto"/>
          <w:sz w:val="22"/>
        </w:rPr>
        <w:t xml:space="preserve">ocial </w:t>
      </w:r>
      <w:r>
        <w:rPr>
          <w:b w:val="0"/>
          <w:color w:val="auto"/>
          <w:sz w:val="22"/>
        </w:rPr>
        <w:t>w</w:t>
      </w:r>
      <w:r w:rsidRPr="00317AE1">
        <w:rPr>
          <w:b w:val="0"/>
          <w:color w:val="auto"/>
          <w:sz w:val="22"/>
        </w:rPr>
        <w:t xml:space="preserve">orker and other relevant individuals such as </w:t>
      </w:r>
      <w:r w:rsidR="00121985" w:rsidRPr="00121985">
        <w:rPr>
          <w:b w:val="0"/>
          <w:color w:val="auto"/>
          <w:sz w:val="22"/>
        </w:rPr>
        <w:t xml:space="preserve">the Court Appointed Special Advocate (CASA) or teachers/ mentors. The purpose of the MDT meeting is to discuss the needs of the youth and family and allow input of the parties in formulating a viable plan of action to accomplish goals. For youth with extreme mental health issues who have presented with challenges in treating those needs, the probation officer, with the approval of </w:t>
      </w:r>
      <w:r w:rsidR="00121985" w:rsidRPr="00121985">
        <w:rPr>
          <w:b w:val="0"/>
          <w:color w:val="auto"/>
          <w:sz w:val="22"/>
        </w:rPr>
        <w:lastRenderedPageBreak/>
        <w:t xml:space="preserve">the division chief, participates and presents the case at a Barrier Busters meeting with the Health and Human Services Agency (CWS and BHS), in collaboration with the other individuals involved in the youth’s life such as the CASA or educational advocate. The Barrier Busters team members provide input to develop a comprehensive assessment and treatment plan. </w:t>
      </w:r>
    </w:p>
    <w:p w:rsidR="004D15F9" w:rsidRDefault="00D86A11">
      <w:pPr>
        <w:pStyle w:val="ColorfulList-Accent11"/>
        <w:spacing w:before="240" w:after="200" w:line="276" w:lineRule="auto"/>
        <w:ind w:left="0"/>
        <w:rPr>
          <w:rFonts w:ascii="Franklin Gothic Book" w:eastAsia="Perpetua" w:hAnsi="Franklin Gothic Book"/>
          <w:spacing w:val="20"/>
        </w:rPr>
      </w:pPr>
      <w:r w:rsidRPr="00963B15">
        <w:rPr>
          <w:rFonts w:ascii="Franklin Gothic Book" w:eastAsia="Perpetua" w:hAnsi="Franklin Gothic Book"/>
          <w:spacing w:val="20"/>
          <w:sz w:val="22"/>
          <w:szCs w:val="28"/>
        </w:rPr>
        <w:t>A Public Health Nurse (PHN) is assigned to the Juvenile Probation Placement Unit and oversees the administration of prescription medications. The Public Health Nurse reviews all JV220’s, the Application for Psychotropic Medications, for appropriateness and upon review and approval, forwards the Application for Psychotropic Medications to the Psychiatrist at Vista Hill, the Juvenile Court Clinic. The Psychiatrist reviews the application and provides comments with respect to the appropriateness and/or risks involved with the prescription. Probation Officers monitor the administration of psychotropic medications for youth in the facility during group home audits by ensuring medications are in a locked storage area, limiting youth access. Officers also review medication logs for staff signatures and for accuracy in the dispensing of medications</w:t>
      </w:r>
      <w:r w:rsidRPr="000602BA">
        <w:rPr>
          <w:rFonts w:ascii="Franklin Gothic Book" w:hAnsi="Franklin Gothic Book"/>
          <w:spacing w:val="20"/>
          <w:szCs w:val="28"/>
        </w:rPr>
        <w:t>.</w:t>
      </w:r>
    </w:p>
    <w:p w:rsidR="00D86A11" w:rsidRPr="000602BA" w:rsidRDefault="00D86A11" w:rsidP="00D86A11">
      <w:pPr>
        <w:spacing w:before="120" w:after="0"/>
        <w:rPr>
          <w:rFonts w:ascii="Franklin Gothic Book" w:hAnsi="Franklin Gothic Book"/>
          <w:color w:val="auto"/>
          <w:spacing w:val="20"/>
          <w:szCs w:val="28"/>
        </w:rPr>
      </w:pPr>
      <w:r w:rsidRPr="000602BA">
        <w:rPr>
          <w:rFonts w:ascii="Franklin Gothic Book" w:hAnsi="Franklin Gothic Book"/>
          <w:color w:val="auto"/>
          <w:spacing w:val="20"/>
          <w:szCs w:val="28"/>
        </w:rPr>
        <w:t>In addition, the Probation Department provides the following programs:</w:t>
      </w:r>
    </w:p>
    <w:p w:rsidR="00D86A11" w:rsidRPr="00951A47" w:rsidRDefault="00D86A11" w:rsidP="00D86A11">
      <w:pPr>
        <w:numPr>
          <w:ilvl w:val="0"/>
          <w:numId w:val="16"/>
        </w:numPr>
        <w:spacing w:before="120" w:after="0"/>
        <w:ind w:right="130"/>
        <w:rPr>
          <w:rFonts w:ascii="Franklin Gothic Book" w:hAnsi="Franklin Gothic Book"/>
          <w:color w:val="auto"/>
          <w:spacing w:val="20"/>
          <w:szCs w:val="28"/>
        </w:rPr>
      </w:pPr>
      <w:r w:rsidRPr="00951A47">
        <w:rPr>
          <w:rFonts w:ascii="Franklin Gothic Book" w:hAnsi="Franklin Gothic Book"/>
          <w:color w:val="auto"/>
          <w:spacing w:val="20"/>
          <w:szCs w:val="28"/>
        </w:rPr>
        <w:t xml:space="preserve">The </w:t>
      </w:r>
      <w:r>
        <w:rPr>
          <w:rFonts w:ascii="Franklin Gothic Book" w:hAnsi="Franklin Gothic Book"/>
          <w:color w:val="auto"/>
          <w:spacing w:val="20"/>
          <w:szCs w:val="28"/>
        </w:rPr>
        <w:t>Stabilization, Transition, Assessment, and Treatment (STAT</w:t>
      </w:r>
      <w:r w:rsidR="00A56CE5">
        <w:rPr>
          <w:rFonts w:ascii="Franklin Gothic Book" w:hAnsi="Franklin Gothic Book"/>
          <w:color w:val="auto"/>
          <w:spacing w:val="20"/>
          <w:szCs w:val="28"/>
        </w:rPr>
        <w:t>)</w:t>
      </w:r>
      <w:r w:rsidR="00A56CE5" w:rsidRPr="00951A47">
        <w:rPr>
          <w:rFonts w:ascii="Franklin Gothic Book" w:hAnsi="Franklin Gothic Book"/>
          <w:b/>
          <w:color w:val="auto"/>
          <w:spacing w:val="20"/>
          <w:szCs w:val="28"/>
        </w:rPr>
        <w:t xml:space="preserve"> </w:t>
      </w:r>
      <w:r w:rsidRPr="00951A47">
        <w:rPr>
          <w:rFonts w:ascii="Franklin Gothic Book" w:hAnsi="Franklin Gothic Book"/>
          <w:b/>
          <w:color w:val="auto"/>
          <w:spacing w:val="20"/>
          <w:szCs w:val="28"/>
        </w:rPr>
        <w:t>Team</w:t>
      </w:r>
      <w:r w:rsidRPr="00951A47">
        <w:rPr>
          <w:rFonts w:ascii="Franklin Gothic Book" w:hAnsi="Franklin Gothic Book"/>
          <w:color w:val="auto"/>
          <w:spacing w:val="20"/>
          <w:szCs w:val="28"/>
        </w:rPr>
        <w:t xml:space="preserve"> provides mental health </w:t>
      </w:r>
      <w:r>
        <w:rPr>
          <w:rFonts w:ascii="Franklin Gothic Book" w:hAnsi="Franklin Gothic Book"/>
          <w:color w:val="auto"/>
          <w:spacing w:val="20"/>
          <w:szCs w:val="28"/>
        </w:rPr>
        <w:t xml:space="preserve">assessment, </w:t>
      </w:r>
      <w:r w:rsidRPr="00951A47">
        <w:rPr>
          <w:rFonts w:ascii="Franklin Gothic Book" w:hAnsi="Franklin Gothic Book"/>
          <w:color w:val="auto"/>
          <w:spacing w:val="20"/>
          <w:szCs w:val="28"/>
        </w:rPr>
        <w:t>counseling</w:t>
      </w:r>
      <w:r>
        <w:rPr>
          <w:rFonts w:ascii="Franklin Gothic Book" w:hAnsi="Franklin Gothic Book"/>
          <w:color w:val="auto"/>
          <w:spacing w:val="20"/>
          <w:szCs w:val="28"/>
        </w:rPr>
        <w:t>,</w:t>
      </w:r>
      <w:r w:rsidRPr="00951A47">
        <w:rPr>
          <w:rFonts w:ascii="Franklin Gothic Book" w:hAnsi="Franklin Gothic Book"/>
          <w:color w:val="auto"/>
          <w:spacing w:val="20"/>
          <w:szCs w:val="28"/>
        </w:rPr>
        <w:t xml:space="preserve"> and treatment as needed for youth </w:t>
      </w:r>
      <w:r>
        <w:rPr>
          <w:rFonts w:ascii="Franklin Gothic Book" w:hAnsi="Franklin Gothic Book"/>
          <w:color w:val="auto"/>
          <w:spacing w:val="20"/>
          <w:szCs w:val="28"/>
        </w:rPr>
        <w:t>who</w:t>
      </w:r>
      <w:r w:rsidRPr="00951A47">
        <w:rPr>
          <w:rFonts w:ascii="Franklin Gothic Book" w:hAnsi="Franklin Gothic Book"/>
          <w:color w:val="auto"/>
          <w:spacing w:val="20"/>
          <w:szCs w:val="28"/>
        </w:rPr>
        <w:t xml:space="preserve"> are detained pending placement or release. </w:t>
      </w:r>
    </w:p>
    <w:p w:rsidR="00D86A11" w:rsidRPr="00951A47" w:rsidRDefault="00D86A11" w:rsidP="00D86A11">
      <w:pPr>
        <w:numPr>
          <w:ilvl w:val="0"/>
          <w:numId w:val="16"/>
        </w:numPr>
        <w:spacing w:before="120" w:after="0"/>
        <w:ind w:right="130"/>
        <w:rPr>
          <w:rFonts w:ascii="Franklin Gothic Book" w:hAnsi="Franklin Gothic Book"/>
          <w:color w:val="auto"/>
          <w:spacing w:val="20"/>
          <w:szCs w:val="28"/>
        </w:rPr>
      </w:pPr>
      <w:r w:rsidRPr="00951A47">
        <w:rPr>
          <w:rFonts w:ascii="Franklin Gothic Book" w:hAnsi="Franklin Gothic Book"/>
          <w:b/>
          <w:color w:val="auto"/>
          <w:spacing w:val="20"/>
          <w:szCs w:val="28"/>
        </w:rPr>
        <w:t>Trauma Responsive Unit</w:t>
      </w:r>
      <w:r w:rsidRPr="00951A47">
        <w:rPr>
          <w:rFonts w:ascii="Franklin Gothic Book" w:hAnsi="Franklin Gothic Book"/>
          <w:color w:val="auto"/>
          <w:spacing w:val="20"/>
          <w:szCs w:val="28"/>
        </w:rPr>
        <w:t xml:space="preserve"> (TRU) provides assessment, re-assessment, and treatment with the use of the “T4” model of care to address male youth in Kearny Mesa Juvenile Detention Facility who are identified through the Massachusetts Youth Screening Inventory</w:t>
      </w:r>
      <w:r>
        <w:rPr>
          <w:rFonts w:ascii="Franklin Gothic Book" w:hAnsi="Franklin Gothic Book"/>
          <w:color w:val="auto"/>
          <w:spacing w:val="20"/>
          <w:szCs w:val="28"/>
        </w:rPr>
        <w:t>-2</w:t>
      </w:r>
      <w:r w:rsidRPr="00951A47">
        <w:rPr>
          <w:rFonts w:ascii="Franklin Gothic Book" w:hAnsi="Franklin Gothic Book"/>
          <w:color w:val="auto"/>
          <w:spacing w:val="20"/>
          <w:szCs w:val="28"/>
        </w:rPr>
        <w:t xml:space="preserve"> (MAYSI</w:t>
      </w:r>
      <w:r>
        <w:rPr>
          <w:rFonts w:ascii="Franklin Gothic Book" w:hAnsi="Franklin Gothic Book"/>
          <w:color w:val="auto"/>
          <w:spacing w:val="20"/>
          <w:szCs w:val="28"/>
        </w:rPr>
        <w:t>-2</w:t>
      </w:r>
      <w:r w:rsidRPr="00951A47">
        <w:rPr>
          <w:rFonts w:ascii="Franklin Gothic Book" w:hAnsi="Franklin Gothic Book"/>
          <w:color w:val="auto"/>
          <w:spacing w:val="20"/>
          <w:szCs w:val="28"/>
        </w:rPr>
        <w:t>), and the Structured Trauma-Related Experiences and Symptoms Screener (STRESS) with signs of Post-Traumatic Stress Disorder (PTSD) and /or Acute Stress Disorder (ASD).</w:t>
      </w:r>
    </w:p>
    <w:p w:rsidR="00D86A11" w:rsidRDefault="00D86A11" w:rsidP="00D86A11">
      <w:pPr>
        <w:rPr>
          <w:highlight w:val="green"/>
        </w:rPr>
      </w:pPr>
    </w:p>
    <w:p w:rsidR="00201FB0" w:rsidRDefault="00201FB0" w:rsidP="00D86A11">
      <w:pPr>
        <w:rPr>
          <w:highlight w:val="green"/>
        </w:rPr>
      </w:pPr>
    </w:p>
    <w:p w:rsidR="00201FB0" w:rsidRDefault="00201FB0" w:rsidP="00D86A11">
      <w:pPr>
        <w:rPr>
          <w:highlight w:val="green"/>
        </w:rPr>
      </w:pPr>
    </w:p>
    <w:p w:rsidR="00201FB0" w:rsidRPr="00E43F42" w:rsidRDefault="00201FB0" w:rsidP="00D86A11">
      <w:pPr>
        <w:rPr>
          <w:highlight w:val="green"/>
        </w:rPr>
      </w:pPr>
    </w:p>
    <w:tbl>
      <w:tblPr>
        <w:tblW w:w="9529" w:type="dxa"/>
        <w:jc w:val="center"/>
        <w:tblCellMar>
          <w:top w:w="144" w:type="dxa"/>
          <w:left w:w="0" w:type="dxa"/>
          <w:bottom w:w="144" w:type="dxa"/>
          <w:right w:w="0" w:type="dxa"/>
        </w:tblCellMar>
        <w:tblLook w:val="04A0" w:firstRow="1" w:lastRow="0" w:firstColumn="1" w:lastColumn="0" w:noHBand="0" w:noVBand="1"/>
      </w:tblPr>
      <w:tblGrid>
        <w:gridCol w:w="9529"/>
      </w:tblGrid>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r w:rsidR="00D86A11" w:rsidRPr="00002D1D">
        <w:trPr>
          <w:trHeight w:val="70"/>
          <w:jc w:val="center"/>
        </w:trPr>
        <w:tc>
          <w:tcPr>
            <w:tcW w:w="0" w:type="auto"/>
            <w:shd w:val="clear" w:color="auto" w:fill="013161"/>
            <w:vAlign w:val="center"/>
          </w:tcPr>
          <w:p w:rsidR="000B1863" w:rsidRDefault="00D86A11">
            <w:pPr>
              <w:pStyle w:val="MediumGrid21"/>
              <w:numPr>
                <w:ilvl w:val="0"/>
                <w:numId w:val="17"/>
              </w:numPr>
              <w:jc w:val="center"/>
              <w:rPr>
                <w:rFonts w:ascii="Franklin Gothic Book" w:eastAsia="HGGothicM" w:hAnsi="Franklin Gothic Book" w:cs="Tahoma"/>
                <w:color w:val="FFFFFF"/>
                <w:sz w:val="48"/>
                <w:szCs w:val="72"/>
              </w:rPr>
            </w:pPr>
            <w:r>
              <w:rPr>
                <w:rFonts w:eastAsia="HGGothicM" w:cs="Calibri"/>
                <w:color w:val="FFFFFF"/>
                <w:sz w:val="44"/>
                <w:szCs w:val="64"/>
              </w:rPr>
              <w:t>Critical Incident Review Process</w:t>
            </w:r>
          </w:p>
        </w:tc>
      </w:tr>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bl>
    <w:p w:rsidR="00D86A11" w:rsidRDefault="00D86A11" w:rsidP="00D86A11">
      <w:pPr>
        <w:pStyle w:val="Default"/>
        <w:rPr>
          <w:rFonts w:ascii="Perpetua" w:eastAsia="Perpetua" w:hAnsi="Perpetua"/>
          <w:sz w:val="22"/>
        </w:rPr>
      </w:pPr>
    </w:p>
    <w:p w:rsidR="00D86A11" w:rsidRPr="00BE2DD9" w:rsidRDefault="00D86A11" w:rsidP="00D86A11">
      <w:pPr>
        <w:pStyle w:val="Heading3"/>
        <w:spacing w:line="276" w:lineRule="auto"/>
        <w:rPr>
          <w:b w:val="0"/>
          <w:color w:val="auto"/>
          <w:sz w:val="22"/>
        </w:rPr>
      </w:pPr>
      <w:r w:rsidRPr="00BE2DD9">
        <w:rPr>
          <w:b w:val="0"/>
          <w:color w:val="auto"/>
          <w:sz w:val="22"/>
        </w:rPr>
        <w:t xml:space="preserve">CWS has an administrative review process (ACR) to identify and review cases due to suspected child abuse/neglect which result in severe injury, near fatality or death. These cases are deemed “high risk” and/or “high profile” requiring intensive case management or monitoring. </w:t>
      </w:r>
    </w:p>
    <w:p w:rsidR="00D86A11" w:rsidRPr="00BE2DD9" w:rsidRDefault="00D86A11" w:rsidP="00D86A11">
      <w:pPr>
        <w:pStyle w:val="Heading3"/>
        <w:spacing w:line="276" w:lineRule="auto"/>
        <w:rPr>
          <w:b w:val="0"/>
          <w:color w:val="auto"/>
          <w:sz w:val="22"/>
        </w:rPr>
      </w:pPr>
      <w:r w:rsidRPr="00BE2DD9">
        <w:rPr>
          <w:b w:val="0"/>
          <w:color w:val="auto"/>
          <w:sz w:val="22"/>
        </w:rPr>
        <w:lastRenderedPageBreak/>
        <w:t xml:space="preserve">Upon receiving a report that meets the high risk/high profile criteria above, an Administrative Case Review (ACR) </w:t>
      </w:r>
      <w:r>
        <w:rPr>
          <w:b w:val="0"/>
          <w:color w:val="auto"/>
          <w:sz w:val="22"/>
        </w:rPr>
        <w:t>may</w:t>
      </w:r>
      <w:r w:rsidRPr="00BE2DD9">
        <w:rPr>
          <w:b w:val="0"/>
          <w:color w:val="auto"/>
          <w:sz w:val="22"/>
        </w:rPr>
        <w:t xml:space="preserve"> be required per the request of the CWS Director. The ACR will include an in depth case review followed by an ACR meeting to discuss policy, practices and to identify opportunities for system and practice improvements. </w:t>
      </w:r>
    </w:p>
    <w:p w:rsidR="00D86A11" w:rsidRPr="00BE2DD9" w:rsidRDefault="00D86A11" w:rsidP="00D86A11">
      <w:pPr>
        <w:pStyle w:val="Heading3"/>
        <w:spacing w:line="276" w:lineRule="auto"/>
        <w:rPr>
          <w:b w:val="0"/>
          <w:color w:val="auto"/>
          <w:sz w:val="22"/>
        </w:rPr>
      </w:pPr>
      <w:r w:rsidRPr="00BE2DD9">
        <w:rPr>
          <w:b w:val="0"/>
          <w:color w:val="auto"/>
          <w:sz w:val="22"/>
        </w:rPr>
        <w:t xml:space="preserve">The regional team will present the case(s) and all relevant history pertaining to the family. Following the case presentation, participants will discuss best practices, lessons learned and follow-up/action items for the Regional team. </w:t>
      </w:r>
    </w:p>
    <w:p w:rsidR="00D86A11" w:rsidRPr="00BE2DD9" w:rsidRDefault="00D86A11" w:rsidP="00D86A11">
      <w:pPr>
        <w:pStyle w:val="Heading3"/>
        <w:spacing w:line="276" w:lineRule="auto"/>
        <w:rPr>
          <w:b w:val="0"/>
          <w:color w:val="auto"/>
          <w:sz w:val="22"/>
        </w:rPr>
      </w:pPr>
      <w:r w:rsidRPr="00BE2DD9">
        <w:rPr>
          <w:b w:val="0"/>
          <w:color w:val="auto"/>
          <w:sz w:val="22"/>
        </w:rPr>
        <w:t xml:space="preserve">The ACR meeting is facilitated by the CWS Director and co-facilitated by County Counsel. The Office of the Ombudsman </w:t>
      </w:r>
      <w:r>
        <w:rPr>
          <w:b w:val="0"/>
          <w:color w:val="auto"/>
          <w:sz w:val="22"/>
        </w:rPr>
        <w:t xml:space="preserve">(OOO) </w:t>
      </w:r>
      <w:r w:rsidRPr="00BE2DD9">
        <w:rPr>
          <w:b w:val="0"/>
          <w:color w:val="auto"/>
          <w:sz w:val="22"/>
        </w:rPr>
        <w:t xml:space="preserve">coordinates the meeting and alerts all parties with an agenda and confirmation of the meeting date and time. The attendees include: </w:t>
      </w:r>
    </w:p>
    <w:p w:rsidR="00D86A11" w:rsidRPr="00AF42FA" w:rsidRDefault="00D86A11" w:rsidP="00D86A11">
      <w:pPr>
        <w:numPr>
          <w:ilvl w:val="0"/>
          <w:numId w:val="16"/>
        </w:numPr>
        <w:spacing w:before="120" w:after="0"/>
        <w:ind w:right="130"/>
        <w:rPr>
          <w:rFonts w:ascii="Franklin Gothic Book" w:hAnsi="Franklin Gothic Book"/>
          <w:color w:val="auto"/>
          <w:spacing w:val="20"/>
          <w:szCs w:val="28"/>
        </w:rPr>
      </w:pPr>
      <w:r w:rsidRPr="00AF42FA">
        <w:rPr>
          <w:rFonts w:ascii="Franklin Gothic Book" w:hAnsi="Franklin Gothic Book"/>
          <w:color w:val="auto"/>
          <w:spacing w:val="20"/>
          <w:szCs w:val="28"/>
        </w:rPr>
        <w:t xml:space="preserve">CWS Executive Assistant </w:t>
      </w:r>
    </w:p>
    <w:p w:rsidR="00D86A11" w:rsidRPr="00AF42FA" w:rsidRDefault="00D86A11" w:rsidP="00D86A11">
      <w:pPr>
        <w:numPr>
          <w:ilvl w:val="0"/>
          <w:numId w:val="16"/>
        </w:numPr>
        <w:spacing w:before="120" w:after="0"/>
        <w:ind w:right="130"/>
        <w:rPr>
          <w:rFonts w:ascii="Franklin Gothic Book" w:hAnsi="Franklin Gothic Book"/>
          <w:color w:val="auto"/>
          <w:spacing w:val="20"/>
          <w:szCs w:val="28"/>
        </w:rPr>
      </w:pPr>
      <w:r w:rsidRPr="00AF42FA">
        <w:rPr>
          <w:rFonts w:ascii="Franklin Gothic Book" w:hAnsi="Franklin Gothic Book"/>
          <w:color w:val="auto"/>
          <w:spacing w:val="20"/>
          <w:szCs w:val="28"/>
        </w:rPr>
        <w:t>R</w:t>
      </w:r>
      <w:r>
        <w:rPr>
          <w:rFonts w:ascii="Franklin Gothic Book" w:hAnsi="Franklin Gothic Book"/>
          <w:color w:val="auto"/>
          <w:spacing w:val="20"/>
          <w:szCs w:val="28"/>
        </w:rPr>
        <w:t>egional General Manager (R</w:t>
      </w:r>
      <w:r w:rsidRPr="00AF42FA">
        <w:rPr>
          <w:rFonts w:ascii="Franklin Gothic Book" w:hAnsi="Franklin Gothic Book"/>
          <w:color w:val="auto"/>
          <w:spacing w:val="20"/>
          <w:szCs w:val="28"/>
        </w:rPr>
        <w:t>GM</w:t>
      </w:r>
      <w:r>
        <w:rPr>
          <w:rFonts w:ascii="Franklin Gothic Book" w:hAnsi="Franklin Gothic Book"/>
          <w:color w:val="auto"/>
          <w:spacing w:val="20"/>
          <w:szCs w:val="28"/>
        </w:rPr>
        <w:t>)</w:t>
      </w:r>
      <w:r w:rsidRPr="00AF42FA">
        <w:rPr>
          <w:rFonts w:ascii="Franklin Gothic Book" w:hAnsi="Franklin Gothic Book"/>
          <w:color w:val="auto"/>
          <w:spacing w:val="20"/>
          <w:szCs w:val="28"/>
        </w:rPr>
        <w:t xml:space="preserve">, Deputy Director (DD), Protective Services Program Manager (PSPM) </w:t>
      </w:r>
    </w:p>
    <w:p w:rsidR="00D86A11" w:rsidRPr="00AF42FA" w:rsidRDefault="00D86A11" w:rsidP="00D86A11">
      <w:pPr>
        <w:numPr>
          <w:ilvl w:val="0"/>
          <w:numId w:val="16"/>
        </w:numPr>
        <w:spacing w:before="120" w:after="0"/>
        <w:ind w:right="130"/>
        <w:rPr>
          <w:rFonts w:ascii="Franklin Gothic Book" w:hAnsi="Franklin Gothic Book"/>
          <w:color w:val="auto"/>
          <w:spacing w:val="20"/>
          <w:szCs w:val="28"/>
        </w:rPr>
      </w:pPr>
      <w:r w:rsidRPr="00AF42FA">
        <w:rPr>
          <w:rFonts w:ascii="Franklin Gothic Book" w:hAnsi="Franklin Gothic Book"/>
          <w:color w:val="auto"/>
          <w:spacing w:val="20"/>
          <w:szCs w:val="28"/>
        </w:rPr>
        <w:t>Office of the Ombudsman (OOO) PSPM, Protective Services Supervisor (PSS) and Investigator responsible for the ACR and Practice Elevation</w:t>
      </w:r>
    </w:p>
    <w:p w:rsidR="00D86A11" w:rsidRPr="00AF42FA" w:rsidRDefault="00D86A11" w:rsidP="00D86A11">
      <w:pPr>
        <w:numPr>
          <w:ilvl w:val="0"/>
          <w:numId w:val="16"/>
        </w:numPr>
        <w:spacing w:before="120" w:after="0"/>
        <w:ind w:right="130"/>
        <w:rPr>
          <w:rFonts w:ascii="Franklin Gothic Book" w:hAnsi="Franklin Gothic Book"/>
          <w:color w:val="auto"/>
          <w:spacing w:val="20"/>
          <w:szCs w:val="28"/>
        </w:rPr>
      </w:pPr>
      <w:r w:rsidRPr="00AF42FA">
        <w:rPr>
          <w:rFonts w:ascii="Franklin Gothic Book" w:hAnsi="Franklin Gothic Book"/>
          <w:color w:val="auto"/>
          <w:spacing w:val="20"/>
          <w:szCs w:val="28"/>
        </w:rPr>
        <w:t xml:space="preserve">Any others relevant to the case: i.e.: Hotline/Standby or Foster Home Licensing </w:t>
      </w:r>
    </w:p>
    <w:p w:rsidR="00D86A11" w:rsidRPr="006D701A" w:rsidRDefault="00D86A11" w:rsidP="00D86A11">
      <w:pPr>
        <w:pStyle w:val="Heading3"/>
        <w:spacing w:line="276" w:lineRule="auto"/>
        <w:rPr>
          <w:b w:val="0"/>
          <w:color w:val="auto"/>
          <w:sz w:val="22"/>
        </w:rPr>
      </w:pPr>
      <w:r w:rsidRPr="006D701A">
        <w:rPr>
          <w:b w:val="0"/>
          <w:color w:val="auto"/>
          <w:sz w:val="22"/>
        </w:rPr>
        <w:t xml:space="preserve">The assigned region is also responsible for conducting its own case review of the high risk/high profile case. During the ACR meeting, the Region is responsible for presenting the case(s) which shall include the following information: </w:t>
      </w:r>
    </w:p>
    <w:p w:rsidR="00D86A11" w:rsidRPr="00FE34A3" w:rsidRDefault="00D86A11" w:rsidP="00D86A11">
      <w:pPr>
        <w:numPr>
          <w:ilvl w:val="0"/>
          <w:numId w:val="16"/>
        </w:numPr>
        <w:spacing w:before="120" w:after="0"/>
        <w:ind w:right="130"/>
        <w:rPr>
          <w:rFonts w:ascii="Franklin Gothic Book" w:hAnsi="Franklin Gothic Book"/>
          <w:color w:val="auto"/>
          <w:spacing w:val="20"/>
          <w:szCs w:val="28"/>
        </w:rPr>
      </w:pPr>
      <w:r w:rsidRPr="00FE34A3">
        <w:rPr>
          <w:rFonts w:ascii="Franklin Gothic Book" w:hAnsi="Franklin Gothic Book"/>
          <w:color w:val="auto"/>
          <w:spacing w:val="20"/>
          <w:szCs w:val="28"/>
        </w:rPr>
        <w:t xml:space="preserve">Allegations </w:t>
      </w:r>
    </w:p>
    <w:p w:rsidR="00D86A11" w:rsidRPr="00FE34A3" w:rsidRDefault="00D86A11" w:rsidP="00D86A11">
      <w:pPr>
        <w:numPr>
          <w:ilvl w:val="0"/>
          <w:numId w:val="16"/>
        </w:numPr>
        <w:spacing w:before="120" w:after="0"/>
        <w:ind w:right="130"/>
        <w:rPr>
          <w:rFonts w:ascii="Franklin Gothic Book" w:hAnsi="Franklin Gothic Book"/>
          <w:color w:val="auto"/>
          <w:spacing w:val="20"/>
          <w:szCs w:val="28"/>
        </w:rPr>
      </w:pPr>
      <w:r w:rsidRPr="00FE34A3">
        <w:rPr>
          <w:rFonts w:ascii="Franklin Gothic Book" w:hAnsi="Franklin Gothic Book"/>
          <w:color w:val="auto"/>
          <w:spacing w:val="20"/>
          <w:szCs w:val="28"/>
        </w:rPr>
        <w:t xml:space="preserve">Findings </w:t>
      </w:r>
    </w:p>
    <w:p w:rsidR="00D86A11" w:rsidRPr="00FE34A3" w:rsidRDefault="00D86A11" w:rsidP="00D86A11">
      <w:pPr>
        <w:numPr>
          <w:ilvl w:val="0"/>
          <w:numId w:val="16"/>
        </w:numPr>
        <w:spacing w:before="120" w:after="0"/>
        <w:ind w:right="130"/>
        <w:rPr>
          <w:rFonts w:ascii="Franklin Gothic Book" w:hAnsi="Franklin Gothic Book"/>
          <w:color w:val="auto"/>
          <w:spacing w:val="20"/>
          <w:szCs w:val="28"/>
        </w:rPr>
      </w:pPr>
      <w:r w:rsidRPr="00FE34A3">
        <w:rPr>
          <w:rFonts w:ascii="Franklin Gothic Book" w:hAnsi="Franklin Gothic Book"/>
          <w:color w:val="auto"/>
          <w:spacing w:val="20"/>
          <w:szCs w:val="28"/>
        </w:rPr>
        <w:t xml:space="preserve">Intervention </w:t>
      </w:r>
    </w:p>
    <w:p w:rsidR="00D86A11" w:rsidRPr="00FE34A3" w:rsidRDefault="00D86A11" w:rsidP="00D86A11">
      <w:pPr>
        <w:numPr>
          <w:ilvl w:val="0"/>
          <w:numId w:val="16"/>
        </w:numPr>
        <w:spacing w:before="120" w:after="0"/>
        <w:ind w:right="130"/>
        <w:rPr>
          <w:rFonts w:ascii="Franklin Gothic Book" w:hAnsi="Franklin Gothic Book"/>
          <w:color w:val="auto"/>
          <w:spacing w:val="20"/>
          <w:szCs w:val="28"/>
        </w:rPr>
      </w:pPr>
      <w:r w:rsidRPr="00FE34A3">
        <w:rPr>
          <w:rFonts w:ascii="Franklin Gothic Book" w:hAnsi="Franklin Gothic Book"/>
          <w:color w:val="auto"/>
          <w:spacing w:val="20"/>
          <w:szCs w:val="28"/>
        </w:rPr>
        <w:t xml:space="preserve">Legal Status </w:t>
      </w:r>
    </w:p>
    <w:p w:rsidR="00D86A11" w:rsidRPr="00FE34A3" w:rsidRDefault="00D86A11" w:rsidP="00D86A11">
      <w:pPr>
        <w:numPr>
          <w:ilvl w:val="0"/>
          <w:numId w:val="16"/>
        </w:numPr>
        <w:spacing w:before="120" w:after="0"/>
        <w:ind w:right="130"/>
        <w:rPr>
          <w:rFonts w:ascii="Franklin Gothic Book" w:hAnsi="Franklin Gothic Book"/>
          <w:color w:val="auto"/>
          <w:spacing w:val="20"/>
          <w:szCs w:val="28"/>
        </w:rPr>
      </w:pPr>
      <w:r w:rsidRPr="00FE34A3">
        <w:rPr>
          <w:rFonts w:ascii="Franklin Gothic Book" w:hAnsi="Franklin Gothic Book"/>
          <w:color w:val="auto"/>
          <w:spacing w:val="20"/>
          <w:szCs w:val="28"/>
        </w:rPr>
        <w:t xml:space="preserve">Services/Placement/Case Plan </w:t>
      </w:r>
    </w:p>
    <w:p w:rsidR="00D86A11" w:rsidRPr="00723365" w:rsidRDefault="00D86A11" w:rsidP="00D86A11">
      <w:pPr>
        <w:pStyle w:val="Heading3"/>
        <w:spacing w:line="276" w:lineRule="auto"/>
        <w:rPr>
          <w:b w:val="0"/>
          <w:color w:val="auto"/>
          <w:sz w:val="22"/>
        </w:rPr>
      </w:pPr>
      <w:r w:rsidRPr="00723365">
        <w:rPr>
          <w:b w:val="0"/>
          <w:color w:val="auto"/>
          <w:sz w:val="22"/>
        </w:rPr>
        <w:t xml:space="preserve">Following the ACR meeting the following activities occur: </w:t>
      </w:r>
    </w:p>
    <w:p w:rsidR="00D86A11" w:rsidRPr="00FE34A3" w:rsidRDefault="00D86A11" w:rsidP="00D86A11">
      <w:pPr>
        <w:numPr>
          <w:ilvl w:val="0"/>
          <w:numId w:val="16"/>
        </w:numPr>
        <w:spacing w:before="120" w:after="0"/>
        <w:ind w:right="130"/>
        <w:rPr>
          <w:rFonts w:ascii="Franklin Gothic Book" w:hAnsi="Franklin Gothic Book"/>
          <w:color w:val="auto"/>
          <w:spacing w:val="20"/>
          <w:szCs w:val="28"/>
        </w:rPr>
      </w:pPr>
      <w:r w:rsidRPr="00FE34A3">
        <w:rPr>
          <w:rFonts w:ascii="Franklin Gothic Book" w:hAnsi="Franklin Gothic Book"/>
          <w:color w:val="auto"/>
          <w:spacing w:val="20"/>
          <w:szCs w:val="28"/>
        </w:rPr>
        <w:t xml:space="preserve">OOO considers discussion during ACR meeting, and finalizes ACR and Practice Elevation reports </w:t>
      </w:r>
    </w:p>
    <w:p w:rsidR="00D86A11" w:rsidRPr="00495284" w:rsidRDefault="00D86A11" w:rsidP="00D86A11">
      <w:pPr>
        <w:numPr>
          <w:ilvl w:val="0"/>
          <w:numId w:val="16"/>
        </w:numPr>
        <w:spacing w:before="120" w:after="0"/>
        <w:ind w:right="130"/>
        <w:rPr>
          <w:rFonts w:ascii="Franklin Gothic Book" w:hAnsi="Franklin Gothic Book"/>
          <w:color w:val="auto"/>
          <w:spacing w:val="20"/>
          <w:szCs w:val="28"/>
        </w:rPr>
      </w:pPr>
      <w:r w:rsidRPr="00FE34A3">
        <w:rPr>
          <w:rFonts w:ascii="Franklin Gothic Book" w:hAnsi="Franklin Gothic Book"/>
          <w:color w:val="auto"/>
          <w:spacing w:val="20"/>
          <w:szCs w:val="28"/>
        </w:rPr>
        <w:t xml:space="preserve">RGM (for region) </w:t>
      </w:r>
      <w:r w:rsidRPr="00495284">
        <w:rPr>
          <w:rFonts w:ascii="Franklin Gothic Book" w:hAnsi="Franklin Gothic Book"/>
          <w:color w:val="auto"/>
          <w:spacing w:val="20"/>
          <w:szCs w:val="28"/>
        </w:rPr>
        <w:t xml:space="preserve">receives ACR reports for review and necessary action. RGM may share the report with the Deputy Director, but the report shall not be disbursed beyond that point due to legal privileges assigned to the review process (PSPM will not be provided a copy, as an independent review of the case would have been completed). </w:t>
      </w:r>
    </w:p>
    <w:p w:rsidR="00D86A11" w:rsidRPr="00FE34A3" w:rsidRDefault="00D86A11" w:rsidP="00D86A11">
      <w:pPr>
        <w:numPr>
          <w:ilvl w:val="0"/>
          <w:numId w:val="16"/>
        </w:numPr>
        <w:spacing w:before="120" w:after="0"/>
        <w:ind w:right="130"/>
        <w:rPr>
          <w:rFonts w:ascii="Franklin Gothic Book" w:hAnsi="Franklin Gothic Book"/>
          <w:color w:val="auto"/>
          <w:spacing w:val="20"/>
          <w:szCs w:val="28"/>
        </w:rPr>
      </w:pPr>
      <w:r w:rsidRPr="00495284">
        <w:rPr>
          <w:rFonts w:ascii="Franklin Gothic Book" w:hAnsi="Franklin Gothic Book"/>
          <w:color w:val="auto"/>
          <w:spacing w:val="20"/>
          <w:szCs w:val="28"/>
        </w:rPr>
        <w:t>The ACR documents cannot be used to address personnel</w:t>
      </w:r>
      <w:r w:rsidRPr="00FE34A3">
        <w:rPr>
          <w:rFonts w:ascii="Franklin Gothic Book" w:hAnsi="Franklin Gothic Book"/>
          <w:color w:val="auto"/>
          <w:spacing w:val="20"/>
          <w:szCs w:val="28"/>
        </w:rPr>
        <w:t xml:space="preserve">/performance issues. Although the case practice related to the ACR may lead to the </w:t>
      </w:r>
      <w:r w:rsidRPr="00FE34A3">
        <w:rPr>
          <w:rFonts w:ascii="Franklin Gothic Book" w:hAnsi="Franklin Gothic Book"/>
          <w:color w:val="auto"/>
          <w:spacing w:val="20"/>
          <w:szCs w:val="28"/>
        </w:rPr>
        <w:lastRenderedPageBreak/>
        <w:t xml:space="preserve">identification of personnel/performance issues, these concerns must be addressed in a process independent of the ACR. </w:t>
      </w:r>
    </w:p>
    <w:p w:rsidR="00D86A11" w:rsidRPr="00FE34A3" w:rsidRDefault="00D86A11" w:rsidP="00D86A11">
      <w:pPr>
        <w:numPr>
          <w:ilvl w:val="0"/>
          <w:numId w:val="16"/>
        </w:numPr>
        <w:spacing w:before="120" w:after="0"/>
        <w:ind w:right="130"/>
        <w:rPr>
          <w:rFonts w:ascii="Franklin Gothic Book" w:hAnsi="Franklin Gothic Book"/>
          <w:color w:val="auto"/>
          <w:spacing w:val="20"/>
          <w:szCs w:val="28"/>
        </w:rPr>
      </w:pPr>
      <w:r w:rsidRPr="00FE34A3">
        <w:rPr>
          <w:rFonts w:ascii="Franklin Gothic Book" w:hAnsi="Franklin Gothic Book"/>
          <w:color w:val="auto"/>
          <w:spacing w:val="20"/>
          <w:szCs w:val="28"/>
        </w:rPr>
        <w:t xml:space="preserve">RGM reports back to CWS Director about action steps. </w:t>
      </w:r>
    </w:p>
    <w:p w:rsidR="00D86A11" w:rsidRDefault="00D86A11" w:rsidP="00D86A11">
      <w:pPr>
        <w:pStyle w:val="Heading3"/>
        <w:spacing w:line="276" w:lineRule="auto"/>
        <w:rPr>
          <w:b w:val="0"/>
          <w:color w:val="auto"/>
          <w:sz w:val="22"/>
        </w:rPr>
      </w:pPr>
      <w:r>
        <w:rPr>
          <w:b w:val="0"/>
          <w:color w:val="auto"/>
          <w:sz w:val="22"/>
        </w:rPr>
        <w:t xml:space="preserve">In addition, </w:t>
      </w:r>
      <w:r w:rsidRPr="00723365">
        <w:rPr>
          <w:b w:val="0"/>
          <w:color w:val="auto"/>
          <w:sz w:val="22"/>
        </w:rPr>
        <w:t>CDSS sends quarterly Child Fatality and Near Fatality Reconciliation reports to the OOO. The OOO then compares the report to San Diego CWS records to ensure the information is correct according to the SOC 826 forms submitted to during the reporting period. The information collected from CDSS is included in the aggregate data for the annual Child Fatality/Near Fatality report prepared by CDSS. </w:t>
      </w:r>
    </w:p>
    <w:p w:rsidR="00D86A11" w:rsidRPr="000312AE" w:rsidRDefault="00D86A11" w:rsidP="00D86A11">
      <w:pPr>
        <w:pStyle w:val="Heading2"/>
        <w:rPr>
          <w:color w:val="F6872B"/>
        </w:rPr>
      </w:pPr>
      <w:r>
        <w:rPr>
          <w:color w:val="F6872B"/>
        </w:rPr>
        <w:t>Child Fatality Review Committee</w:t>
      </w:r>
    </w:p>
    <w:p w:rsidR="00D86A11" w:rsidRPr="00723365" w:rsidRDefault="00D86A11" w:rsidP="00D86A11">
      <w:pPr>
        <w:pStyle w:val="Heading3"/>
        <w:spacing w:line="276" w:lineRule="auto"/>
        <w:rPr>
          <w:b w:val="0"/>
          <w:color w:val="auto"/>
          <w:sz w:val="22"/>
        </w:rPr>
      </w:pPr>
      <w:r w:rsidRPr="00723365">
        <w:rPr>
          <w:b w:val="0"/>
          <w:color w:val="auto"/>
          <w:sz w:val="22"/>
        </w:rPr>
        <w:t xml:space="preserve">The Child Fatality Review Committee is comprised of representatives from the Medical Examiner’s Office, Public Health Nursing, </w:t>
      </w:r>
      <w:r>
        <w:rPr>
          <w:b w:val="0"/>
          <w:color w:val="auto"/>
          <w:sz w:val="22"/>
        </w:rPr>
        <w:t xml:space="preserve">and </w:t>
      </w:r>
      <w:r w:rsidRPr="00723365">
        <w:rPr>
          <w:b w:val="0"/>
          <w:color w:val="auto"/>
          <w:sz w:val="22"/>
        </w:rPr>
        <w:t xml:space="preserve">the clinical medical community including the regional Children’s Hospital, law enforcement, District Attorney, Child Welfare Services, emergency medical personnel, Probation, County Counsel, and the local Child </w:t>
      </w:r>
      <w:r>
        <w:rPr>
          <w:b w:val="0"/>
          <w:color w:val="auto"/>
          <w:sz w:val="22"/>
        </w:rPr>
        <w:t xml:space="preserve">Abuse Prevention Committee. This </w:t>
      </w:r>
      <w:r w:rsidRPr="00723365">
        <w:rPr>
          <w:b w:val="0"/>
          <w:color w:val="auto"/>
          <w:sz w:val="22"/>
        </w:rPr>
        <w:t xml:space="preserve">committee meets monthly to review all sudden unexpected deaths of children that fall under the jurisdiction of the Medical Examiner to identify factors and circumstances contributing to child deaths. The goal is to prevent future occurrences, as well as to improve coordination and effectiveness of child protection, investigation and legal processes. The San Diego Child Fatality Review Committee was established in 1982 and was only the second child fatality committee established in the country. During its first 15 years, it reviewed the deaths of children newborn through age 6, but that was expanded to children through age 12 in 1998 and through age 17 in July 2005. </w:t>
      </w:r>
    </w:p>
    <w:p w:rsidR="00D86A11" w:rsidRDefault="00D86A11" w:rsidP="00D86A11">
      <w:pPr>
        <w:spacing w:after="0"/>
        <w:rPr>
          <w:sz w:val="24"/>
          <w:szCs w:val="24"/>
        </w:rPr>
      </w:pPr>
    </w:p>
    <w:tbl>
      <w:tblPr>
        <w:tblW w:w="9934" w:type="dxa"/>
        <w:jc w:val="center"/>
        <w:tblCellMar>
          <w:top w:w="144" w:type="dxa"/>
          <w:left w:w="0" w:type="dxa"/>
          <w:bottom w:w="144" w:type="dxa"/>
          <w:right w:w="0" w:type="dxa"/>
        </w:tblCellMar>
        <w:tblLook w:val="04A0" w:firstRow="1" w:lastRow="0" w:firstColumn="1" w:lastColumn="0" w:noHBand="0" w:noVBand="1"/>
      </w:tblPr>
      <w:tblGrid>
        <w:gridCol w:w="9934"/>
      </w:tblGrid>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r w:rsidR="00D86A11" w:rsidRPr="00002D1D">
        <w:trPr>
          <w:trHeight w:val="69"/>
          <w:jc w:val="center"/>
        </w:trPr>
        <w:tc>
          <w:tcPr>
            <w:tcW w:w="0" w:type="auto"/>
            <w:shd w:val="clear" w:color="auto" w:fill="013161"/>
            <w:vAlign w:val="center"/>
          </w:tcPr>
          <w:p w:rsidR="000B1863" w:rsidRDefault="00D86A11">
            <w:pPr>
              <w:pStyle w:val="MediumGrid21"/>
              <w:numPr>
                <w:ilvl w:val="0"/>
                <w:numId w:val="17"/>
              </w:numPr>
              <w:jc w:val="center"/>
              <w:rPr>
                <w:rFonts w:ascii="Franklin Gothic Book" w:eastAsia="HGGothicM" w:hAnsi="Franklin Gothic Book" w:cs="Tahoma"/>
                <w:color w:val="FFFFFF"/>
                <w:sz w:val="48"/>
                <w:szCs w:val="72"/>
              </w:rPr>
            </w:pPr>
            <w:r w:rsidRPr="00D95C9F">
              <w:rPr>
                <w:rFonts w:eastAsia="HGGothicM" w:cs="Calibri"/>
                <w:color w:val="FFFFFF"/>
                <w:sz w:val="40"/>
                <w:szCs w:val="64"/>
              </w:rPr>
              <w:t>National Resource Center (NRC) Training and Technical Assistance</w:t>
            </w:r>
          </w:p>
        </w:tc>
      </w:tr>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bl>
    <w:p w:rsidR="00D86A11" w:rsidRDefault="00D86A11" w:rsidP="00D86A11">
      <w:pPr>
        <w:pStyle w:val="Heading3"/>
        <w:spacing w:line="276" w:lineRule="auto"/>
        <w:rPr>
          <w:b w:val="0"/>
          <w:color w:val="auto"/>
          <w:sz w:val="22"/>
        </w:rPr>
      </w:pPr>
      <w:r>
        <w:rPr>
          <w:b w:val="0"/>
          <w:color w:val="auto"/>
          <w:sz w:val="22"/>
        </w:rPr>
        <w:t>CWS</w:t>
      </w:r>
      <w:r w:rsidRPr="00BE2DD9">
        <w:rPr>
          <w:b w:val="0"/>
          <w:color w:val="auto"/>
          <w:sz w:val="22"/>
        </w:rPr>
        <w:t xml:space="preserve"> does not request or utilize any technical assistance from the NRC, Western Implementation Center and Quality Improvement Centers.</w:t>
      </w:r>
    </w:p>
    <w:p w:rsidR="00D86A11" w:rsidRDefault="00D86A11" w:rsidP="00D86A11"/>
    <w:p w:rsidR="006E420B" w:rsidRPr="006A50FB" w:rsidRDefault="006E420B" w:rsidP="00D86A11"/>
    <w:tbl>
      <w:tblPr>
        <w:tblW w:w="9529" w:type="dxa"/>
        <w:jc w:val="center"/>
        <w:tblCellMar>
          <w:top w:w="144" w:type="dxa"/>
          <w:left w:w="0" w:type="dxa"/>
          <w:bottom w:w="144" w:type="dxa"/>
          <w:right w:w="0" w:type="dxa"/>
        </w:tblCellMar>
        <w:tblLook w:val="04A0" w:firstRow="1" w:lastRow="0" w:firstColumn="1" w:lastColumn="0" w:noHBand="0" w:noVBand="1"/>
      </w:tblPr>
      <w:tblGrid>
        <w:gridCol w:w="9529"/>
      </w:tblGrid>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r w:rsidR="00D86A11" w:rsidRPr="00002D1D">
        <w:trPr>
          <w:trHeight w:val="70"/>
          <w:jc w:val="center"/>
        </w:trPr>
        <w:tc>
          <w:tcPr>
            <w:tcW w:w="0" w:type="auto"/>
            <w:shd w:val="clear" w:color="auto" w:fill="013161"/>
            <w:vAlign w:val="center"/>
          </w:tcPr>
          <w:p w:rsidR="000B1863" w:rsidRDefault="00D86A11">
            <w:pPr>
              <w:pStyle w:val="MediumGrid21"/>
              <w:numPr>
                <w:ilvl w:val="0"/>
                <w:numId w:val="17"/>
              </w:numPr>
              <w:jc w:val="center"/>
              <w:rPr>
                <w:rFonts w:ascii="Franklin Gothic Book" w:eastAsia="HGGothicM" w:hAnsi="Franklin Gothic Book" w:cs="Tahoma"/>
                <w:color w:val="FFFFFF"/>
                <w:sz w:val="48"/>
                <w:szCs w:val="72"/>
              </w:rPr>
            </w:pPr>
            <w:r>
              <w:rPr>
                <w:rFonts w:eastAsia="HGGothicM" w:cs="Calibri"/>
                <w:color w:val="FFFFFF"/>
                <w:sz w:val="44"/>
                <w:szCs w:val="64"/>
              </w:rPr>
              <w:t xml:space="preserve">Peer Review </w:t>
            </w:r>
            <w:r w:rsidR="006E420B">
              <w:rPr>
                <w:rFonts w:eastAsia="HGGothicM" w:cs="Calibri"/>
                <w:color w:val="FFFFFF"/>
                <w:sz w:val="44"/>
                <w:szCs w:val="64"/>
              </w:rPr>
              <w:t>Summary</w:t>
            </w:r>
          </w:p>
        </w:tc>
      </w:tr>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bl>
    <w:p w:rsidR="00D86A11" w:rsidRPr="00AC05E2" w:rsidRDefault="00D86A11" w:rsidP="00D86A11">
      <w:pPr>
        <w:pStyle w:val="Heading3"/>
        <w:spacing w:line="276" w:lineRule="auto"/>
        <w:rPr>
          <w:b w:val="0"/>
          <w:color w:val="auto"/>
          <w:sz w:val="22"/>
        </w:rPr>
      </w:pPr>
      <w:r w:rsidRPr="00AC05E2">
        <w:rPr>
          <w:b w:val="0"/>
          <w:color w:val="auto"/>
          <w:sz w:val="22"/>
        </w:rPr>
        <w:t xml:space="preserve">The Peer Review (PR) is a qualitative examination of the County’s Child Welfare Services and Probation practices. The PR is driven by the idea that social workers and probation officers have valuable insights on how the system works and how to </w:t>
      </w:r>
      <w:r w:rsidRPr="00AC05E2">
        <w:rPr>
          <w:b w:val="0"/>
          <w:color w:val="auto"/>
          <w:sz w:val="22"/>
        </w:rPr>
        <w:lastRenderedPageBreak/>
        <w:t xml:space="preserve">affect change in the outcomes </w:t>
      </w:r>
      <w:r>
        <w:rPr>
          <w:b w:val="0"/>
          <w:color w:val="auto"/>
          <w:sz w:val="22"/>
        </w:rPr>
        <w:t xml:space="preserve">for youth and families. </w:t>
      </w:r>
      <w:r w:rsidRPr="00AC05E2">
        <w:rPr>
          <w:b w:val="0"/>
          <w:color w:val="auto"/>
          <w:sz w:val="22"/>
        </w:rPr>
        <w:t>The info</w:t>
      </w:r>
      <w:r>
        <w:rPr>
          <w:b w:val="0"/>
          <w:color w:val="auto"/>
          <w:sz w:val="22"/>
        </w:rPr>
        <w:t>rmation obtained through the P</w:t>
      </w:r>
      <w:r w:rsidRPr="00AC05E2">
        <w:rPr>
          <w:b w:val="0"/>
          <w:color w:val="auto"/>
          <w:sz w:val="22"/>
        </w:rPr>
        <w:t xml:space="preserve">R </w:t>
      </w:r>
      <w:r>
        <w:rPr>
          <w:b w:val="0"/>
          <w:color w:val="auto"/>
          <w:sz w:val="22"/>
        </w:rPr>
        <w:t>is</w:t>
      </w:r>
      <w:r w:rsidRPr="00AC05E2">
        <w:rPr>
          <w:b w:val="0"/>
          <w:color w:val="auto"/>
          <w:sz w:val="22"/>
        </w:rPr>
        <w:t xml:space="preserve"> used to identify patterns of strength and areas of concern in CWS/P</w:t>
      </w:r>
      <w:r>
        <w:rPr>
          <w:b w:val="0"/>
          <w:color w:val="auto"/>
          <w:sz w:val="22"/>
        </w:rPr>
        <w:t xml:space="preserve">robation’s work with families.   </w:t>
      </w:r>
    </w:p>
    <w:p w:rsidR="00D86A11" w:rsidRPr="00C23315" w:rsidRDefault="00D86A11" w:rsidP="00D86A11">
      <w:pPr>
        <w:pStyle w:val="Heading1"/>
        <w:rPr>
          <w:color w:val="013161"/>
        </w:rPr>
      </w:pPr>
      <w:r>
        <w:rPr>
          <w:color w:val="013161"/>
        </w:rPr>
        <w:t>Focus Area</w:t>
      </w:r>
      <w:r w:rsidRPr="00686E2A">
        <w:rPr>
          <w:color w:val="013161"/>
        </w:rPr>
        <w:t xml:space="preserve"> </w:t>
      </w:r>
    </w:p>
    <w:p w:rsidR="00D86A11" w:rsidRPr="00F727DF" w:rsidRDefault="00D86A11" w:rsidP="00D86A11">
      <w:pPr>
        <w:pStyle w:val="Heading2"/>
        <w:spacing w:line="276" w:lineRule="auto"/>
        <w:rPr>
          <w:b w:val="0"/>
          <w:color w:val="auto"/>
          <w:sz w:val="22"/>
        </w:rPr>
      </w:pPr>
      <w:r w:rsidRPr="00F727DF">
        <w:rPr>
          <w:b w:val="0"/>
          <w:color w:val="auto"/>
          <w:sz w:val="22"/>
          <w:szCs w:val="22"/>
        </w:rPr>
        <w:t>Probation staff selected measure</w:t>
      </w:r>
      <w:r w:rsidRPr="00F727DF">
        <w:rPr>
          <w:b w:val="0"/>
          <w:color w:val="auto"/>
          <w:sz w:val="22"/>
        </w:rPr>
        <w:t xml:space="preserve"> 3-P2</w:t>
      </w:r>
      <w:r w:rsidRPr="00F727DF">
        <w:rPr>
          <w:b w:val="0"/>
          <w:color w:val="auto"/>
          <w:sz w:val="22"/>
          <w:szCs w:val="22"/>
        </w:rPr>
        <w:t xml:space="preserve"> </w:t>
      </w:r>
      <w:r w:rsidRPr="00F727DF">
        <w:rPr>
          <w:b w:val="0"/>
          <w:color w:val="auto"/>
          <w:sz w:val="22"/>
        </w:rPr>
        <w:t>Permanency in 12 Months (in care 12-23 months)</w:t>
      </w:r>
      <w:r w:rsidRPr="00F727DF">
        <w:rPr>
          <w:b w:val="0"/>
          <w:color w:val="auto"/>
          <w:sz w:val="22"/>
          <w:szCs w:val="22"/>
        </w:rPr>
        <w:t xml:space="preserve"> </w:t>
      </w:r>
      <w:r w:rsidRPr="00F727DF">
        <w:rPr>
          <w:b w:val="0"/>
          <w:color w:val="auto"/>
          <w:sz w:val="22"/>
        </w:rPr>
        <w:t>and Child Welfare Services selected 3-P4</w:t>
      </w:r>
      <w:r w:rsidRPr="00F727DF">
        <w:rPr>
          <w:b w:val="0"/>
          <w:color w:val="auto"/>
          <w:sz w:val="22"/>
          <w:szCs w:val="22"/>
        </w:rPr>
        <w:t xml:space="preserve"> Re</w:t>
      </w:r>
      <w:r w:rsidRPr="00F727DF">
        <w:rPr>
          <w:b w:val="0"/>
          <w:color w:val="auto"/>
          <w:sz w:val="22"/>
        </w:rPr>
        <w:t>-</w:t>
      </w:r>
      <w:r w:rsidRPr="00F727DF">
        <w:rPr>
          <w:b w:val="0"/>
          <w:color w:val="auto"/>
          <w:sz w:val="22"/>
          <w:szCs w:val="22"/>
        </w:rPr>
        <w:t xml:space="preserve">entry </w:t>
      </w:r>
      <w:r w:rsidRPr="00F727DF">
        <w:rPr>
          <w:b w:val="0"/>
          <w:color w:val="auto"/>
          <w:sz w:val="22"/>
        </w:rPr>
        <w:t>to Foster Care in 12 Months</w:t>
      </w:r>
      <w:r w:rsidRPr="00F727DF">
        <w:rPr>
          <w:b w:val="0"/>
          <w:color w:val="auto"/>
          <w:sz w:val="22"/>
          <w:szCs w:val="22"/>
        </w:rPr>
        <w:t xml:space="preserve"> </w:t>
      </w:r>
      <w:r w:rsidRPr="00F727DF">
        <w:rPr>
          <w:b w:val="0"/>
          <w:color w:val="auto"/>
          <w:sz w:val="22"/>
        </w:rPr>
        <w:t>and 3-P1</w:t>
      </w:r>
      <w:r w:rsidRPr="00F727DF">
        <w:rPr>
          <w:b w:val="0"/>
          <w:color w:val="auto"/>
          <w:sz w:val="22"/>
          <w:szCs w:val="22"/>
        </w:rPr>
        <w:t xml:space="preserve"> </w:t>
      </w:r>
      <w:r w:rsidRPr="00F727DF">
        <w:rPr>
          <w:b w:val="0"/>
          <w:color w:val="auto"/>
          <w:sz w:val="22"/>
        </w:rPr>
        <w:t>Permanency in</w:t>
      </w:r>
      <w:r w:rsidRPr="00F727DF">
        <w:rPr>
          <w:b w:val="0"/>
          <w:color w:val="auto"/>
          <w:sz w:val="22"/>
          <w:szCs w:val="22"/>
        </w:rPr>
        <w:t xml:space="preserve"> 12 Months</w:t>
      </w:r>
      <w:r w:rsidRPr="00F727DF">
        <w:rPr>
          <w:b w:val="0"/>
          <w:color w:val="013161"/>
          <w:sz w:val="22"/>
          <w:szCs w:val="22"/>
        </w:rPr>
        <w:t xml:space="preserve"> </w:t>
      </w:r>
      <w:r w:rsidRPr="00F727DF">
        <w:rPr>
          <w:b w:val="0"/>
          <w:color w:val="auto"/>
          <w:sz w:val="22"/>
          <w:szCs w:val="22"/>
        </w:rPr>
        <w:t>as their focus area</w:t>
      </w:r>
      <w:r w:rsidRPr="00F727DF">
        <w:rPr>
          <w:b w:val="0"/>
          <w:color w:val="auto"/>
          <w:sz w:val="22"/>
        </w:rPr>
        <w:t>s</w:t>
      </w:r>
      <w:r w:rsidRPr="00F727DF">
        <w:rPr>
          <w:b w:val="0"/>
          <w:color w:val="auto"/>
          <w:sz w:val="22"/>
          <w:szCs w:val="22"/>
        </w:rPr>
        <w:t xml:space="preserve"> for the 201</w:t>
      </w:r>
      <w:r w:rsidRPr="00F727DF">
        <w:rPr>
          <w:b w:val="0"/>
          <w:color w:val="auto"/>
          <w:sz w:val="22"/>
        </w:rPr>
        <w:t>6</w:t>
      </w:r>
      <w:r w:rsidRPr="00F727DF">
        <w:rPr>
          <w:b w:val="0"/>
          <w:color w:val="auto"/>
          <w:sz w:val="22"/>
          <w:szCs w:val="22"/>
        </w:rPr>
        <w:t xml:space="preserve"> PR. </w:t>
      </w:r>
      <w:r w:rsidRPr="00F727DF">
        <w:rPr>
          <w:b w:val="0"/>
          <w:color w:val="auto"/>
          <w:sz w:val="22"/>
        </w:rPr>
        <w:t xml:space="preserve"> Below we outline the key data trends that informed the selection of the focus areas. See Section 12 (Outcome Measures) for a full description of data trends and detailed data exhibits. </w:t>
      </w:r>
    </w:p>
    <w:p w:rsidR="00D86A11" w:rsidRPr="007E3B09" w:rsidRDefault="00D86A11" w:rsidP="00D86A11">
      <w:pPr>
        <w:pStyle w:val="Heading2"/>
        <w:rPr>
          <w:color w:val="F6872B"/>
        </w:rPr>
      </w:pPr>
      <w:r>
        <w:rPr>
          <w:color w:val="F6872B"/>
        </w:rPr>
        <w:t>County CWS Prior Performance: Permanency</w:t>
      </w:r>
    </w:p>
    <w:p w:rsidR="00D86A11" w:rsidRPr="00F727DF" w:rsidRDefault="00D86A11" w:rsidP="00D86A11">
      <w:pPr>
        <w:pStyle w:val="Heading2"/>
        <w:spacing w:line="276" w:lineRule="auto"/>
        <w:rPr>
          <w:b w:val="0"/>
          <w:color w:val="auto"/>
          <w:sz w:val="22"/>
        </w:rPr>
      </w:pPr>
      <w:r>
        <w:rPr>
          <w:b w:val="0"/>
          <w:color w:val="auto"/>
          <w:sz w:val="22"/>
        </w:rPr>
        <w:t>The County of San Diego</w:t>
      </w:r>
      <w:r w:rsidRPr="00F727DF">
        <w:rPr>
          <w:b w:val="0"/>
          <w:color w:val="auto"/>
          <w:sz w:val="22"/>
        </w:rPr>
        <w:t xml:space="preserve"> is below the Federal Standard, but above the State's most recent percentage of children reunifying. Over the last 5 years, the percentage of children who were discharged to permanency within 12 months has increased by 5.9%, from 35.8% to 37.9% for </w:t>
      </w:r>
      <w:r>
        <w:rPr>
          <w:b w:val="0"/>
          <w:color w:val="auto"/>
          <w:sz w:val="22"/>
        </w:rPr>
        <w:t>the County of San Diego</w:t>
      </w:r>
      <w:r w:rsidRPr="00F727DF">
        <w:rPr>
          <w:b w:val="0"/>
          <w:color w:val="auto"/>
          <w:sz w:val="22"/>
        </w:rPr>
        <w:t>. Over the last 10 years, the percentage has increased by 20%, going from 31.5 to 37.9%.</w:t>
      </w:r>
    </w:p>
    <w:p w:rsidR="00D86A11" w:rsidRPr="00F727DF" w:rsidRDefault="00D86A11" w:rsidP="00D86A11">
      <w:pPr>
        <w:pStyle w:val="Heading2"/>
        <w:spacing w:line="276" w:lineRule="auto"/>
        <w:rPr>
          <w:b w:val="0"/>
          <w:color w:val="auto"/>
          <w:sz w:val="22"/>
        </w:rPr>
      </w:pPr>
      <w:r w:rsidRPr="00F727DF">
        <w:rPr>
          <w:b w:val="0"/>
          <w:color w:val="auto"/>
          <w:sz w:val="22"/>
        </w:rPr>
        <w:t xml:space="preserve">Over the last 5 years, three age groups had decreases in the percentage of children reunified within 12 months: </w:t>
      </w:r>
    </w:p>
    <w:p w:rsidR="00D86A11" w:rsidRPr="00116416" w:rsidRDefault="00D86A11" w:rsidP="00D86A11">
      <w:pPr>
        <w:numPr>
          <w:ilvl w:val="0"/>
          <w:numId w:val="16"/>
        </w:numPr>
        <w:spacing w:before="120" w:after="0"/>
        <w:ind w:right="130"/>
        <w:rPr>
          <w:rFonts w:ascii="Franklin Gothic Book" w:hAnsi="Franklin Gothic Book"/>
          <w:color w:val="auto"/>
          <w:spacing w:val="20"/>
          <w:szCs w:val="28"/>
        </w:rPr>
      </w:pPr>
      <w:r w:rsidRPr="00116416">
        <w:rPr>
          <w:rFonts w:ascii="Franklin Gothic Book" w:hAnsi="Franklin Gothic Book"/>
          <w:color w:val="auto"/>
          <w:spacing w:val="20"/>
          <w:szCs w:val="28"/>
        </w:rPr>
        <w:t>Ages 0-4 years had a 10.3% decrease from 39% to 35%</w:t>
      </w:r>
    </w:p>
    <w:p w:rsidR="00D86A11" w:rsidRPr="00116416" w:rsidRDefault="00D86A11" w:rsidP="00D86A11">
      <w:pPr>
        <w:numPr>
          <w:ilvl w:val="0"/>
          <w:numId w:val="16"/>
        </w:numPr>
        <w:spacing w:before="120" w:after="0"/>
        <w:ind w:right="130"/>
        <w:rPr>
          <w:rFonts w:ascii="Franklin Gothic Book" w:hAnsi="Franklin Gothic Book"/>
          <w:color w:val="auto"/>
          <w:spacing w:val="20"/>
          <w:szCs w:val="28"/>
        </w:rPr>
      </w:pPr>
      <w:r w:rsidRPr="00116416">
        <w:rPr>
          <w:rFonts w:ascii="Franklin Gothic Book" w:hAnsi="Franklin Gothic Book"/>
          <w:color w:val="auto"/>
          <w:spacing w:val="20"/>
          <w:szCs w:val="28"/>
        </w:rPr>
        <w:t>Ages 5-9 years decreased 5% from 46.8% to 44.5%</w:t>
      </w:r>
    </w:p>
    <w:p w:rsidR="00D86A11" w:rsidRPr="00116416" w:rsidRDefault="00D86A11" w:rsidP="00D86A11">
      <w:pPr>
        <w:numPr>
          <w:ilvl w:val="0"/>
          <w:numId w:val="16"/>
        </w:numPr>
        <w:spacing w:before="120" w:after="0"/>
        <w:ind w:right="130"/>
        <w:rPr>
          <w:rFonts w:ascii="Franklin Gothic Book" w:hAnsi="Franklin Gothic Book"/>
          <w:color w:val="auto"/>
          <w:spacing w:val="20"/>
          <w:szCs w:val="28"/>
        </w:rPr>
      </w:pPr>
      <w:r w:rsidRPr="00116416">
        <w:rPr>
          <w:rFonts w:ascii="Franklin Gothic Book" w:hAnsi="Franklin Gothic Book"/>
          <w:color w:val="auto"/>
          <w:spacing w:val="20"/>
          <w:szCs w:val="28"/>
        </w:rPr>
        <w:t>Ages 15 + decreased 4%</w:t>
      </w:r>
      <w:r>
        <w:rPr>
          <w:rFonts w:ascii="Franklin Gothic Book" w:hAnsi="Franklin Gothic Book"/>
          <w:color w:val="auto"/>
          <w:spacing w:val="20"/>
          <w:szCs w:val="28"/>
        </w:rPr>
        <w:t xml:space="preserve"> </w:t>
      </w:r>
      <w:r w:rsidRPr="00116416">
        <w:rPr>
          <w:rFonts w:ascii="Franklin Gothic Book" w:hAnsi="Franklin Gothic Book"/>
          <w:color w:val="auto"/>
          <w:spacing w:val="20"/>
          <w:szCs w:val="28"/>
        </w:rPr>
        <w:t>in the percentage of reunifications within 12 months, going from 30.7% in the 2010 period to the current 29.5%.</w:t>
      </w:r>
    </w:p>
    <w:p w:rsidR="00D86A11" w:rsidRPr="00116416" w:rsidRDefault="00D86A11" w:rsidP="00D86A11">
      <w:pPr>
        <w:numPr>
          <w:ilvl w:val="0"/>
          <w:numId w:val="16"/>
        </w:numPr>
        <w:spacing w:before="120" w:after="0"/>
        <w:ind w:right="130"/>
        <w:rPr>
          <w:rFonts w:ascii="Franklin Gothic Book" w:hAnsi="Franklin Gothic Book"/>
          <w:color w:val="auto"/>
          <w:spacing w:val="20"/>
          <w:szCs w:val="28"/>
        </w:rPr>
      </w:pPr>
      <w:r w:rsidRPr="00116416">
        <w:rPr>
          <w:rFonts w:ascii="Franklin Gothic Book" w:hAnsi="Franklin Gothic Book"/>
          <w:color w:val="auto"/>
          <w:spacing w:val="20"/>
          <w:szCs w:val="28"/>
        </w:rPr>
        <w:t>Ages 10-14 increased the percentage of children who reunified by 17%, going from 35.1% to 41.1% over the 5 year period.</w:t>
      </w:r>
    </w:p>
    <w:p w:rsidR="00D86A11" w:rsidRPr="00F727DF" w:rsidRDefault="00D86A11" w:rsidP="00D86A11">
      <w:pPr>
        <w:pStyle w:val="Heading2"/>
        <w:spacing w:line="276" w:lineRule="auto"/>
        <w:rPr>
          <w:b w:val="0"/>
          <w:color w:val="auto"/>
          <w:sz w:val="22"/>
        </w:rPr>
      </w:pPr>
      <w:r w:rsidRPr="00F727DF">
        <w:rPr>
          <w:b w:val="0"/>
          <w:color w:val="auto"/>
          <w:sz w:val="22"/>
        </w:rPr>
        <w:t>Two race/ethnicities experienced a decrease in reunification within 12 months:</w:t>
      </w:r>
    </w:p>
    <w:p w:rsidR="00D86A11" w:rsidRPr="001031BF" w:rsidRDefault="00D86A11" w:rsidP="00D86A11">
      <w:pPr>
        <w:numPr>
          <w:ilvl w:val="0"/>
          <w:numId w:val="16"/>
        </w:numPr>
        <w:spacing w:before="120" w:after="0"/>
        <w:ind w:right="130"/>
        <w:rPr>
          <w:rFonts w:ascii="Franklin Gothic Book" w:hAnsi="Franklin Gothic Book"/>
          <w:color w:val="auto"/>
          <w:spacing w:val="20"/>
          <w:szCs w:val="28"/>
        </w:rPr>
      </w:pPr>
      <w:r w:rsidRPr="001031BF">
        <w:rPr>
          <w:rFonts w:ascii="Franklin Gothic Book" w:hAnsi="Franklin Gothic Book"/>
          <w:color w:val="auto"/>
          <w:spacing w:val="20"/>
          <w:szCs w:val="28"/>
        </w:rPr>
        <w:t xml:space="preserve">The Latino population with a 10.5% decrease from 2009 to 2014(39.2% and 35.1% respectively). The percent change from the same 5 year period for the White population decreased 11.1% from 47.1% to the current 41.9%. </w:t>
      </w:r>
    </w:p>
    <w:p w:rsidR="00D86A11" w:rsidRPr="001031BF" w:rsidRDefault="00D86A11" w:rsidP="00D86A11">
      <w:pPr>
        <w:numPr>
          <w:ilvl w:val="0"/>
          <w:numId w:val="16"/>
        </w:numPr>
        <w:spacing w:before="120" w:after="0"/>
        <w:ind w:right="130"/>
        <w:rPr>
          <w:rFonts w:ascii="Franklin Gothic Book" w:hAnsi="Franklin Gothic Book"/>
          <w:color w:val="auto"/>
          <w:spacing w:val="20"/>
          <w:szCs w:val="28"/>
        </w:rPr>
      </w:pPr>
      <w:r w:rsidRPr="001031BF">
        <w:rPr>
          <w:rFonts w:ascii="Franklin Gothic Book" w:hAnsi="Franklin Gothic Book"/>
          <w:color w:val="auto"/>
          <w:spacing w:val="20"/>
          <w:szCs w:val="28"/>
        </w:rPr>
        <w:t>The Asian/PI population had an increase from 35.5% to 39.4%, an 11% increase over the five year period. The percent change of permanency in 12 months for Black children increased by 14.3 % from 33% to 38.5% for the 5 year period</w:t>
      </w:r>
      <w:r>
        <w:rPr>
          <w:rFonts w:ascii="Franklin Gothic Book" w:hAnsi="Franklin Gothic Book"/>
          <w:color w:val="auto"/>
          <w:spacing w:val="20"/>
          <w:szCs w:val="28"/>
        </w:rPr>
        <w:t>.</w:t>
      </w:r>
    </w:p>
    <w:p w:rsidR="00D86A11" w:rsidRPr="007E3B09" w:rsidRDefault="00D86A11" w:rsidP="00D86A11">
      <w:pPr>
        <w:pStyle w:val="Heading2"/>
        <w:rPr>
          <w:color w:val="F6872B"/>
        </w:rPr>
      </w:pPr>
      <w:r>
        <w:rPr>
          <w:color w:val="F6872B"/>
        </w:rPr>
        <w:t>County CWS Prior Performance: Reentry into Foster Care</w:t>
      </w:r>
    </w:p>
    <w:p w:rsidR="00D86A11" w:rsidRPr="00F727DF" w:rsidRDefault="00D86A11" w:rsidP="00D86A11">
      <w:pPr>
        <w:pStyle w:val="Heading2"/>
        <w:rPr>
          <w:b w:val="0"/>
          <w:color w:val="auto"/>
          <w:sz w:val="22"/>
        </w:rPr>
      </w:pPr>
      <w:r>
        <w:rPr>
          <w:b w:val="0"/>
          <w:color w:val="auto"/>
          <w:sz w:val="22"/>
        </w:rPr>
        <w:t>The County of San Diego</w:t>
      </w:r>
      <w:r w:rsidRPr="00F727DF">
        <w:rPr>
          <w:b w:val="0"/>
          <w:color w:val="auto"/>
          <w:sz w:val="22"/>
        </w:rPr>
        <w:t xml:space="preserve"> is above the National Standard and below the State's performance. Over the past 5 years there has been little change in the percentage of children re-entering care, a 1% change in the wrong direction. </w:t>
      </w:r>
    </w:p>
    <w:p w:rsidR="00D86A11" w:rsidRPr="00F727DF" w:rsidRDefault="00D86A11" w:rsidP="00D86A11">
      <w:pPr>
        <w:pStyle w:val="Heading2"/>
        <w:spacing w:line="276" w:lineRule="auto"/>
        <w:rPr>
          <w:b w:val="0"/>
          <w:color w:val="auto"/>
          <w:sz w:val="22"/>
        </w:rPr>
      </w:pPr>
      <w:r w:rsidRPr="00F727DF">
        <w:rPr>
          <w:b w:val="0"/>
          <w:color w:val="auto"/>
          <w:sz w:val="22"/>
        </w:rPr>
        <w:lastRenderedPageBreak/>
        <w:t xml:space="preserve">Over the last 5 years, there has been an increase in re-entry for: </w:t>
      </w:r>
    </w:p>
    <w:p w:rsidR="00D86A11" w:rsidRPr="00312560" w:rsidRDefault="00D86A11" w:rsidP="00D86A11">
      <w:pPr>
        <w:numPr>
          <w:ilvl w:val="0"/>
          <w:numId w:val="16"/>
        </w:numPr>
        <w:spacing w:before="120" w:after="0"/>
        <w:ind w:right="130"/>
        <w:rPr>
          <w:rFonts w:ascii="Franklin Gothic Book" w:hAnsi="Franklin Gothic Book"/>
          <w:color w:val="auto"/>
          <w:spacing w:val="20"/>
          <w:szCs w:val="22"/>
        </w:rPr>
      </w:pPr>
      <w:r w:rsidRPr="00312560">
        <w:rPr>
          <w:rFonts w:ascii="Franklin Gothic Book" w:hAnsi="Franklin Gothic Book"/>
          <w:color w:val="auto"/>
          <w:spacing w:val="20"/>
          <w:szCs w:val="22"/>
        </w:rPr>
        <w:t>Ages 0-4 years had a 0.9% increase from 10.7% in 2009 to 10.8% in 2013.</w:t>
      </w:r>
    </w:p>
    <w:p w:rsidR="00D86A11" w:rsidRPr="00312560" w:rsidRDefault="00D86A11" w:rsidP="00D86A11">
      <w:pPr>
        <w:numPr>
          <w:ilvl w:val="0"/>
          <w:numId w:val="16"/>
        </w:numPr>
        <w:spacing w:before="120" w:after="0"/>
        <w:ind w:right="130"/>
        <w:rPr>
          <w:rFonts w:ascii="Franklin Gothic Book" w:hAnsi="Franklin Gothic Book"/>
          <w:color w:val="auto"/>
          <w:spacing w:val="20"/>
          <w:szCs w:val="22"/>
        </w:rPr>
      </w:pPr>
      <w:r w:rsidRPr="00312560">
        <w:rPr>
          <w:rFonts w:ascii="Franklin Gothic Book" w:hAnsi="Franklin Gothic Book"/>
          <w:color w:val="auto"/>
          <w:spacing w:val="20"/>
          <w:szCs w:val="22"/>
        </w:rPr>
        <w:t xml:space="preserve">Ages 10-14 had </w:t>
      </w:r>
      <w:r w:rsidR="00A56CE5" w:rsidRPr="00312560">
        <w:rPr>
          <w:rFonts w:ascii="Franklin Gothic Book" w:hAnsi="Franklin Gothic Book"/>
          <w:color w:val="auto"/>
          <w:spacing w:val="20"/>
          <w:szCs w:val="22"/>
        </w:rPr>
        <w:t>an</w:t>
      </w:r>
      <w:r w:rsidRPr="00312560">
        <w:rPr>
          <w:rFonts w:ascii="Franklin Gothic Book" w:hAnsi="Franklin Gothic Book"/>
          <w:color w:val="auto"/>
          <w:spacing w:val="20"/>
          <w:szCs w:val="22"/>
        </w:rPr>
        <w:t xml:space="preserve"> 89% increase from 5.7% to 10.8% for the same period.</w:t>
      </w:r>
    </w:p>
    <w:p w:rsidR="00D86A11" w:rsidRPr="00F727DF" w:rsidRDefault="00D86A11" w:rsidP="00D86A11">
      <w:pPr>
        <w:pStyle w:val="Heading2"/>
        <w:spacing w:line="276" w:lineRule="auto"/>
        <w:rPr>
          <w:b w:val="0"/>
          <w:color w:val="auto"/>
          <w:sz w:val="22"/>
        </w:rPr>
      </w:pPr>
      <w:r w:rsidRPr="00F727DF">
        <w:rPr>
          <w:b w:val="0"/>
          <w:color w:val="auto"/>
          <w:sz w:val="22"/>
        </w:rPr>
        <w:t xml:space="preserve">Over the last 5 years, there has been a decrease in re-entry for: </w:t>
      </w:r>
    </w:p>
    <w:p w:rsidR="00D86A11" w:rsidRPr="00312560" w:rsidRDefault="00D86A11" w:rsidP="00D86A11">
      <w:pPr>
        <w:numPr>
          <w:ilvl w:val="0"/>
          <w:numId w:val="16"/>
        </w:numPr>
        <w:spacing w:before="120" w:after="0"/>
        <w:ind w:right="130"/>
        <w:rPr>
          <w:rFonts w:ascii="Franklin Gothic Book" w:hAnsi="Franklin Gothic Book"/>
          <w:color w:val="auto"/>
          <w:spacing w:val="20"/>
          <w:szCs w:val="22"/>
        </w:rPr>
      </w:pPr>
      <w:r w:rsidRPr="00312560">
        <w:rPr>
          <w:rFonts w:ascii="Franklin Gothic Book" w:hAnsi="Franklin Gothic Book"/>
          <w:color w:val="auto"/>
          <w:spacing w:val="20"/>
          <w:szCs w:val="22"/>
        </w:rPr>
        <w:t>Ages 5-9 years decreased 16% from 11.1% in 2009 to 9.3% in 2013.</w:t>
      </w:r>
    </w:p>
    <w:p w:rsidR="00D86A11" w:rsidRPr="00312560" w:rsidRDefault="00D86A11" w:rsidP="00D86A11">
      <w:pPr>
        <w:numPr>
          <w:ilvl w:val="0"/>
          <w:numId w:val="16"/>
        </w:numPr>
        <w:spacing w:before="120" w:after="0"/>
        <w:ind w:right="130"/>
        <w:rPr>
          <w:rFonts w:ascii="Franklin Gothic Book" w:hAnsi="Franklin Gothic Book"/>
          <w:color w:val="auto"/>
          <w:spacing w:val="20"/>
          <w:szCs w:val="22"/>
        </w:rPr>
      </w:pPr>
      <w:r w:rsidRPr="00312560">
        <w:rPr>
          <w:rFonts w:ascii="Franklin Gothic Book" w:hAnsi="Franklin Gothic Book"/>
          <w:color w:val="auto"/>
          <w:spacing w:val="20"/>
          <w:szCs w:val="22"/>
        </w:rPr>
        <w:t>Ages 15+ decreased by 62.8% from 12.1% to 4.5% for the same period</w:t>
      </w:r>
    </w:p>
    <w:p w:rsidR="00D86A11" w:rsidRPr="00F727DF" w:rsidRDefault="00D86A11" w:rsidP="00D86A11">
      <w:pPr>
        <w:pStyle w:val="Heading2"/>
        <w:spacing w:line="276" w:lineRule="auto"/>
        <w:rPr>
          <w:b w:val="0"/>
          <w:color w:val="auto"/>
          <w:sz w:val="22"/>
        </w:rPr>
      </w:pPr>
      <w:r w:rsidRPr="00F727DF">
        <w:rPr>
          <w:b w:val="0"/>
          <w:color w:val="auto"/>
          <w:sz w:val="22"/>
        </w:rPr>
        <w:t xml:space="preserve">The Latino population had a decrease in re-entry by 31% from 11.5% to 7.9% over the 5 year period. Over the 5 year period the percentage of Black children with re-entry doubled from 6.6% to 13.2%. The White population had an increase in re-entry by 13.8% from 10.9% to 12.4% over the 5 year period. </w:t>
      </w:r>
    </w:p>
    <w:p w:rsidR="00D86A11" w:rsidRDefault="00D86A11" w:rsidP="00D86A11">
      <w:pPr>
        <w:pStyle w:val="Heading2"/>
        <w:rPr>
          <w:color w:val="F6872B"/>
        </w:rPr>
      </w:pPr>
      <w:r>
        <w:rPr>
          <w:color w:val="F6872B"/>
        </w:rPr>
        <w:t>County Probation Prior Performance: Permanency in 12 months for youth in foster care 12-23 months</w:t>
      </w:r>
    </w:p>
    <w:p w:rsidR="00D86A11" w:rsidRPr="00523CD1" w:rsidRDefault="00D86A11" w:rsidP="00D86A11">
      <w:pPr>
        <w:pStyle w:val="Heading2"/>
        <w:spacing w:line="276" w:lineRule="auto"/>
        <w:rPr>
          <w:b w:val="0"/>
          <w:color w:val="auto"/>
          <w:sz w:val="22"/>
        </w:rPr>
      </w:pPr>
      <w:r>
        <w:rPr>
          <w:b w:val="0"/>
          <w:color w:val="auto"/>
          <w:sz w:val="22"/>
        </w:rPr>
        <w:t>The County of San Diego</w:t>
      </w:r>
      <w:r w:rsidRPr="00523CD1">
        <w:rPr>
          <w:b w:val="0"/>
          <w:color w:val="auto"/>
          <w:sz w:val="22"/>
        </w:rPr>
        <w:t xml:space="preserve"> Probation is below the National Standard and below the State’s Performance. Over the past 5 years the percentage of youth discharged to permanency have fluctuated up to 14%, with a low of 16.7% to a high of 31%. </w:t>
      </w:r>
    </w:p>
    <w:p w:rsidR="00D86A11" w:rsidRPr="00523CD1" w:rsidRDefault="00D86A11" w:rsidP="00D86A11">
      <w:pPr>
        <w:pStyle w:val="Heading2"/>
        <w:spacing w:line="276" w:lineRule="auto"/>
        <w:rPr>
          <w:b w:val="0"/>
          <w:color w:val="auto"/>
          <w:sz w:val="22"/>
        </w:rPr>
      </w:pPr>
      <w:r w:rsidRPr="00523CD1">
        <w:rPr>
          <w:b w:val="0"/>
          <w:color w:val="auto"/>
          <w:sz w:val="22"/>
        </w:rPr>
        <w:t xml:space="preserve">In </w:t>
      </w:r>
      <w:r>
        <w:rPr>
          <w:b w:val="0"/>
          <w:color w:val="auto"/>
          <w:sz w:val="22"/>
        </w:rPr>
        <w:t>the County of San Diego</w:t>
      </w:r>
      <w:r w:rsidRPr="00523CD1">
        <w:rPr>
          <w:b w:val="0"/>
          <w:color w:val="auto"/>
          <w:sz w:val="22"/>
        </w:rPr>
        <w:t xml:space="preserve"> Probation, permanency is achieved at higher rates for youth who are in foster care at a younger age. Permanency rates for older youth have fluctuated as much as 10% over the past five years, with an increase shown over the past three years. </w:t>
      </w:r>
    </w:p>
    <w:p w:rsidR="00D86A11" w:rsidRPr="00E9256F" w:rsidRDefault="00D86A11" w:rsidP="00D86A11">
      <w:pPr>
        <w:pStyle w:val="Heading2"/>
        <w:rPr>
          <w:color w:val="F6872B"/>
        </w:rPr>
      </w:pPr>
      <w:r w:rsidRPr="002C4D2D">
        <w:rPr>
          <w:color w:val="F6872B"/>
        </w:rPr>
        <w:t>Literature Review</w:t>
      </w:r>
    </w:p>
    <w:p w:rsidR="00D86A11" w:rsidRPr="00F727DF" w:rsidRDefault="00D86A11" w:rsidP="00D86A11">
      <w:pPr>
        <w:pStyle w:val="Heading2"/>
        <w:spacing w:line="276" w:lineRule="auto"/>
        <w:rPr>
          <w:b w:val="0"/>
          <w:color w:val="auto"/>
          <w:sz w:val="22"/>
        </w:rPr>
      </w:pPr>
      <w:r w:rsidRPr="00F727DF">
        <w:rPr>
          <w:b w:val="0"/>
          <w:color w:val="auto"/>
          <w:sz w:val="22"/>
        </w:rPr>
        <w:t xml:space="preserve">Appendix H contains a detailed literature review on the associated factors and </w:t>
      </w:r>
      <w:r w:rsidRPr="00F727DF">
        <w:rPr>
          <w:color w:val="auto"/>
          <w:sz w:val="22"/>
        </w:rPr>
        <w:t>promising practices</w:t>
      </w:r>
      <w:r w:rsidRPr="00F727DF">
        <w:rPr>
          <w:b w:val="0"/>
          <w:color w:val="auto"/>
          <w:sz w:val="22"/>
        </w:rPr>
        <w:t xml:space="preserve"> to improve the rates of reentry and permanency.  </w:t>
      </w:r>
    </w:p>
    <w:p w:rsidR="00D86A11" w:rsidRPr="001C7E0F" w:rsidRDefault="00D86A11" w:rsidP="00D86A11">
      <w:pPr>
        <w:pStyle w:val="Heading1"/>
        <w:rPr>
          <w:color w:val="013161"/>
        </w:rPr>
      </w:pPr>
      <w:r w:rsidRPr="001C7E0F">
        <w:rPr>
          <w:color w:val="013161"/>
        </w:rPr>
        <w:t xml:space="preserve">Method </w:t>
      </w:r>
    </w:p>
    <w:p w:rsidR="00D86A11" w:rsidRPr="00F727DF" w:rsidRDefault="00121985" w:rsidP="00D86A11">
      <w:pPr>
        <w:pStyle w:val="Heading2"/>
        <w:spacing w:line="276" w:lineRule="auto"/>
        <w:rPr>
          <w:b w:val="0"/>
          <w:color w:val="auto"/>
          <w:sz w:val="22"/>
        </w:rPr>
      </w:pPr>
      <w:r w:rsidRPr="00121985">
        <w:rPr>
          <w:b w:val="0"/>
          <w:color w:val="auto"/>
          <w:sz w:val="22"/>
        </w:rPr>
        <w:t xml:space="preserve">Cases for the 2016 PR were selected from both CWS and Probation. A representative sample of cases was selected based on child and family characteristics, CWS or Probation status, and region in which they were located. The cases reviewed for the PQCR adequately represented the population of San Diego. </w:t>
      </w:r>
    </w:p>
    <w:p w:rsidR="00D86A11" w:rsidRPr="00F57ECD" w:rsidRDefault="00121985" w:rsidP="00D86A11">
      <w:pPr>
        <w:pStyle w:val="Heading2"/>
        <w:spacing w:line="276" w:lineRule="auto"/>
        <w:rPr>
          <w:b w:val="0"/>
          <w:color w:val="auto"/>
          <w:sz w:val="22"/>
        </w:rPr>
      </w:pPr>
      <w:r w:rsidRPr="00121985">
        <w:rPr>
          <w:b w:val="0"/>
          <w:color w:val="auto"/>
          <w:sz w:val="22"/>
        </w:rPr>
        <w:t>For the 2016 PR, 30 cases were selected from CWS and 10 cases were selected from Probation. Over the week long PR, CWS reviewed 28 cases and Probation reviewed 10 cases in total.</w:t>
      </w:r>
    </w:p>
    <w:p w:rsidR="00D86A11" w:rsidRPr="004B0EB9" w:rsidRDefault="00121985" w:rsidP="00D86A11">
      <w:pPr>
        <w:pStyle w:val="Heading2"/>
        <w:spacing w:line="276" w:lineRule="auto"/>
        <w:rPr>
          <w:b w:val="0"/>
          <w:color w:val="auto"/>
          <w:sz w:val="22"/>
        </w:rPr>
      </w:pPr>
      <w:r w:rsidRPr="00121985">
        <w:rPr>
          <w:b w:val="0"/>
          <w:color w:val="auto"/>
          <w:sz w:val="22"/>
        </w:rPr>
        <w:t xml:space="preserve">The San Diego 2016 PR was conducted the week of June 6-10, 2016 and was a collaborative effort between the County’s Child Welfare Service and Juvenile Probation Department. Peer reviewers represented six counties: Contra Costa, Orange, San Bernardino, Ventura, Riverside, and Sacramento. Peer counties were </w:t>
      </w:r>
      <w:r w:rsidRPr="00121985">
        <w:rPr>
          <w:b w:val="0"/>
          <w:color w:val="auto"/>
          <w:sz w:val="22"/>
        </w:rPr>
        <w:lastRenderedPageBreak/>
        <w:t>selected by having similar population sizes and demographics as San Diego and performing better than San Diego in the area of practices identified. In addition to out-of-county reviewers, in-county reviewers included community partners from SAY San Diego, South Bay Community Services, North County Lifeline, and Cultural Broker Program.</w:t>
      </w:r>
    </w:p>
    <w:p w:rsidR="00D86A11" w:rsidRPr="004B0EB9" w:rsidRDefault="00121985" w:rsidP="00D86A11">
      <w:pPr>
        <w:pStyle w:val="Heading2"/>
        <w:spacing w:line="276" w:lineRule="auto"/>
        <w:rPr>
          <w:b w:val="0"/>
          <w:color w:val="auto"/>
          <w:sz w:val="22"/>
        </w:rPr>
      </w:pPr>
      <w:r w:rsidRPr="00121985">
        <w:rPr>
          <w:b w:val="0"/>
          <w:color w:val="auto"/>
          <w:sz w:val="22"/>
        </w:rPr>
        <w:t>County of San Diego Probation and CWS would like to thank the following individuals who served as Peer County Representatives for the week long Peer Review:</w:t>
      </w:r>
    </w:p>
    <w:p w:rsidR="00D86A11" w:rsidRDefault="00D86A11" w:rsidP="00D86A11">
      <w:pPr>
        <w:numPr>
          <w:ilvl w:val="0"/>
          <w:numId w:val="16"/>
        </w:numPr>
        <w:spacing w:before="120" w:after="0"/>
        <w:ind w:right="130"/>
        <w:rPr>
          <w:rFonts w:ascii="Franklin Gothic Book" w:hAnsi="Franklin Gothic Book"/>
          <w:color w:val="auto"/>
          <w:spacing w:val="20"/>
          <w:szCs w:val="22"/>
        </w:rPr>
      </w:pPr>
      <w:r w:rsidRPr="00312560">
        <w:rPr>
          <w:rFonts w:ascii="Franklin Gothic Book" w:hAnsi="Franklin Gothic Book"/>
          <w:color w:val="auto"/>
          <w:spacing w:val="20"/>
          <w:szCs w:val="22"/>
        </w:rPr>
        <w:t>Brenda Waterman-Riverside County Probation Department</w:t>
      </w:r>
    </w:p>
    <w:p w:rsidR="00D86A11" w:rsidRDefault="00D86A11" w:rsidP="00D86A11">
      <w:pPr>
        <w:numPr>
          <w:ilvl w:val="0"/>
          <w:numId w:val="16"/>
        </w:numPr>
        <w:spacing w:before="120" w:after="0"/>
        <w:ind w:right="130"/>
        <w:rPr>
          <w:rFonts w:ascii="Franklin Gothic Book" w:hAnsi="Franklin Gothic Book"/>
          <w:color w:val="auto"/>
          <w:spacing w:val="20"/>
          <w:szCs w:val="22"/>
        </w:rPr>
      </w:pPr>
      <w:r>
        <w:rPr>
          <w:rFonts w:ascii="Franklin Gothic Book" w:hAnsi="Franklin Gothic Book"/>
          <w:color w:val="auto"/>
          <w:spacing w:val="20"/>
          <w:szCs w:val="22"/>
        </w:rPr>
        <w:t>Carol Bess , Cultural Brokers</w:t>
      </w:r>
    </w:p>
    <w:p w:rsidR="00D86A11" w:rsidRPr="00312560" w:rsidRDefault="00D86A11" w:rsidP="00D86A11">
      <w:pPr>
        <w:numPr>
          <w:ilvl w:val="0"/>
          <w:numId w:val="16"/>
        </w:numPr>
        <w:spacing w:before="120" w:after="0"/>
        <w:ind w:right="130"/>
        <w:rPr>
          <w:rFonts w:ascii="Franklin Gothic Book" w:hAnsi="Franklin Gothic Book"/>
          <w:color w:val="auto"/>
          <w:spacing w:val="20"/>
          <w:szCs w:val="22"/>
        </w:rPr>
      </w:pPr>
      <w:r w:rsidRPr="00312560">
        <w:rPr>
          <w:rFonts w:ascii="Franklin Gothic Book" w:hAnsi="Franklin Gothic Book"/>
          <w:color w:val="auto"/>
          <w:spacing w:val="20"/>
          <w:szCs w:val="22"/>
        </w:rPr>
        <w:t>Charity Cox- Ventura County CWS</w:t>
      </w:r>
    </w:p>
    <w:p w:rsidR="00D86A11" w:rsidRPr="00312560" w:rsidRDefault="00D86A11" w:rsidP="00D86A11">
      <w:pPr>
        <w:numPr>
          <w:ilvl w:val="0"/>
          <w:numId w:val="16"/>
        </w:numPr>
        <w:spacing w:before="120" w:after="0"/>
        <w:ind w:right="130"/>
        <w:rPr>
          <w:rFonts w:ascii="Franklin Gothic Book" w:hAnsi="Franklin Gothic Book"/>
          <w:color w:val="auto"/>
          <w:spacing w:val="20"/>
          <w:szCs w:val="22"/>
        </w:rPr>
      </w:pPr>
      <w:r w:rsidRPr="00312560">
        <w:rPr>
          <w:rFonts w:ascii="Franklin Gothic Book" w:hAnsi="Franklin Gothic Book"/>
          <w:color w:val="auto"/>
          <w:spacing w:val="20"/>
          <w:szCs w:val="22"/>
        </w:rPr>
        <w:t>Eleanor Walker- Contra Costa County CWS</w:t>
      </w:r>
    </w:p>
    <w:p w:rsidR="00D86A11" w:rsidRPr="00312560" w:rsidRDefault="00D86A11" w:rsidP="00D86A11">
      <w:pPr>
        <w:numPr>
          <w:ilvl w:val="0"/>
          <w:numId w:val="16"/>
        </w:numPr>
        <w:spacing w:before="120" w:after="0"/>
        <w:ind w:right="130"/>
        <w:rPr>
          <w:rFonts w:ascii="Franklin Gothic Book" w:hAnsi="Franklin Gothic Book"/>
          <w:color w:val="auto"/>
          <w:spacing w:val="20"/>
          <w:szCs w:val="22"/>
        </w:rPr>
      </w:pPr>
      <w:r w:rsidRPr="00312560">
        <w:rPr>
          <w:rFonts w:ascii="Franklin Gothic Book" w:hAnsi="Franklin Gothic Book"/>
          <w:color w:val="auto"/>
          <w:spacing w:val="20"/>
          <w:szCs w:val="22"/>
        </w:rPr>
        <w:t>Julie Akau-Orange County CWS</w:t>
      </w:r>
    </w:p>
    <w:p w:rsidR="00D86A11" w:rsidRPr="00645F6D" w:rsidRDefault="00D86A11" w:rsidP="00D86A11">
      <w:pPr>
        <w:numPr>
          <w:ilvl w:val="0"/>
          <w:numId w:val="16"/>
        </w:numPr>
        <w:spacing w:before="120" w:after="0"/>
        <w:ind w:right="130"/>
        <w:rPr>
          <w:rFonts w:ascii="Franklin Gothic Book" w:hAnsi="Franklin Gothic Book"/>
          <w:color w:val="auto"/>
          <w:spacing w:val="20"/>
          <w:szCs w:val="22"/>
        </w:rPr>
      </w:pPr>
      <w:r w:rsidRPr="00645F6D">
        <w:rPr>
          <w:rFonts w:ascii="Franklin Gothic Book" w:hAnsi="Franklin Gothic Book"/>
          <w:color w:val="auto"/>
          <w:spacing w:val="20"/>
          <w:szCs w:val="22"/>
        </w:rPr>
        <w:t>Keith Linebaugh- Sacramento County Probation Department</w:t>
      </w:r>
    </w:p>
    <w:p w:rsidR="00D86A11" w:rsidRPr="00645F6D" w:rsidRDefault="00D86A11" w:rsidP="00D86A11">
      <w:pPr>
        <w:numPr>
          <w:ilvl w:val="0"/>
          <w:numId w:val="16"/>
        </w:numPr>
        <w:spacing w:before="120" w:after="0"/>
        <w:ind w:right="130"/>
        <w:rPr>
          <w:rFonts w:ascii="Franklin Gothic Book" w:hAnsi="Franklin Gothic Book"/>
          <w:color w:val="auto"/>
          <w:spacing w:val="20"/>
          <w:szCs w:val="22"/>
        </w:rPr>
      </w:pPr>
      <w:r w:rsidRPr="00645F6D">
        <w:rPr>
          <w:rFonts w:ascii="Franklin Gothic Book" w:hAnsi="Franklin Gothic Book"/>
          <w:color w:val="auto"/>
          <w:spacing w:val="20"/>
          <w:szCs w:val="22"/>
        </w:rPr>
        <w:t>Leann Posey- San Bernardino County CWS</w:t>
      </w:r>
    </w:p>
    <w:p w:rsidR="00D86A11" w:rsidRDefault="00D86A11" w:rsidP="00D86A11">
      <w:pPr>
        <w:numPr>
          <w:ilvl w:val="0"/>
          <w:numId w:val="16"/>
        </w:numPr>
        <w:spacing w:before="120" w:after="0"/>
        <w:ind w:right="130"/>
        <w:rPr>
          <w:rFonts w:ascii="Franklin Gothic Book" w:hAnsi="Franklin Gothic Book"/>
          <w:color w:val="auto"/>
          <w:spacing w:val="20"/>
          <w:szCs w:val="22"/>
        </w:rPr>
      </w:pPr>
      <w:r w:rsidRPr="00645F6D">
        <w:rPr>
          <w:rFonts w:ascii="Franklin Gothic Book" w:hAnsi="Franklin Gothic Book"/>
          <w:color w:val="auto"/>
          <w:spacing w:val="20"/>
          <w:szCs w:val="22"/>
        </w:rPr>
        <w:t>Lupe Venegas- San Bernardino County Probation Department</w:t>
      </w:r>
    </w:p>
    <w:p w:rsidR="00D86A11" w:rsidRPr="00312560" w:rsidRDefault="00D86A11" w:rsidP="00D86A11">
      <w:pPr>
        <w:numPr>
          <w:ilvl w:val="0"/>
          <w:numId w:val="16"/>
        </w:numPr>
        <w:spacing w:before="120" w:after="0"/>
        <w:ind w:right="130"/>
        <w:rPr>
          <w:rFonts w:ascii="Franklin Gothic Book" w:hAnsi="Franklin Gothic Book"/>
          <w:color w:val="auto"/>
          <w:spacing w:val="20"/>
          <w:szCs w:val="22"/>
        </w:rPr>
      </w:pPr>
      <w:r>
        <w:rPr>
          <w:rFonts w:ascii="Franklin Gothic Book" w:hAnsi="Franklin Gothic Book"/>
          <w:color w:val="auto"/>
          <w:spacing w:val="20"/>
          <w:szCs w:val="22"/>
        </w:rPr>
        <w:t>Marilyn English-Cultural Brokers</w:t>
      </w:r>
    </w:p>
    <w:p w:rsidR="00D86A11" w:rsidRDefault="00D86A11" w:rsidP="00D86A11">
      <w:pPr>
        <w:numPr>
          <w:ilvl w:val="0"/>
          <w:numId w:val="16"/>
        </w:numPr>
        <w:spacing w:before="120" w:after="0"/>
        <w:ind w:right="130"/>
        <w:rPr>
          <w:rFonts w:ascii="Franklin Gothic Book" w:hAnsi="Franklin Gothic Book"/>
          <w:color w:val="auto"/>
          <w:spacing w:val="20"/>
          <w:szCs w:val="22"/>
        </w:rPr>
      </w:pPr>
      <w:r>
        <w:rPr>
          <w:rFonts w:ascii="Franklin Gothic Book" w:hAnsi="Franklin Gothic Book"/>
          <w:color w:val="auto"/>
          <w:spacing w:val="20"/>
          <w:szCs w:val="22"/>
        </w:rPr>
        <w:t>Shannon Throop-SAY San Diego</w:t>
      </w:r>
    </w:p>
    <w:p w:rsidR="00D86A11" w:rsidRPr="00312560" w:rsidRDefault="00D86A11" w:rsidP="00D86A11">
      <w:pPr>
        <w:numPr>
          <w:ilvl w:val="0"/>
          <w:numId w:val="16"/>
        </w:numPr>
        <w:spacing w:before="120" w:after="0"/>
        <w:ind w:right="130"/>
        <w:rPr>
          <w:rFonts w:ascii="Franklin Gothic Book" w:hAnsi="Franklin Gothic Book"/>
          <w:color w:val="auto"/>
          <w:spacing w:val="20"/>
          <w:szCs w:val="22"/>
        </w:rPr>
      </w:pPr>
      <w:r w:rsidRPr="00312560">
        <w:rPr>
          <w:rFonts w:ascii="Franklin Gothic Book" w:hAnsi="Franklin Gothic Book"/>
          <w:color w:val="auto"/>
          <w:spacing w:val="20"/>
          <w:szCs w:val="22"/>
        </w:rPr>
        <w:t>Tandy Perry-South Bay Community Services</w:t>
      </w:r>
    </w:p>
    <w:p w:rsidR="00D86A11" w:rsidRPr="00F57ECD" w:rsidRDefault="00D86A11" w:rsidP="00D86A11">
      <w:pPr>
        <w:pStyle w:val="Heading2"/>
        <w:spacing w:line="276" w:lineRule="auto"/>
        <w:rPr>
          <w:b w:val="0"/>
          <w:color w:val="auto"/>
          <w:sz w:val="22"/>
        </w:rPr>
      </w:pPr>
      <w:r w:rsidRPr="00F57ECD">
        <w:rPr>
          <w:b w:val="0"/>
          <w:color w:val="auto"/>
          <w:sz w:val="22"/>
        </w:rPr>
        <w:t xml:space="preserve">In total, four interview teams were assembled; 3 CWS and 1 Probation. Interview teams consisted of three interviewers and a scribe. Two CWS teams consisted of a peer county representative, a community partner, a cultural broker, and a scribe. The remaining CWS team consisted of two peer county representatives, a community partner, and a scribe. The Probation team was made up of three peer county representatives and a scribe. </w:t>
      </w:r>
    </w:p>
    <w:p w:rsidR="006E420B" w:rsidRDefault="00D86A11" w:rsidP="006E420B">
      <w:pPr>
        <w:pStyle w:val="Heading2"/>
        <w:spacing w:line="276" w:lineRule="auto"/>
        <w:rPr>
          <w:b w:val="0"/>
          <w:color w:val="auto"/>
          <w:sz w:val="22"/>
        </w:rPr>
      </w:pPr>
      <w:r w:rsidRPr="00F57ECD">
        <w:rPr>
          <w:b w:val="0"/>
          <w:color w:val="auto"/>
          <w:sz w:val="22"/>
        </w:rPr>
        <w:t xml:space="preserve">On the first day of the PR week, an overview of the county’s demographics and current CWS/Probation performance were discussed. This allowed for peer counties to have an idea of </w:t>
      </w:r>
      <w:r>
        <w:rPr>
          <w:b w:val="0"/>
          <w:color w:val="auto"/>
          <w:sz w:val="22"/>
        </w:rPr>
        <w:t>the County of San Diego</w:t>
      </w:r>
      <w:r w:rsidRPr="00F57ECD">
        <w:rPr>
          <w:b w:val="0"/>
          <w:color w:val="auto"/>
          <w:sz w:val="22"/>
        </w:rPr>
        <w:t xml:space="preserve">’s makeup, as well as, current initiatives San Diego is engaged in. Facilitators then provided an overview of the C-CFSR including CSA process, SIP, and Peer Review process. Participants were provided with brief trainings on conversational interviewing techniques, maintaining confidentiality, and the standardized interviewing tool. At the end of the first day, teams got together to familiarize with one another and practice an interview, using the interview tool, noting areas that needed clarification or elaboration. The first day concluded with a group discussion surrounding questions or clarification about the interviewing tool. </w:t>
      </w:r>
    </w:p>
    <w:p w:rsidR="00D86A11" w:rsidRPr="006E420B" w:rsidRDefault="00D86A11" w:rsidP="006E420B">
      <w:pPr>
        <w:pStyle w:val="Heading2"/>
        <w:spacing w:line="276" w:lineRule="auto"/>
        <w:rPr>
          <w:b w:val="0"/>
          <w:color w:val="auto"/>
          <w:sz w:val="22"/>
        </w:rPr>
      </w:pPr>
      <w:r w:rsidRPr="006E420B">
        <w:rPr>
          <w:b w:val="0"/>
          <w:color w:val="auto"/>
          <w:sz w:val="22"/>
        </w:rPr>
        <w:t xml:space="preserve">On days two, three, and four, interview teams assembled 15 minutes prior to the first interview to review any necessary information. The interview then started and </w:t>
      </w:r>
      <w:r w:rsidRPr="006E420B">
        <w:rPr>
          <w:b w:val="0"/>
          <w:color w:val="auto"/>
          <w:sz w:val="22"/>
        </w:rPr>
        <w:lastRenderedPageBreak/>
        <w:t>lasted approximately one hour. The interviewers welcomed the interviewee, introduced themselves, and began the interview. Upon completion of the interview, the team debriefed and discussed the case for 30 minutes. During debriefing, the teams discussed and recorded the main strengths, challenges, and best practices that emerged during the interview.</w:t>
      </w:r>
    </w:p>
    <w:p w:rsidR="00D86A11" w:rsidRPr="00645F6D" w:rsidRDefault="00D86A11" w:rsidP="00D86A11">
      <w:pPr>
        <w:numPr>
          <w:ilvl w:val="0"/>
          <w:numId w:val="16"/>
        </w:numPr>
        <w:spacing w:before="120" w:after="0"/>
        <w:ind w:right="130"/>
        <w:rPr>
          <w:rFonts w:ascii="Franklin Gothic Book" w:hAnsi="Franklin Gothic Book"/>
          <w:color w:val="auto"/>
          <w:spacing w:val="20"/>
          <w:szCs w:val="22"/>
        </w:rPr>
      </w:pPr>
      <w:r w:rsidRPr="00312560">
        <w:rPr>
          <w:rFonts w:ascii="Franklin Gothic Book" w:hAnsi="Franklin Gothic Book"/>
          <w:color w:val="auto"/>
          <w:spacing w:val="20"/>
          <w:szCs w:val="22"/>
        </w:rPr>
        <w:t xml:space="preserve">The </w:t>
      </w:r>
      <w:r w:rsidRPr="00312560">
        <w:rPr>
          <w:rFonts w:ascii="Franklin Gothic Book" w:hAnsi="Franklin Gothic Book"/>
          <w:b/>
          <w:color w:val="auto"/>
          <w:spacing w:val="20"/>
          <w:szCs w:val="22"/>
        </w:rPr>
        <w:t>interview tool</w:t>
      </w:r>
      <w:r w:rsidRPr="00312560">
        <w:rPr>
          <w:rFonts w:ascii="Franklin Gothic Book" w:hAnsi="Franklin Gothic Book"/>
          <w:color w:val="auto"/>
          <w:spacing w:val="20"/>
          <w:szCs w:val="22"/>
        </w:rPr>
        <w:t xml:space="preserve"> used during the case reviews was a standardized tool developed by the CDSS. The tool was developed from literature </w:t>
      </w:r>
      <w:r w:rsidRPr="00645F6D">
        <w:rPr>
          <w:rFonts w:ascii="Franklin Gothic Book" w:hAnsi="Franklin Gothic Book"/>
          <w:color w:val="auto"/>
          <w:spacing w:val="20"/>
          <w:szCs w:val="22"/>
        </w:rPr>
        <w:t xml:space="preserve">reviews; other tools used in previous quality review processes, and coincides with statewide efforts towards evidence-based practice and strategies toward improvement. By utilizing a standardized tool, the state is able to aggregate information related to each focus area at a statewide level. In addition to mandated questions, both CWS and Probation added supplemental questions into the interview tool to capture specific information of interest. </w:t>
      </w:r>
    </w:p>
    <w:p w:rsidR="00D86A11" w:rsidRPr="00312560" w:rsidRDefault="00D86A11" w:rsidP="00D86A11">
      <w:pPr>
        <w:numPr>
          <w:ilvl w:val="0"/>
          <w:numId w:val="16"/>
        </w:numPr>
        <w:spacing w:before="120" w:after="0"/>
        <w:ind w:right="130"/>
        <w:rPr>
          <w:rFonts w:ascii="Franklin Gothic Book" w:hAnsi="Franklin Gothic Book"/>
          <w:color w:val="auto"/>
          <w:spacing w:val="20"/>
          <w:szCs w:val="22"/>
        </w:rPr>
      </w:pPr>
      <w:r w:rsidRPr="00D5751F">
        <w:rPr>
          <w:rFonts w:ascii="Franklin Gothic Book" w:hAnsi="Franklin Gothic Book"/>
          <w:color w:val="auto"/>
          <w:spacing w:val="20"/>
          <w:szCs w:val="22"/>
        </w:rPr>
        <w:t xml:space="preserve">Interviewers were provided with a </w:t>
      </w:r>
      <w:r w:rsidRPr="00D5751F">
        <w:rPr>
          <w:rFonts w:ascii="Franklin Gothic Book" w:hAnsi="Franklin Gothic Book"/>
          <w:b/>
          <w:color w:val="auto"/>
          <w:spacing w:val="20"/>
          <w:szCs w:val="22"/>
        </w:rPr>
        <w:t>debriefing sheet</w:t>
      </w:r>
      <w:r w:rsidRPr="00D5751F">
        <w:rPr>
          <w:rFonts w:ascii="Franklin Gothic Book" w:hAnsi="Franklin Gothic Book"/>
          <w:color w:val="auto"/>
          <w:spacing w:val="20"/>
          <w:szCs w:val="22"/>
        </w:rPr>
        <w:t xml:space="preserve"> to take notes on throughout the interview. The tool was comprised of nine sections: Background, Maintaining Connections, Engagement, Assessments and Services, Placement Matching, Reunification, Transition Home/Aftercare, Reentry, and Recommendations. The sections of the tool coincided with sections of the interview tool and had areas for interviewers to note strengths, challenges, and best practices of the case being reviewed. These notes were used to guide the debriefing session following the interview and collected after to be destroyed.</w:t>
      </w:r>
    </w:p>
    <w:p w:rsidR="00D86A11" w:rsidRPr="00750B5D" w:rsidRDefault="00D86A11" w:rsidP="00D86A11">
      <w:pPr>
        <w:pStyle w:val="Heading1"/>
        <w:rPr>
          <w:color w:val="013161"/>
        </w:rPr>
      </w:pPr>
      <w:r w:rsidRPr="00686E2A">
        <w:rPr>
          <w:color w:val="013161"/>
        </w:rPr>
        <w:t>Summary of Findings</w:t>
      </w:r>
      <w:r>
        <w:rPr>
          <w:color w:val="013161"/>
        </w:rPr>
        <w:t xml:space="preserve"> </w:t>
      </w:r>
    </w:p>
    <w:p w:rsidR="00D86A11" w:rsidRPr="001C7E0F" w:rsidRDefault="00D86A11" w:rsidP="00D86A11">
      <w:pPr>
        <w:pStyle w:val="Heading2"/>
        <w:spacing w:line="276" w:lineRule="auto"/>
        <w:rPr>
          <w:b w:val="0"/>
          <w:color w:val="auto"/>
          <w:sz w:val="22"/>
        </w:rPr>
      </w:pPr>
      <w:r w:rsidRPr="001C7E0F">
        <w:rPr>
          <w:b w:val="0"/>
          <w:color w:val="auto"/>
          <w:sz w:val="22"/>
        </w:rPr>
        <w:t xml:space="preserve">Each day upon completion of interviews, Harder+Company Community Research consulting team along with CSA Planning Team members gathered to discuss and organize the key ideas and themes that emerged during the individual team debriefing sessions. The key findings have been organized according to the areas outlined by the interview tool.  Appendix I provides detailed summary of key challenge, strengths, and insights gathered from the Peer Review Process. </w:t>
      </w:r>
    </w:p>
    <w:p w:rsidR="00D86A11" w:rsidRPr="00750B5D" w:rsidRDefault="00D86A11" w:rsidP="00D86A11">
      <w:pPr>
        <w:pStyle w:val="Heading1"/>
        <w:rPr>
          <w:color w:val="auto"/>
        </w:rPr>
      </w:pPr>
      <w:r w:rsidRPr="00CB21A5">
        <w:rPr>
          <w:color w:val="013161"/>
        </w:rPr>
        <w:t>Peer Promising Practices</w:t>
      </w:r>
    </w:p>
    <w:p w:rsidR="00D86A11" w:rsidRPr="00D5751F" w:rsidRDefault="00D86A11" w:rsidP="00D86A11">
      <w:pPr>
        <w:pStyle w:val="Heading2"/>
        <w:spacing w:line="276" w:lineRule="auto"/>
        <w:rPr>
          <w:b w:val="0"/>
          <w:color w:val="auto"/>
          <w:sz w:val="22"/>
        </w:rPr>
      </w:pPr>
      <w:r w:rsidRPr="00D5751F">
        <w:rPr>
          <w:b w:val="0"/>
          <w:color w:val="auto"/>
          <w:sz w:val="22"/>
        </w:rPr>
        <w:t xml:space="preserve">On the final day of the Peer Review, all interviewers came together to debrief on the Peer Review process, discuss the themes that emerged during the week, and took a brief look at the literature review findings. Peer counties were asked to reflect on what they had noticed throughout the case reviews and what ideas or best practices their county engages in that San Diego could benefit from implementing. Peer counties provided insight and recommendations into the areas of trainings, practices, resources, policy and procedure, and general recommendations. The recommendations from the six peer counties have been outlined below:      </w:t>
      </w:r>
    </w:p>
    <w:p w:rsidR="00D86A11" w:rsidRPr="00CB21A5" w:rsidRDefault="00D86A11" w:rsidP="00D86A11">
      <w:pPr>
        <w:pStyle w:val="Heading1"/>
        <w:rPr>
          <w:color w:val="F6872B"/>
          <w:sz w:val="24"/>
        </w:rPr>
      </w:pPr>
      <w:r w:rsidRPr="00CB21A5">
        <w:rPr>
          <w:color w:val="F6872B"/>
          <w:sz w:val="24"/>
        </w:rPr>
        <w:lastRenderedPageBreak/>
        <w:t>Trainings</w:t>
      </w:r>
    </w:p>
    <w:p w:rsidR="000B1863" w:rsidRDefault="00D86A11">
      <w:pPr>
        <w:pStyle w:val="ColorfulList-Accent11"/>
        <w:numPr>
          <w:ilvl w:val="0"/>
          <w:numId w:val="9"/>
        </w:numPr>
        <w:spacing w:after="200" w:line="276" w:lineRule="auto"/>
        <w:rPr>
          <w:rFonts w:ascii="Franklin Gothic Book" w:hAnsi="Franklin Gothic Book"/>
          <w:spacing w:val="20"/>
          <w:sz w:val="24"/>
          <w:szCs w:val="28"/>
        </w:rPr>
      </w:pPr>
      <w:r w:rsidRPr="00AE2AAD">
        <w:rPr>
          <w:rFonts w:ascii="Franklin Gothic Book" w:eastAsia="Perpetua" w:hAnsi="Franklin Gothic Book"/>
          <w:b/>
          <w:spacing w:val="20"/>
          <w:sz w:val="24"/>
          <w:szCs w:val="28"/>
        </w:rPr>
        <w:t>Intensive trainings for judges</w:t>
      </w:r>
      <w:r w:rsidRPr="00C00BE3">
        <w:rPr>
          <w:rFonts w:ascii="Franklin Gothic Book" w:eastAsia="Perpetua" w:hAnsi="Franklin Gothic Book"/>
          <w:spacing w:val="20"/>
          <w:sz w:val="24"/>
          <w:szCs w:val="28"/>
        </w:rPr>
        <w:t xml:space="preserve"> </w:t>
      </w:r>
      <w:r w:rsidRPr="00AE2AAD">
        <w:rPr>
          <w:rFonts w:ascii="Franklin Gothic Book" w:eastAsia="Perpetua" w:hAnsi="Franklin Gothic Book"/>
          <w:b/>
          <w:spacing w:val="20"/>
          <w:sz w:val="24"/>
          <w:szCs w:val="28"/>
        </w:rPr>
        <w:t>and lawyers</w:t>
      </w:r>
      <w:r w:rsidRPr="00C00BE3">
        <w:rPr>
          <w:rFonts w:ascii="Franklin Gothic Book" w:eastAsia="Perpetua" w:hAnsi="Franklin Gothic Book"/>
          <w:spacing w:val="20"/>
          <w:sz w:val="24"/>
          <w:szCs w:val="28"/>
        </w:rPr>
        <w:t xml:space="preserve"> </w:t>
      </w:r>
    </w:p>
    <w:p w:rsidR="000B1863" w:rsidRDefault="00D86A11">
      <w:pPr>
        <w:pStyle w:val="ColorfulList-Accent11"/>
        <w:numPr>
          <w:ilvl w:val="1"/>
          <w:numId w:val="9"/>
        </w:numPr>
        <w:spacing w:after="200" w:line="276" w:lineRule="auto"/>
        <w:rPr>
          <w:rFonts w:ascii="Franklin Gothic Book" w:hAnsi="Franklin Gothic Book"/>
          <w:spacing w:val="20"/>
        </w:rPr>
      </w:pPr>
      <w:r w:rsidRPr="00D5751F">
        <w:rPr>
          <w:rFonts w:ascii="Franklin Gothic Book" w:eastAsia="Perpetua" w:hAnsi="Franklin Gothic Book"/>
          <w:spacing w:val="20"/>
          <w:sz w:val="22"/>
          <w:szCs w:val="22"/>
        </w:rPr>
        <w:t>Build knowledge on the impact of trauma on children and families to inform their decisions for when and how to remove a child.</w:t>
      </w:r>
    </w:p>
    <w:p w:rsidR="00D86A11" w:rsidRPr="00D5751F" w:rsidRDefault="00D86A11" w:rsidP="00D86A11">
      <w:pPr>
        <w:numPr>
          <w:ilvl w:val="1"/>
          <w:numId w:val="9"/>
        </w:numPr>
        <w:spacing w:after="200"/>
        <w:rPr>
          <w:rFonts w:ascii="Franklin Gothic Book" w:hAnsi="Franklin Gothic Book"/>
          <w:spacing w:val="20"/>
          <w:szCs w:val="22"/>
        </w:rPr>
      </w:pPr>
      <w:r w:rsidRPr="00D5751F">
        <w:rPr>
          <w:rFonts w:ascii="Franklin Gothic Book" w:hAnsi="Franklin Gothic Book"/>
          <w:spacing w:val="20"/>
          <w:szCs w:val="22"/>
        </w:rPr>
        <w:t>Build their understanding of the approaches used by CWS and Probation to reduce reentry rates in order to support those gains. For example, u</w:t>
      </w:r>
      <w:r w:rsidRPr="00D5751F">
        <w:rPr>
          <w:rFonts w:ascii="Franklin Gothic Book" w:hAnsi="Franklin Gothic Book"/>
          <w:color w:val="auto"/>
          <w:spacing w:val="20"/>
          <w:szCs w:val="22"/>
        </w:rPr>
        <w:t xml:space="preserve">se </w:t>
      </w:r>
      <w:r w:rsidRPr="00D5751F">
        <w:rPr>
          <w:rFonts w:ascii="Franklin Gothic Book" w:eastAsia="Times New Roman" w:hAnsi="Franklin Gothic Book"/>
          <w:color w:val="auto"/>
          <w:spacing w:val="20"/>
          <w:szCs w:val="22"/>
        </w:rPr>
        <w:t>Safety Organized Practices (SOP)</w:t>
      </w:r>
      <w:r w:rsidRPr="00D5751F">
        <w:rPr>
          <w:rFonts w:ascii="Franklin Gothic Book" w:hAnsi="Franklin Gothic Book"/>
          <w:color w:val="auto"/>
          <w:spacing w:val="20"/>
          <w:szCs w:val="22"/>
        </w:rPr>
        <w:t xml:space="preserve"> language in court reports and provide training to court so they have more buy in.  </w:t>
      </w:r>
    </w:p>
    <w:p w:rsidR="00D86A11" w:rsidRPr="00D5751F" w:rsidRDefault="00D86A11" w:rsidP="00D86A11">
      <w:pPr>
        <w:numPr>
          <w:ilvl w:val="0"/>
          <w:numId w:val="9"/>
        </w:numPr>
        <w:spacing w:after="200"/>
        <w:rPr>
          <w:rFonts w:ascii="Franklin Gothic Book" w:hAnsi="Franklin Gothic Book"/>
          <w:spacing w:val="20"/>
          <w:szCs w:val="22"/>
        </w:rPr>
      </w:pPr>
      <w:r w:rsidRPr="00D5751F">
        <w:rPr>
          <w:rFonts w:ascii="Franklin Gothic Book" w:hAnsi="Franklin Gothic Book"/>
          <w:spacing w:val="20"/>
          <w:szCs w:val="22"/>
        </w:rPr>
        <w:t xml:space="preserve">Care reform training for providers    </w:t>
      </w:r>
    </w:p>
    <w:p w:rsidR="00D86A11" w:rsidRPr="00CB21A5" w:rsidRDefault="00D86A11" w:rsidP="00D86A11">
      <w:pPr>
        <w:pStyle w:val="Heading1"/>
        <w:rPr>
          <w:color w:val="F6872B"/>
          <w:sz w:val="24"/>
        </w:rPr>
      </w:pPr>
      <w:r w:rsidRPr="00CB21A5">
        <w:rPr>
          <w:color w:val="F6872B"/>
          <w:sz w:val="24"/>
        </w:rPr>
        <w:t>Practices</w:t>
      </w:r>
    </w:p>
    <w:p w:rsidR="00D86A11" w:rsidRPr="001472D7" w:rsidRDefault="00D86A11" w:rsidP="00D86A11">
      <w:pPr>
        <w:numPr>
          <w:ilvl w:val="0"/>
          <w:numId w:val="16"/>
        </w:numPr>
        <w:spacing w:before="120" w:after="0"/>
        <w:ind w:right="130"/>
        <w:rPr>
          <w:rFonts w:ascii="Franklin Gothic Book" w:hAnsi="Franklin Gothic Book"/>
          <w:color w:val="auto"/>
          <w:spacing w:val="20"/>
          <w:szCs w:val="28"/>
        </w:rPr>
      </w:pPr>
      <w:r w:rsidRPr="001472D7">
        <w:rPr>
          <w:rFonts w:ascii="Franklin Gothic Book" w:hAnsi="Franklin Gothic Book"/>
          <w:b/>
          <w:color w:val="auto"/>
          <w:spacing w:val="20"/>
          <w:szCs w:val="28"/>
        </w:rPr>
        <w:t>Family Advocacy:</w:t>
      </w:r>
      <w:r w:rsidRPr="001472D7">
        <w:rPr>
          <w:rFonts w:ascii="Franklin Gothic Book" w:hAnsi="Franklin Gothic Book"/>
          <w:color w:val="auto"/>
          <w:spacing w:val="20"/>
          <w:szCs w:val="28"/>
        </w:rPr>
        <w:t xml:space="preserve"> Shift focus from advocacy for the child to advocacy for the family. When staff engage the family/parents and see themselves representing the parent and child, outcomes improve.</w:t>
      </w:r>
    </w:p>
    <w:p w:rsidR="00D86A11" w:rsidRPr="001472D7" w:rsidRDefault="00D86A11" w:rsidP="00D86A11">
      <w:pPr>
        <w:numPr>
          <w:ilvl w:val="0"/>
          <w:numId w:val="16"/>
        </w:numPr>
        <w:spacing w:before="120" w:after="0"/>
        <w:ind w:right="130"/>
        <w:rPr>
          <w:rFonts w:ascii="Franklin Gothic Book" w:hAnsi="Franklin Gothic Book"/>
          <w:color w:val="auto"/>
          <w:spacing w:val="20"/>
          <w:szCs w:val="28"/>
        </w:rPr>
      </w:pPr>
      <w:r w:rsidRPr="001472D7">
        <w:rPr>
          <w:rFonts w:ascii="Franklin Gothic Book" w:hAnsi="Franklin Gothic Book"/>
          <w:b/>
          <w:color w:val="auto"/>
          <w:spacing w:val="20"/>
          <w:szCs w:val="28"/>
        </w:rPr>
        <w:t>Case plans</w:t>
      </w:r>
      <w:r w:rsidRPr="001472D7">
        <w:rPr>
          <w:rFonts w:ascii="Franklin Gothic Book" w:hAnsi="Franklin Gothic Book"/>
          <w:color w:val="auto"/>
          <w:spacing w:val="20"/>
          <w:szCs w:val="28"/>
        </w:rPr>
        <w:t xml:space="preserve"> must include a full assessment of basic needs with corresponding referrals in order to increase families’ chances of avoiding reentry. </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1472D7">
        <w:rPr>
          <w:rFonts w:ascii="Franklin Gothic Book" w:hAnsi="Franklin Gothic Book"/>
          <w:color w:val="auto"/>
          <w:spacing w:val="20"/>
          <w:szCs w:val="28"/>
        </w:rPr>
        <w:t xml:space="preserve">Use </w:t>
      </w:r>
      <w:r w:rsidRPr="001472D7">
        <w:rPr>
          <w:rFonts w:ascii="Franklin Gothic Book" w:hAnsi="Franklin Gothic Book"/>
          <w:b/>
          <w:color w:val="auto"/>
          <w:spacing w:val="20"/>
          <w:szCs w:val="28"/>
        </w:rPr>
        <w:t>teaming</w:t>
      </w:r>
      <w:r w:rsidRPr="001472D7">
        <w:rPr>
          <w:rFonts w:ascii="Franklin Gothic Book" w:hAnsi="Franklin Gothic Book"/>
          <w:color w:val="auto"/>
          <w:spacing w:val="20"/>
          <w:szCs w:val="28"/>
        </w:rPr>
        <w:t xml:space="preserve"> across the life of the case plan</w:t>
      </w:r>
    </w:p>
    <w:p w:rsidR="00D86A11" w:rsidRDefault="00D86A11" w:rsidP="00D86A11">
      <w:pPr>
        <w:numPr>
          <w:ilvl w:val="1"/>
          <w:numId w:val="16"/>
        </w:numPr>
        <w:spacing w:before="120" w:after="0"/>
        <w:ind w:right="130"/>
        <w:rPr>
          <w:rFonts w:ascii="Franklin Gothic Book" w:hAnsi="Franklin Gothic Book"/>
          <w:color w:val="auto"/>
          <w:spacing w:val="20"/>
          <w:szCs w:val="28"/>
        </w:rPr>
      </w:pPr>
      <w:r w:rsidRPr="001472D7">
        <w:rPr>
          <w:rFonts w:ascii="Franklin Gothic Book" w:hAnsi="Franklin Gothic Book"/>
          <w:color w:val="auto"/>
          <w:spacing w:val="20"/>
          <w:szCs w:val="28"/>
        </w:rPr>
        <w:t>For example, court worker and continuing worker work together throughout the jurisdiction/ disposition process to help build rapport with families and decrease loss of valuable information during interviews from the case transition process.</w:t>
      </w:r>
    </w:p>
    <w:p w:rsidR="00D86A11" w:rsidRPr="001472D7" w:rsidRDefault="00D86A11" w:rsidP="00D86A11">
      <w:pPr>
        <w:numPr>
          <w:ilvl w:val="1"/>
          <w:numId w:val="16"/>
        </w:numPr>
        <w:spacing w:before="120" w:after="0"/>
        <w:ind w:right="130"/>
        <w:rPr>
          <w:rFonts w:ascii="Franklin Gothic Book" w:hAnsi="Franklin Gothic Book"/>
          <w:color w:val="auto"/>
          <w:spacing w:val="20"/>
          <w:szCs w:val="28"/>
        </w:rPr>
      </w:pPr>
      <w:r w:rsidRPr="008F3ABB">
        <w:rPr>
          <w:rFonts w:ascii="Franklin Gothic Book" w:hAnsi="Franklin Gothic Book"/>
          <w:color w:val="auto"/>
          <w:spacing w:val="20"/>
          <w:szCs w:val="28"/>
        </w:rPr>
        <w:t>Have collaborative team</w:t>
      </w:r>
      <w:r>
        <w:rPr>
          <w:rFonts w:ascii="Franklin Gothic Book" w:hAnsi="Franklin Gothic Book"/>
          <w:color w:val="auto"/>
          <w:spacing w:val="20"/>
          <w:szCs w:val="28"/>
        </w:rPr>
        <w:t xml:space="preserve"> such as </w:t>
      </w:r>
      <w:r w:rsidRPr="008F3ABB">
        <w:rPr>
          <w:rFonts w:ascii="Franklin Gothic Book" w:hAnsi="Franklin Gothic Book"/>
          <w:color w:val="auto"/>
          <w:spacing w:val="20"/>
          <w:szCs w:val="28"/>
        </w:rPr>
        <w:t>court worker, parent partner, ER worker, substance abuse counselor or other support person if needed that attend 1</w:t>
      </w:r>
      <w:r w:rsidRPr="008F3ABB">
        <w:rPr>
          <w:rFonts w:ascii="Franklin Gothic Book" w:hAnsi="Franklin Gothic Book"/>
          <w:color w:val="auto"/>
          <w:spacing w:val="20"/>
          <w:szCs w:val="28"/>
          <w:vertAlign w:val="superscript"/>
        </w:rPr>
        <w:t>st</w:t>
      </w:r>
      <w:r>
        <w:rPr>
          <w:rFonts w:ascii="Franklin Gothic Book" w:hAnsi="Franklin Gothic Book"/>
          <w:color w:val="auto"/>
          <w:spacing w:val="20"/>
          <w:szCs w:val="28"/>
        </w:rPr>
        <w:t xml:space="preserve"> </w:t>
      </w:r>
      <w:r w:rsidRPr="008F3ABB">
        <w:rPr>
          <w:rFonts w:ascii="Franklin Gothic Book" w:hAnsi="Franklin Gothic Book"/>
          <w:color w:val="auto"/>
          <w:spacing w:val="20"/>
          <w:szCs w:val="28"/>
        </w:rPr>
        <w:t>hearing so that family knows there is a team supporting them.</w:t>
      </w:r>
    </w:p>
    <w:p w:rsidR="00D86A11"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Establish a minimum threshold of face-to-face contacts</w:t>
      </w:r>
    </w:p>
    <w:p w:rsidR="00D86A11" w:rsidRPr="001472D7"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Family finding to be done as soon as child/youth enters the CWS/Probation system and include identification of support network</w:t>
      </w:r>
    </w:p>
    <w:p w:rsidR="00D86A11"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Continue to build on Structured Decision Making and Safety Organized Practices (SOP)</w:t>
      </w:r>
    </w:p>
    <w:p w:rsidR="00D86A11" w:rsidRDefault="00D86A11" w:rsidP="00D86A11">
      <w:pPr>
        <w:numPr>
          <w:ilvl w:val="1"/>
          <w:numId w:val="16"/>
        </w:numPr>
        <w:rPr>
          <w:rFonts w:ascii="Franklin Gothic Book" w:hAnsi="Franklin Gothic Book"/>
          <w:color w:val="auto"/>
          <w:spacing w:val="20"/>
          <w:szCs w:val="28"/>
        </w:rPr>
      </w:pPr>
      <w:r w:rsidRPr="006E2239">
        <w:rPr>
          <w:rFonts w:ascii="Franklin Gothic Book" w:hAnsi="Franklin Gothic Book"/>
          <w:color w:val="auto"/>
          <w:spacing w:val="20"/>
          <w:szCs w:val="28"/>
        </w:rPr>
        <w:t>Use SOP practices to develop harm and danger statement early on as communication piece for families so they know what’s needed for reunification</w:t>
      </w:r>
      <w:r>
        <w:rPr>
          <w:rFonts w:ascii="Franklin Gothic Book" w:hAnsi="Franklin Gothic Book"/>
          <w:color w:val="auto"/>
          <w:spacing w:val="20"/>
          <w:szCs w:val="28"/>
        </w:rPr>
        <w:t>.</w:t>
      </w:r>
    </w:p>
    <w:p w:rsidR="00D86A11" w:rsidRPr="00E96F75" w:rsidRDefault="00D86A11" w:rsidP="00D86A11">
      <w:pPr>
        <w:numPr>
          <w:ilvl w:val="0"/>
          <w:numId w:val="16"/>
        </w:numPr>
        <w:rPr>
          <w:rFonts w:ascii="Franklin Gothic Book" w:hAnsi="Franklin Gothic Book"/>
          <w:color w:val="auto"/>
          <w:spacing w:val="20"/>
          <w:szCs w:val="28"/>
        </w:rPr>
      </w:pPr>
      <w:r>
        <w:rPr>
          <w:rFonts w:ascii="Franklin Gothic Book" w:hAnsi="Franklin Gothic Book"/>
          <w:color w:val="auto"/>
          <w:spacing w:val="20"/>
          <w:szCs w:val="28"/>
        </w:rPr>
        <w:t>F</w:t>
      </w:r>
      <w:r w:rsidRPr="00E96F75">
        <w:rPr>
          <w:rFonts w:ascii="Franklin Gothic Book" w:hAnsi="Franklin Gothic Book"/>
          <w:color w:val="auto"/>
          <w:spacing w:val="20"/>
          <w:szCs w:val="28"/>
        </w:rPr>
        <w:t xml:space="preserve">amily focused therapy to help parents learn to deal with </w:t>
      </w:r>
      <w:r>
        <w:rPr>
          <w:rFonts w:ascii="Franklin Gothic Book" w:hAnsi="Franklin Gothic Book"/>
          <w:color w:val="auto"/>
          <w:spacing w:val="20"/>
          <w:szCs w:val="28"/>
        </w:rPr>
        <w:t xml:space="preserve">and </w:t>
      </w:r>
      <w:r w:rsidRPr="00E96F75">
        <w:rPr>
          <w:rFonts w:ascii="Franklin Gothic Book" w:hAnsi="Franklin Gothic Book"/>
          <w:color w:val="auto"/>
          <w:spacing w:val="20"/>
          <w:szCs w:val="28"/>
        </w:rPr>
        <w:t>manage parent-child relationships</w:t>
      </w:r>
    </w:p>
    <w:p w:rsidR="00D86A11"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Regular and ongoing m</w:t>
      </w:r>
      <w:r w:rsidRPr="004D329D">
        <w:rPr>
          <w:rFonts w:ascii="Franklin Gothic Book" w:hAnsi="Franklin Gothic Book"/>
          <w:color w:val="auto"/>
          <w:spacing w:val="20"/>
          <w:szCs w:val="28"/>
        </w:rPr>
        <w:t>ental health assessments for all children</w:t>
      </w:r>
      <w:r>
        <w:rPr>
          <w:rFonts w:ascii="Franklin Gothic Book" w:hAnsi="Franklin Gothic Book"/>
          <w:color w:val="auto"/>
          <w:spacing w:val="20"/>
          <w:szCs w:val="28"/>
        </w:rPr>
        <w:t xml:space="preserve"> (e.g., </w:t>
      </w:r>
      <w:r w:rsidRPr="004D329D">
        <w:rPr>
          <w:rFonts w:ascii="Franklin Gothic Book" w:hAnsi="Franklin Gothic Book"/>
          <w:color w:val="auto"/>
          <w:spacing w:val="20"/>
          <w:szCs w:val="28"/>
        </w:rPr>
        <w:t>intake and every 6 months</w:t>
      </w:r>
      <w:r>
        <w:rPr>
          <w:rFonts w:ascii="Franklin Gothic Book" w:hAnsi="Franklin Gothic Book"/>
          <w:color w:val="auto"/>
          <w:spacing w:val="20"/>
          <w:szCs w:val="28"/>
        </w:rPr>
        <w:t xml:space="preserve">) to ensure </w:t>
      </w:r>
      <w:r w:rsidRPr="004D329D">
        <w:rPr>
          <w:rFonts w:ascii="Franklin Gothic Book" w:hAnsi="Franklin Gothic Book"/>
          <w:color w:val="auto"/>
          <w:spacing w:val="20"/>
          <w:szCs w:val="28"/>
        </w:rPr>
        <w:t>mental health needs are</w:t>
      </w:r>
      <w:r>
        <w:rPr>
          <w:rFonts w:ascii="Franklin Gothic Book" w:hAnsi="Franklin Gothic Book"/>
          <w:color w:val="auto"/>
          <w:spacing w:val="20"/>
          <w:szCs w:val="28"/>
        </w:rPr>
        <w:t xml:space="preserve"> met.</w:t>
      </w:r>
    </w:p>
    <w:p w:rsidR="00D86A11" w:rsidRPr="004D329D"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 xml:space="preserve">Review of existing support to reduce burnout </w:t>
      </w:r>
    </w:p>
    <w:p w:rsidR="00D86A11" w:rsidRPr="00CB21A5" w:rsidRDefault="00D86A11" w:rsidP="00D86A11">
      <w:pPr>
        <w:pStyle w:val="Heading1"/>
        <w:rPr>
          <w:color w:val="F6872B"/>
          <w:sz w:val="24"/>
        </w:rPr>
      </w:pPr>
      <w:r w:rsidRPr="00CB21A5">
        <w:rPr>
          <w:color w:val="F6872B"/>
          <w:sz w:val="24"/>
        </w:rPr>
        <w:lastRenderedPageBreak/>
        <w:t>Resources</w:t>
      </w:r>
    </w:p>
    <w:p w:rsidR="00D86A11" w:rsidRPr="00E96F75" w:rsidRDefault="00D86A11" w:rsidP="00D86A11">
      <w:pPr>
        <w:numPr>
          <w:ilvl w:val="0"/>
          <w:numId w:val="16"/>
        </w:numPr>
        <w:rPr>
          <w:rFonts w:ascii="Franklin Gothic Book" w:hAnsi="Franklin Gothic Book"/>
          <w:color w:val="auto"/>
          <w:spacing w:val="20"/>
          <w:szCs w:val="28"/>
        </w:rPr>
      </w:pPr>
      <w:r w:rsidRPr="00E96F75">
        <w:rPr>
          <w:rFonts w:ascii="Franklin Gothic Book" w:hAnsi="Franklin Gothic Book"/>
          <w:color w:val="auto"/>
          <w:spacing w:val="20"/>
          <w:szCs w:val="28"/>
        </w:rPr>
        <w:t xml:space="preserve">Use wraparound as preventive and step down in </w:t>
      </w:r>
      <w:r>
        <w:rPr>
          <w:rFonts w:ascii="Franklin Gothic Book" w:hAnsi="Franklin Gothic Book"/>
          <w:color w:val="auto"/>
          <w:spacing w:val="20"/>
          <w:szCs w:val="28"/>
        </w:rPr>
        <w:t>partnership with department of behavioral health to reduce re-</w:t>
      </w:r>
      <w:r w:rsidRPr="00E96F75">
        <w:rPr>
          <w:rFonts w:ascii="Franklin Gothic Book" w:hAnsi="Franklin Gothic Book"/>
          <w:color w:val="auto"/>
          <w:spacing w:val="20"/>
          <w:szCs w:val="28"/>
        </w:rPr>
        <w:t>entries and spe</w:t>
      </w:r>
      <w:r>
        <w:rPr>
          <w:rFonts w:ascii="Franklin Gothic Book" w:hAnsi="Franklin Gothic Book"/>
          <w:color w:val="auto"/>
          <w:spacing w:val="20"/>
          <w:szCs w:val="28"/>
        </w:rPr>
        <w:t>e</w:t>
      </w:r>
      <w:r w:rsidRPr="00E96F75">
        <w:rPr>
          <w:rFonts w:ascii="Franklin Gothic Book" w:hAnsi="Franklin Gothic Book"/>
          <w:color w:val="auto"/>
          <w:spacing w:val="20"/>
          <w:szCs w:val="28"/>
        </w:rPr>
        <w:t>d up reunification</w:t>
      </w:r>
      <w:r>
        <w:rPr>
          <w:rFonts w:ascii="Franklin Gothic Book" w:hAnsi="Franklin Gothic Book"/>
          <w:color w:val="auto"/>
          <w:spacing w:val="20"/>
          <w:szCs w:val="28"/>
        </w:rPr>
        <w:t xml:space="preserve"> </w:t>
      </w:r>
    </w:p>
    <w:p w:rsidR="00D86A11"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Maximize use of volunteers by having a volunteer coordinator to assist with outreach and educational activities</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B63573">
        <w:rPr>
          <w:rFonts w:ascii="Franklin Gothic Book" w:hAnsi="Franklin Gothic Book"/>
          <w:color w:val="auto"/>
          <w:spacing w:val="20"/>
          <w:szCs w:val="28"/>
        </w:rPr>
        <w:t>Centralized data entry clerk for CWS/CMS data to ensure information is current</w:t>
      </w:r>
    </w:p>
    <w:p w:rsidR="00D86A11"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 xml:space="preserve">Consider having </w:t>
      </w:r>
      <w:r w:rsidRPr="00D6333A">
        <w:rPr>
          <w:rFonts w:ascii="Franklin Gothic Book" w:hAnsi="Franklin Gothic Book"/>
          <w:color w:val="auto"/>
          <w:spacing w:val="20"/>
          <w:szCs w:val="28"/>
        </w:rPr>
        <w:t xml:space="preserve">after hours on call unit to help with immediate response referrals </w:t>
      </w:r>
      <w:r>
        <w:rPr>
          <w:rFonts w:ascii="Franklin Gothic Book" w:hAnsi="Franklin Gothic Book"/>
          <w:color w:val="auto"/>
          <w:spacing w:val="20"/>
          <w:szCs w:val="28"/>
        </w:rPr>
        <w:t xml:space="preserve">as a specialized unit. </w:t>
      </w:r>
    </w:p>
    <w:p w:rsidR="00D86A11"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F</w:t>
      </w:r>
      <w:r w:rsidRPr="00886E0A">
        <w:rPr>
          <w:rFonts w:ascii="Franklin Gothic Book" w:hAnsi="Franklin Gothic Book"/>
          <w:color w:val="auto"/>
          <w:spacing w:val="20"/>
          <w:szCs w:val="28"/>
        </w:rPr>
        <w:t xml:space="preserve">lexible </w:t>
      </w:r>
      <w:r>
        <w:rPr>
          <w:rFonts w:ascii="Franklin Gothic Book" w:hAnsi="Franklin Gothic Book"/>
          <w:color w:val="auto"/>
          <w:spacing w:val="20"/>
          <w:szCs w:val="28"/>
        </w:rPr>
        <w:t xml:space="preserve">hours, including </w:t>
      </w:r>
      <w:r w:rsidRPr="00886E0A">
        <w:rPr>
          <w:rFonts w:ascii="Franklin Gothic Book" w:hAnsi="Franklin Gothic Book"/>
          <w:color w:val="auto"/>
          <w:spacing w:val="20"/>
          <w:szCs w:val="28"/>
        </w:rPr>
        <w:t xml:space="preserve">Saturdays and evenings </w:t>
      </w:r>
      <w:r>
        <w:rPr>
          <w:rFonts w:ascii="Franklin Gothic Book" w:hAnsi="Franklin Gothic Book"/>
          <w:color w:val="auto"/>
          <w:spacing w:val="20"/>
          <w:szCs w:val="28"/>
        </w:rPr>
        <w:t xml:space="preserve"> </w:t>
      </w:r>
    </w:p>
    <w:p w:rsidR="00D86A11" w:rsidRPr="000933FE" w:rsidRDefault="00D86A11" w:rsidP="00D86A11">
      <w:pPr>
        <w:numPr>
          <w:ilvl w:val="0"/>
          <w:numId w:val="16"/>
        </w:numPr>
        <w:spacing w:before="120" w:after="0"/>
        <w:ind w:right="130"/>
        <w:rPr>
          <w:rFonts w:ascii="Franklin Gothic Book" w:hAnsi="Franklin Gothic Book"/>
          <w:color w:val="auto"/>
          <w:spacing w:val="20"/>
          <w:szCs w:val="28"/>
        </w:rPr>
      </w:pPr>
      <w:r w:rsidRPr="000933FE">
        <w:rPr>
          <w:rFonts w:ascii="Franklin Gothic Book" w:hAnsi="Franklin Gothic Book"/>
          <w:color w:val="auto"/>
          <w:spacing w:val="20"/>
          <w:szCs w:val="28"/>
        </w:rPr>
        <w:t>Consider the use of a referral desk to help workers with resources in the community</w:t>
      </w:r>
    </w:p>
    <w:p w:rsidR="00D86A11"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Consider utilizing interns to support staff work</w:t>
      </w:r>
    </w:p>
    <w:p w:rsidR="00D86A11" w:rsidRPr="00AD2892"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Objective/neutral forum</w:t>
      </w:r>
      <w:r w:rsidRPr="00DF65C2">
        <w:rPr>
          <w:rFonts w:ascii="Franklin Gothic Book" w:hAnsi="Franklin Gothic Book"/>
          <w:color w:val="auto"/>
          <w:spacing w:val="20"/>
          <w:szCs w:val="28"/>
        </w:rPr>
        <w:t xml:space="preserve"> to address disagreement</w:t>
      </w:r>
      <w:r>
        <w:rPr>
          <w:rFonts w:ascii="Franklin Gothic Book" w:hAnsi="Franklin Gothic Book"/>
          <w:color w:val="auto"/>
          <w:spacing w:val="20"/>
          <w:szCs w:val="28"/>
        </w:rPr>
        <w:t xml:space="preserve"> between worker and supervisor in order to build worker skill and confidence</w:t>
      </w:r>
    </w:p>
    <w:p w:rsidR="00D86A11" w:rsidRPr="00CB21A5" w:rsidRDefault="00D86A11" w:rsidP="00D86A11">
      <w:pPr>
        <w:pStyle w:val="Heading1"/>
        <w:rPr>
          <w:color w:val="F6872B"/>
          <w:sz w:val="24"/>
        </w:rPr>
      </w:pPr>
      <w:r w:rsidRPr="00CB21A5">
        <w:rPr>
          <w:color w:val="F6872B"/>
          <w:sz w:val="24"/>
        </w:rPr>
        <w:t>Policies/Procedures</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B63573">
        <w:rPr>
          <w:rFonts w:ascii="Franklin Gothic Book" w:hAnsi="Franklin Gothic Book"/>
          <w:color w:val="auto"/>
          <w:spacing w:val="20"/>
          <w:szCs w:val="28"/>
        </w:rPr>
        <w:t xml:space="preserve">Lower caseloads </w:t>
      </w:r>
      <w:r>
        <w:rPr>
          <w:rFonts w:ascii="Franklin Gothic Book" w:hAnsi="Franklin Gothic Book"/>
          <w:color w:val="auto"/>
          <w:spacing w:val="20"/>
          <w:szCs w:val="28"/>
        </w:rPr>
        <w:t>or hire more staff</w:t>
      </w:r>
      <w:r w:rsidRPr="00B63573">
        <w:rPr>
          <w:rFonts w:ascii="Franklin Gothic Book" w:hAnsi="Franklin Gothic Book"/>
          <w:color w:val="auto"/>
          <w:spacing w:val="20"/>
          <w:szCs w:val="28"/>
        </w:rPr>
        <w:t xml:space="preserve"> so more time can be spent with engagement of clients</w:t>
      </w:r>
    </w:p>
    <w:p w:rsidR="00D86A11" w:rsidRDefault="00D86A11" w:rsidP="00D86A11">
      <w:pPr>
        <w:numPr>
          <w:ilvl w:val="1"/>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Recommend a maximum caseload of 15 for Probation</w:t>
      </w:r>
    </w:p>
    <w:p w:rsidR="00D86A11" w:rsidRDefault="00D86A11" w:rsidP="00D86A11">
      <w:pPr>
        <w:spacing w:before="120" w:after="0"/>
        <w:ind w:left="1440" w:right="130"/>
        <w:rPr>
          <w:rFonts w:ascii="Franklin Gothic Book" w:hAnsi="Franklin Gothic Book"/>
          <w:color w:val="auto"/>
          <w:spacing w:val="20"/>
          <w:szCs w:val="28"/>
        </w:rPr>
      </w:pPr>
    </w:p>
    <w:p w:rsidR="00D86A11" w:rsidRPr="001E63AD" w:rsidRDefault="00D86A11" w:rsidP="00D86A11">
      <w:pPr>
        <w:numPr>
          <w:ilvl w:val="0"/>
          <w:numId w:val="16"/>
        </w:numPr>
        <w:rPr>
          <w:rFonts w:ascii="Franklin Gothic Book" w:hAnsi="Franklin Gothic Book"/>
          <w:color w:val="auto"/>
          <w:spacing w:val="20"/>
          <w:szCs w:val="28"/>
        </w:rPr>
      </w:pPr>
      <w:r>
        <w:rPr>
          <w:rFonts w:ascii="Franklin Gothic Book" w:hAnsi="Franklin Gothic Book"/>
          <w:color w:val="auto"/>
          <w:spacing w:val="20"/>
          <w:szCs w:val="28"/>
        </w:rPr>
        <w:t xml:space="preserve">Clearer policy for exiting youth from </w:t>
      </w:r>
      <w:r w:rsidRPr="001E63AD">
        <w:rPr>
          <w:rFonts w:ascii="Franklin Gothic Book" w:hAnsi="Franklin Gothic Book"/>
          <w:color w:val="auto"/>
          <w:spacing w:val="20"/>
          <w:szCs w:val="28"/>
        </w:rPr>
        <w:t>probation placements when probation issues have been dealt with</w:t>
      </w:r>
      <w:r>
        <w:rPr>
          <w:rFonts w:ascii="Franklin Gothic Book" w:hAnsi="Franklin Gothic Book"/>
          <w:color w:val="auto"/>
          <w:spacing w:val="20"/>
          <w:szCs w:val="28"/>
        </w:rPr>
        <w:t xml:space="preserve">, including referral/transfer to </w:t>
      </w:r>
      <w:r w:rsidRPr="001E63AD">
        <w:rPr>
          <w:rFonts w:ascii="Franklin Gothic Book" w:hAnsi="Franklin Gothic Book"/>
          <w:color w:val="auto"/>
          <w:spacing w:val="20"/>
          <w:szCs w:val="28"/>
        </w:rPr>
        <w:t>CWS</w:t>
      </w:r>
    </w:p>
    <w:p w:rsidR="00D86A11" w:rsidRPr="00B63573"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 xml:space="preserve">Require in person home checks before placing child/youth </w:t>
      </w:r>
    </w:p>
    <w:p w:rsidR="00D86A11" w:rsidRDefault="00D86A11" w:rsidP="00D86A11">
      <w:pPr>
        <w:numPr>
          <w:ilvl w:val="0"/>
          <w:numId w:val="16"/>
        </w:numPr>
        <w:spacing w:before="120" w:after="0"/>
        <w:ind w:right="130"/>
        <w:rPr>
          <w:rFonts w:ascii="Franklin Gothic Book" w:hAnsi="Franklin Gothic Book"/>
          <w:color w:val="auto"/>
          <w:spacing w:val="20"/>
          <w:szCs w:val="28"/>
        </w:rPr>
      </w:pPr>
      <w:r>
        <w:rPr>
          <w:rFonts w:ascii="Franklin Gothic Book" w:hAnsi="Franklin Gothic Book"/>
          <w:color w:val="auto"/>
          <w:spacing w:val="20"/>
          <w:szCs w:val="28"/>
        </w:rPr>
        <w:t>If audits are performed, the assigned staff should not be part of that audit</w:t>
      </w:r>
    </w:p>
    <w:p w:rsidR="00D86A11" w:rsidRPr="00B63573" w:rsidRDefault="00D86A11" w:rsidP="00D86A11">
      <w:pPr>
        <w:spacing w:before="120" w:after="0"/>
        <w:ind w:left="720" w:right="130"/>
        <w:rPr>
          <w:rFonts w:ascii="Franklin Gothic Book" w:hAnsi="Franklin Gothic Book"/>
          <w:color w:val="auto"/>
          <w:spacing w:val="20"/>
          <w:szCs w:val="28"/>
        </w:rPr>
      </w:pPr>
    </w:p>
    <w:p w:rsidR="00D86A11" w:rsidRPr="00DB6ED8" w:rsidRDefault="00D86A11" w:rsidP="00D86A11">
      <w:pPr>
        <w:numPr>
          <w:ilvl w:val="0"/>
          <w:numId w:val="16"/>
        </w:numPr>
        <w:rPr>
          <w:rFonts w:ascii="Franklin Gothic Book" w:hAnsi="Franklin Gothic Book"/>
          <w:color w:val="auto"/>
          <w:spacing w:val="20"/>
          <w:szCs w:val="28"/>
        </w:rPr>
      </w:pPr>
      <w:r w:rsidRPr="00DB6ED8">
        <w:rPr>
          <w:rFonts w:ascii="Franklin Gothic Book" w:hAnsi="Franklin Gothic Book"/>
          <w:color w:val="auto"/>
          <w:spacing w:val="20"/>
          <w:szCs w:val="28"/>
        </w:rPr>
        <w:t>Give group home goals and objectives and work off that case plan, sometimes group homes want to keep kids longer that are easy</w:t>
      </w:r>
    </w:p>
    <w:p w:rsidR="00D86A11" w:rsidRPr="00DB6ED8" w:rsidRDefault="00D86A11" w:rsidP="00D86A11">
      <w:pPr>
        <w:numPr>
          <w:ilvl w:val="0"/>
          <w:numId w:val="16"/>
        </w:numPr>
        <w:rPr>
          <w:rFonts w:ascii="Franklin Gothic Book" w:hAnsi="Franklin Gothic Book"/>
          <w:color w:val="auto"/>
          <w:spacing w:val="20"/>
          <w:szCs w:val="28"/>
        </w:rPr>
      </w:pPr>
      <w:r>
        <w:rPr>
          <w:rFonts w:ascii="Franklin Gothic Book" w:hAnsi="Franklin Gothic Book"/>
          <w:color w:val="auto"/>
          <w:spacing w:val="20"/>
          <w:szCs w:val="28"/>
        </w:rPr>
        <w:t xml:space="preserve">For children in group homes, develop a case plan with specific </w:t>
      </w:r>
      <w:r w:rsidRPr="00DB6ED8">
        <w:rPr>
          <w:rFonts w:ascii="Franklin Gothic Book" w:hAnsi="Franklin Gothic Book"/>
          <w:color w:val="auto"/>
          <w:spacing w:val="20"/>
          <w:szCs w:val="28"/>
        </w:rPr>
        <w:t>goals and objectives and work off that case plan</w:t>
      </w:r>
      <w:r>
        <w:rPr>
          <w:rFonts w:ascii="Franklin Gothic Book" w:hAnsi="Franklin Gothic Book"/>
          <w:color w:val="auto"/>
          <w:spacing w:val="20"/>
          <w:szCs w:val="28"/>
        </w:rPr>
        <w:t xml:space="preserve"> </w:t>
      </w:r>
    </w:p>
    <w:p w:rsidR="00D86A11" w:rsidRPr="009D0F86" w:rsidRDefault="00D86A11" w:rsidP="00D86A11">
      <w:pPr>
        <w:numPr>
          <w:ilvl w:val="0"/>
          <w:numId w:val="16"/>
        </w:numPr>
        <w:rPr>
          <w:rFonts w:ascii="Franklin Gothic Book" w:hAnsi="Franklin Gothic Book"/>
          <w:color w:val="auto"/>
          <w:spacing w:val="20"/>
          <w:szCs w:val="28"/>
        </w:rPr>
      </w:pPr>
      <w:r>
        <w:rPr>
          <w:rFonts w:ascii="Franklin Gothic Book" w:hAnsi="Franklin Gothic Book"/>
          <w:color w:val="auto"/>
          <w:spacing w:val="20"/>
          <w:szCs w:val="28"/>
        </w:rPr>
        <w:t xml:space="preserve">Consider having the </w:t>
      </w:r>
      <w:r w:rsidRPr="009D0F86">
        <w:rPr>
          <w:rFonts w:ascii="Franklin Gothic Book" w:hAnsi="Franklin Gothic Book"/>
          <w:color w:val="auto"/>
          <w:spacing w:val="20"/>
          <w:szCs w:val="28"/>
        </w:rPr>
        <w:t>FR cases always go to FM first for aftercare</w:t>
      </w:r>
      <w:r>
        <w:rPr>
          <w:rFonts w:ascii="Franklin Gothic Book" w:hAnsi="Franklin Gothic Book"/>
          <w:color w:val="auto"/>
          <w:spacing w:val="20"/>
          <w:szCs w:val="28"/>
        </w:rPr>
        <w:t xml:space="preserve"> to reduce </w:t>
      </w:r>
      <w:r w:rsidRPr="009D0F86">
        <w:rPr>
          <w:rFonts w:ascii="Franklin Gothic Book" w:hAnsi="Franklin Gothic Book"/>
          <w:color w:val="auto"/>
          <w:spacing w:val="20"/>
          <w:szCs w:val="28"/>
        </w:rPr>
        <w:t xml:space="preserve"> lapse of services</w:t>
      </w:r>
      <w:r>
        <w:rPr>
          <w:rFonts w:ascii="Franklin Gothic Book" w:hAnsi="Franklin Gothic Book"/>
          <w:color w:val="auto"/>
          <w:spacing w:val="20"/>
          <w:szCs w:val="28"/>
        </w:rPr>
        <w:t xml:space="preserve"> </w:t>
      </w:r>
    </w:p>
    <w:p w:rsidR="00D86A11" w:rsidRPr="00B63573" w:rsidRDefault="00D86A11" w:rsidP="00D86A11">
      <w:pPr>
        <w:numPr>
          <w:ilvl w:val="0"/>
          <w:numId w:val="16"/>
        </w:numPr>
        <w:spacing w:before="120" w:after="0"/>
        <w:ind w:right="130"/>
        <w:rPr>
          <w:rFonts w:ascii="Franklin Gothic Book" w:hAnsi="Franklin Gothic Book"/>
          <w:color w:val="auto"/>
          <w:spacing w:val="20"/>
          <w:szCs w:val="28"/>
        </w:rPr>
      </w:pPr>
      <w:r w:rsidRPr="00B63573">
        <w:rPr>
          <w:rFonts w:ascii="Franklin Gothic Book" w:hAnsi="Franklin Gothic Book"/>
          <w:color w:val="auto"/>
          <w:spacing w:val="20"/>
          <w:szCs w:val="28"/>
        </w:rPr>
        <w:t>Court timelines/federal timelines do not equal recovery timeline</w:t>
      </w:r>
    </w:p>
    <w:p w:rsidR="00D86A11" w:rsidRPr="00B63573" w:rsidRDefault="00D86A11" w:rsidP="00D86A11">
      <w:pPr>
        <w:numPr>
          <w:ilvl w:val="0"/>
          <w:numId w:val="16"/>
        </w:numPr>
        <w:spacing w:before="120" w:after="0"/>
        <w:ind w:right="130"/>
        <w:rPr>
          <w:rFonts w:ascii="Franklin Gothic Book" w:hAnsi="Franklin Gothic Book"/>
          <w:color w:val="auto"/>
          <w:spacing w:val="20"/>
          <w:szCs w:val="28"/>
        </w:rPr>
      </w:pPr>
      <w:r w:rsidRPr="00B63573">
        <w:rPr>
          <w:rFonts w:ascii="Franklin Gothic Book" w:hAnsi="Franklin Gothic Book"/>
          <w:color w:val="auto"/>
          <w:spacing w:val="20"/>
          <w:szCs w:val="28"/>
        </w:rPr>
        <w:t>All family reunification case go to FM after child returned home for a minimum of 6 moths. FM extended by court if family not stable</w:t>
      </w:r>
    </w:p>
    <w:p w:rsidR="00D86A11" w:rsidRDefault="00D86A11" w:rsidP="00D86A11">
      <w:pPr>
        <w:numPr>
          <w:ilvl w:val="0"/>
          <w:numId w:val="16"/>
        </w:numPr>
        <w:spacing w:before="120" w:after="0"/>
        <w:ind w:right="130"/>
        <w:rPr>
          <w:rFonts w:ascii="Franklin Gothic Book" w:hAnsi="Franklin Gothic Book"/>
          <w:color w:val="auto"/>
          <w:spacing w:val="20"/>
          <w:szCs w:val="28"/>
        </w:rPr>
      </w:pPr>
      <w:r w:rsidRPr="00B63573">
        <w:rPr>
          <w:rFonts w:ascii="Franklin Gothic Book" w:hAnsi="Franklin Gothic Book"/>
          <w:color w:val="auto"/>
          <w:spacing w:val="20"/>
          <w:szCs w:val="28"/>
        </w:rPr>
        <w:t>Outcome training done by outside agency reporting number of children removed by each court room/judge</w:t>
      </w:r>
    </w:p>
    <w:p w:rsidR="00D86A11" w:rsidRDefault="00D86A11" w:rsidP="00D86A11">
      <w:pPr>
        <w:spacing w:before="120" w:after="0"/>
        <w:ind w:right="130"/>
        <w:rPr>
          <w:rFonts w:ascii="Franklin Gothic Book" w:hAnsi="Franklin Gothic Book"/>
          <w:color w:val="auto"/>
          <w:spacing w:val="20"/>
          <w:szCs w:val="28"/>
        </w:rPr>
      </w:pPr>
    </w:p>
    <w:p w:rsidR="000C3F51" w:rsidRDefault="000C3F51" w:rsidP="00D86A11">
      <w:pPr>
        <w:spacing w:before="120" w:after="0"/>
        <w:ind w:right="130"/>
        <w:rPr>
          <w:rFonts w:ascii="Franklin Gothic Book" w:hAnsi="Franklin Gothic Book"/>
          <w:color w:val="auto"/>
          <w:spacing w:val="20"/>
          <w:szCs w:val="28"/>
        </w:rPr>
      </w:pPr>
    </w:p>
    <w:p w:rsidR="000C3F51" w:rsidRPr="00B63573" w:rsidRDefault="000C3F51" w:rsidP="00D86A11">
      <w:pPr>
        <w:spacing w:before="120" w:after="0"/>
        <w:ind w:right="130"/>
        <w:rPr>
          <w:rFonts w:ascii="Franklin Gothic Book" w:hAnsi="Franklin Gothic Book"/>
          <w:color w:val="auto"/>
          <w:spacing w:val="20"/>
          <w:szCs w:val="28"/>
        </w:rPr>
      </w:pPr>
    </w:p>
    <w:tbl>
      <w:tblPr>
        <w:tblW w:w="9529" w:type="dxa"/>
        <w:jc w:val="center"/>
        <w:tblCellMar>
          <w:top w:w="144" w:type="dxa"/>
          <w:left w:w="0" w:type="dxa"/>
          <w:bottom w:w="144" w:type="dxa"/>
          <w:right w:w="0" w:type="dxa"/>
        </w:tblCellMar>
        <w:tblLook w:val="04A0" w:firstRow="1" w:lastRow="0" w:firstColumn="1" w:lastColumn="0" w:noHBand="0" w:noVBand="1"/>
      </w:tblPr>
      <w:tblGrid>
        <w:gridCol w:w="9529"/>
      </w:tblGrid>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r w:rsidR="00D86A11" w:rsidRPr="00002D1D">
        <w:trPr>
          <w:trHeight w:val="70"/>
          <w:jc w:val="center"/>
        </w:trPr>
        <w:tc>
          <w:tcPr>
            <w:tcW w:w="0" w:type="auto"/>
            <w:shd w:val="clear" w:color="auto" w:fill="013161"/>
            <w:vAlign w:val="center"/>
          </w:tcPr>
          <w:p w:rsidR="000B1863" w:rsidRDefault="00D86A11">
            <w:pPr>
              <w:pStyle w:val="MediumGrid21"/>
              <w:numPr>
                <w:ilvl w:val="0"/>
                <w:numId w:val="17"/>
              </w:numPr>
              <w:jc w:val="center"/>
              <w:rPr>
                <w:rFonts w:ascii="Franklin Gothic Book" w:eastAsia="HGGothicM" w:hAnsi="Franklin Gothic Book" w:cs="Tahoma"/>
                <w:color w:val="FFFFFF"/>
                <w:sz w:val="48"/>
                <w:szCs w:val="72"/>
              </w:rPr>
            </w:pPr>
            <w:r>
              <w:rPr>
                <w:rFonts w:eastAsia="HGGothicM" w:cs="Calibri"/>
                <w:color w:val="FFFFFF"/>
                <w:sz w:val="44"/>
                <w:szCs w:val="64"/>
              </w:rPr>
              <w:t>Outcome Data Measures</w:t>
            </w:r>
          </w:p>
        </w:tc>
      </w:tr>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bl>
    <w:p w:rsidR="00D86A11" w:rsidRPr="002B151E" w:rsidRDefault="00D86A11" w:rsidP="00D86A11">
      <w:pPr>
        <w:pStyle w:val="Heading1"/>
        <w:rPr>
          <w:color w:val="013161"/>
        </w:rPr>
      </w:pPr>
      <w:r w:rsidRPr="002B151E">
        <w:rPr>
          <w:color w:val="013161"/>
        </w:rPr>
        <w:t>Child Welfare Outcome Measures</w:t>
      </w:r>
    </w:p>
    <w:p w:rsidR="00D86A11" w:rsidRPr="00281A73" w:rsidRDefault="00D86A11" w:rsidP="00D86A11">
      <w:pPr>
        <w:pStyle w:val="Heading2"/>
        <w:spacing w:line="276" w:lineRule="auto"/>
        <w:rPr>
          <w:color w:val="auto"/>
          <w:sz w:val="22"/>
          <w:szCs w:val="22"/>
        </w:rPr>
      </w:pPr>
      <w:r w:rsidRPr="00D5751F">
        <w:rPr>
          <w:b w:val="0"/>
          <w:color w:val="auto"/>
          <w:sz w:val="22"/>
        </w:rPr>
        <w:t xml:space="preserve">The statistics provided in this section were retrieved from the Child Welfare Indicators Project website, a joint venture of the California Department of Social Services and the University of California at Berkeley California (http://cssr.berkeley.edu/ucb_childwelfare). The source for outcome data is the CWS/CMS administrative data system used by all counties in the State of California (2015 Quarter 4 extract). To calculate rates, the website uses child population data from the 2015 California Department of Finance: 2010-2060 - Population Projections. Outcome data are reported for calendar years (January 1 </w:t>
      </w:r>
      <w:r w:rsidRPr="00281A73">
        <w:rPr>
          <w:b w:val="0"/>
          <w:color w:val="auto"/>
          <w:sz w:val="22"/>
        </w:rPr>
        <w:t>through December 31) unless otherwise noted.</w:t>
      </w:r>
      <w:r w:rsidRPr="00281A73">
        <w:rPr>
          <w:color w:val="auto"/>
          <w:sz w:val="22"/>
          <w:szCs w:val="22"/>
        </w:rPr>
        <w:t xml:space="preserve"> </w:t>
      </w:r>
      <w:r w:rsidRPr="00281A73">
        <w:rPr>
          <w:sz w:val="22"/>
          <w:szCs w:val="22"/>
        </w:rPr>
        <w:tab/>
      </w:r>
    </w:p>
    <w:p w:rsidR="00D86A11" w:rsidRPr="002B151E" w:rsidRDefault="00D86A11" w:rsidP="00D86A11">
      <w:pPr>
        <w:pStyle w:val="Heading1"/>
        <w:rPr>
          <w:color w:val="F6872B"/>
          <w:sz w:val="24"/>
        </w:rPr>
      </w:pPr>
      <w:r>
        <w:rPr>
          <w:color w:val="F6872B"/>
          <w:sz w:val="24"/>
        </w:rPr>
        <w:br w:type="page"/>
      </w:r>
      <w:r w:rsidRPr="002B151E">
        <w:rPr>
          <w:color w:val="F6872B"/>
          <w:sz w:val="24"/>
        </w:rPr>
        <w:lastRenderedPageBreak/>
        <w:t xml:space="preserve">3-S1 Maltreatment in Foster Care </w:t>
      </w:r>
    </w:p>
    <w:tbl>
      <w:tblPr>
        <w:tblW w:w="9630" w:type="dxa"/>
        <w:tblBorders>
          <w:top w:val="single" w:sz="18" w:space="0" w:color="F6872B"/>
          <w:bottom w:val="single" w:sz="18" w:space="0" w:color="F6872B"/>
        </w:tblBorders>
        <w:tblLook w:val="04A0" w:firstRow="1" w:lastRow="0" w:firstColumn="1" w:lastColumn="0" w:noHBand="0" w:noVBand="1"/>
      </w:tblPr>
      <w:tblGrid>
        <w:gridCol w:w="3330"/>
        <w:gridCol w:w="900"/>
        <w:gridCol w:w="1170"/>
        <w:gridCol w:w="1170"/>
        <w:gridCol w:w="1017"/>
        <w:gridCol w:w="1143"/>
        <w:gridCol w:w="900"/>
      </w:tblGrid>
      <w:tr w:rsidR="00D86A11" w:rsidRPr="00F16FD2">
        <w:trPr>
          <w:trHeight w:val="666"/>
        </w:trPr>
        <w:tc>
          <w:tcPr>
            <w:tcW w:w="9630" w:type="dxa"/>
            <w:gridSpan w:val="7"/>
            <w:shd w:val="clear" w:color="auto" w:fill="013161"/>
            <w:noWrap/>
          </w:tcPr>
          <w:p w:rsidR="00D86A11" w:rsidRPr="004C6FE7" w:rsidRDefault="00D86A11" w:rsidP="00D86A11">
            <w:pPr>
              <w:spacing w:after="0" w:line="240" w:lineRule="auto"/>
              <w:jc w:val="center"/>
              <w:rPr>
                <w:rFonts w:ascii="Calibri" w:eastAsia="Times New Roman" w:hAnsi="Calibri" w:cs="Arial"/>
                <w:b/>
                <w:color w:val="auto"/>
                <w:sz w:val="24"/>
              </w:rPr>
            </w:pPr>
            <w:r>
              <w:rPr>
                <w:rFonts w:ascii="Calibri" w:eastAsia="Times New Roman" w:hAnsi="Calibri" w:cs="Arial"/>
                <w:b/>
                <w:color w:val="auto"/>
                <w:sz w:val="24"/>
              </w:rPr>
              <w:t>Exhibit 53. County of S</w:t>
            </w:r>
            <w:r w:rsidRPr="004C6FE7">
              <w:rPr>
                <w:rFonts w:ascii="Calibri" w:eastAsia="Times New Roman" w:hAnsi="Calibri" w:cs="Arial"/>
                <w:b/>
                <w:color w:val="auto"/>
                <w:sz w:val="24"/>
              </w:rPr>
              <w:t>an Diego Maltreatment in Foster Care</w:t>
            </w:r>
          </w:p>
          <w:p w:rsidR="00D86A11" w:rsidRPr="000055D1" w:rsidRDefault="00D86A11" w:rsidP="00D86A11">
            <w:pPr>
              <w:spacing w:after="0" w:line="240" w:lineRule="auto"/>
              <w:jc w:val="center"/>
              <w:rPr>
                <w:rFonts w:ascii="Calibri" w:eastAsia="Times New Roman" w:hAnsi="Calibri" w:cs="Arial"/>
                <w:color w:val="auto"/>
              </w:rPr>
            </w:pPr>
            <w:r w:rsidRPr="000055D1">
              <w:rPr>
                <w:rFonts w:ascii="Calibri" w:eastAsia="Times New Roman" w:hAnsi="Calibri" w:cs="Arial"/>
                <w:color w:val="auto"/>
              </w:rPr>
              <w:t>Federal Standard 8.5 per 100,000 days; California at 8.59</w:t>
            </w:r>
          </w:p>
        </w:tc>
      </w:tr>
      <w:tr w:rsidR="00D86A11" w:rsidRPr="00F16FD2">
        <w:trPr>
          <w:trHeight w:val="255"/>
        </w:trPr>
        <w:tc>
          <w:tcPr>
            <w:tcW w:w="3330" w:type="dxa"/>
            <w:shd w:val="clear" w:color="auto" w:fill="013161"/>
            <w:noWrap/>
          </w:tcPr>
          <w:p w:rsidR="00D86A11" w:rsidRPr="00721EF1" w:rsidRDefault="00D86A11" w:rsidP="00D86A11">
            <w:pPr>
              <w:spacing w:after="0" w:line="240" w:lineRule="auto"/>
              <w:jc w:val="right"/>
              <w:rPr>
                <w:rFonts w:ascii="Calibri" w:eastAsia="Times New Roman" w:hAnsi="Calibri" w:cs="Arial"/>
                <w:b/>
                <w:color w:val="FFFFFF"/>
              </w:rPr>
            </w:pPr>
            <w:bookmarkStart w:id="1" w:name="OLE_LINK1"/>
          </w:p>
        </w:tc>
        <w:tc>
          <w:tcPr>
            <w:tcW w:w="90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2010</w:t>
            </w:r>
          </w:p>
        </w:tc>
        <w:tc>
          <w:tcPr>
            <w:tcW w:w="117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2011</w:t>
            </w:r>
          </w:p>
        </w:tc>
        <w:tc>
          <w:tcPr>
            <w:tcW w:w="117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2012</w:t>
            </w:r>
          </w:p>
        </w:tc>
        <w:tc>
          <w:tcPr>
            <w:tcW w:w="1017"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2013</w:t>
            </w:r>
          </w:p>
        </w:tc>
        <w:tc>
          <w:tcPr>
            <w:tcW w:w="1143"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2014</w:t>
            </w:r>
          </w:p>
        </w:tc>
        <w:tc>
          <w:tcPr>
            <w:tcW w:w="90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2015</w:t>
            </w:r>
          </w:p>
        </w:tc>
      </w:tr>
      <w:tr w:rsidR="00D86A11" w:rsidRPr="00F16FD2">
        <w:trPr>
          <w:trHeight w:val="255"/>
        </w:trPr>
        <w:tc>
          <w:tcPr>
            <w:tcW w:w="3330" w:type="dxa"/>
            <w:shd w:val="clear" w:color="auto" w:fill="auto"/>
            <w:noWrap/>
          </w:tcPr>
          <w:p w:rsidR="00D86A11" w:rsidRPr="00C0213B" w:rsidRDefault="00D86A11" w:rsidP="00D86A11">
            <w:pPr>
              <w:spacing w:after="0" w:line="240" w:lineRule="auto"/>
              <w:rPr>
                <w:rFonts w:ascii="Calibri" w:eastAsia="Times New Roman" w:hAnsi="Calibri" w:cs="Arial"/>
                <w:b/>
                <w:color w:val="013161"/>
                <w:sz w:val="20"/>
              </w:rPr>
            </w:pPr>
            <w:r w:rsidRPr="00C0213B">
              <w:rPr>
                <w:rFonts w:ascii="Calibri" w:eastAsia="Times New Roman" w:hAnsi="Calibri" w:cs="Arial"/>
                <w:b/>
                <w:color w:val="013161"/>
                <w:sz w:val="20"/>
              </w:rPr>
              <w:t>Rate of substantiated maltreatment (per 100,000 days)</w:t>
            </w:r>
          </w:p>
        </w:tc>
        <w:tc>
          <w:tcPr>
            <w:tcW w:w="900"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8.97</w:t>
            </w:r>
          </w:p>
        </w:tc>
        <w:tc>
          <w:tcPr>
            <w:tcW w:w="1170"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9.67</w:t>
            </w:r>
          </w:p>
        </w:tc>
        <w:tc>
          <w:tcPr>
            <w:tcW w:w="1170"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10.25</w:t>
            </w:r>
          </w:p>
        </w:tc>
        <w:tc>
          <w:tcPr>
            <w:tcW w:w="1017"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9.58</w:t>
            </w:r>
          </w:p>
        </w:tc>
        <w:tc>
          <w:tcPr>
            <w:tcW w:w="1143"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7.96</w:t>
            </w:r>
          </w:p>
        </w:tc>
        <w:tc>
          <w:tcPr>
            <w:tcW w:w="900"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7.13</w:t>
            </w:r>
          </w:p>
        </w:tc>
      </w:tr>
      <w:tr w:rsidR="00D86A11" w:rsidRPr="00F16FD2">
        <w:trPr>
          <w:trHeight w:val="255"/>
        </w:trPr>
        <w:tc>
          <w:tcPr>
            <w:tcW w:w="3330" w:type="dxa"/>
            <w:shd w:val="clear" w:color="auto" w:fill="DBE5F1"/>
            <w:noWrap/>
          </w:tcPr>
          <w:p w:rsidR="00D86A11" w:rsidRPr="00C0213B" w:rsidRDefault="00D86A11" w:rsidP="00D86A11">
            <w:pPr>
              <w:spacing w:after="0" w:line="240" w:lineRule="auto"/>
              <w:rPr>
                <w:rFonts w:ascii="Calibri" w:eastAsia="Times New Roman" w:hAnsi="Calibri" w:cs="Arial"/>
                <w:b/>
                <w:color w:val="013161"/>
                <w:sz w:val="20"/>
              </w:rPr>
            </w:pPr>
            <w:r w:rsidRPr="00C0213B">
              <w:rPr>
                <w:rFonts w:ascii="Calibri" w:eastAsia="Times New Roman" w:hAnsi="Calibri" w:cs="Arial"/>
                <w:b/>
                <w:color w:val="013161"/>
                <w:sz w:val="20"/>
              </w:rPr>
              <w:t>Instances of substantiated maltreatment (n)</w:t>
            </w:r>
          </w:p>
        </w:tc>
        <w:tc>
          <w:tcPr>
            <w:tcW w:w="900"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109</w:t>
            </w:r>
          </w:p>
        </w:tc>
        <w:tc>
          <w:tcPr>
            <w:tcW w:w="1170"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108</w:t>
            </w:r>
          </w:p>
        </w:tc>
        <w:tc>
          <w:tcPr>
            <w:tcW w:w="1170"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111</w:t>
            </w:r>
          </w:p>
        </w:tc>
        <w:tc>
          <w:tcPr>
            <w:tcW w:w="1017"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98</w:t>
            </w:r>
          </w:p>
        </w:tc>
        <w:tc>
          <w:tcPr>
            <w:tcW w:w="1143"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79</w:t>
            </w:r>
          </w:p>
        </w:tc>
        <w:tc>
          <w:tcPr>
            <w:tcW w:w="900"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67</w:t>
            </w:r>
          </w:p>
        </w:tc>
      </w:tr>
    </w:tbl>
    <w:bookmarkEnd w:id="1"/>
    <w:p w:rsidR="00D86A11" w:rsidRPr="002B151E" w:rsidRDefault="00D86A11" w:rsidP="00D86A11">
      <w:pPr>
        <w:pStyle w:val="Heading1"/>
        <w:rPr>
          <w:color w:val="2E7029"/>
          <w:sz w:val="24"/>
        </w:rPr>
      </w:pPr>
      <w:r w:rsidRPr="002B151E">
        <w:rPr>
          <w:color w:val="2E7029"/>
          <w:sz w:val="24"/>
        </w:rPr>
        <w:t>Analysis</w:t>
      </w:r>
    </w:p>
    <w:p w:rsidR="00D86A11" w:rsidRPr="00281A73" w:rsidRDefault="00D86A11" w:rsidP="00D86A11">
      <w:pPr>
        <w:spacing w:before="240"/>
        <w:rPr>
          <w:rFonts w:ascii="Franklin Gothic Book" w:hAnsi="Franklin Gothic Book"/>
          <w:color w:val="auto"/>
          <w:spacing w:val="20"/>
          <w:szCs w:val="22"/>
        </w:rPr>
      </w:pPr>
      <w:r w:rsidRPr="00281A73">
        <w:rPr>
          <w:rFonts w:ascii="Franklin Gothic Book" w:hAnsi="Franklin Gothic Book"/>
          <w:b/>
          <w:color w:val="auto"/>
          <w:spacing w:val="20"/>
          <w:szCs w:val="22"/>
        </w:rPr>
        <w:t>Trends</w:t>
      </w:r>
      <w:r w:rsidRPr="00281A73">
        <w:rPr>
          <w:rFonts w:ascii="Franklin Gothic Book" w:hAnsi="Franklin Gothic Book"/>
          <w:color w:val="auto"/>
          <w:spacing w:val="20"/>
          <w:szCs w:val="22"/>
        </w:rPr>
        <w:t xml:space="preserve">: </w:t>
      </w:r>
      <w:r>
        <w:rPr>
          <w:rFonts w:ascii="Franklin Gothic Book" w:hAnsi="Franklin Gothic Book"/>
          <w:color w:val="auto"/>
          <w:spacing w:val="20"/>
          <w:szCs w:val="22"/>
        </w:rPr>
        <w:t>The County of San Diego</w:t>
      </w:r>
      <w:r w:rsidRPr="00281A73">
        <w:rPr>
          <w:rFonts w:ascii="Franklin Gothic Book" w:hAnsi="Franklin Gothic Book"/>
          <w:color w:val="auto"/>
          <w:spacing w:val="20"/>
          <w:szCs w:val="22"/>
        </w:rPr>
        <w:t xml:space="preserve">’s rate of maltreatment of children in foster care has decreased since 2010 and for the last two years has been lower than the federal standard and is lower than the State’s current rate as well. In Calendar Year 2015, there were 67 substantiated reports of maltreatment of children in foster care, equating to a rate of 7.13 per 100,000 foster care days. </w:t>
      </w:r>
    </w:p>
    <w:p w:rsidR="00D86A11" w:rsidRPr="00281A73" w:rsidRDefault="00D86A11" w:rsidP="00D86A11">
      <w:pPr>
        <w:rPr>
          <w:rFonts w:ascii="Franklin Gothic Book" w:hAnsi="Franklin Gothic Book"/>
          <w:color w:val="auto"/>
          <w:spacing w:val="20"/>
          <w:szCs w:val="22"/>
        </w:rPr>
      </w:pPr>
      <w:r w:rsidRPr="00281A73">
        <w:rPr>
          <w:rFonts w:ascii="Franklin Gothic Book" w:hAnsi="Franklin Gothic Book"/>
          <w:b/>
          <w:color w:val="auto"/>
          <w:spacing w:val="20"/>
          <w:szCs w:val="22"/>
        </w:rPr>
        <w:t>Race/Ethnicity:</w:t>
      </w:r>
      <w:r w:rsidRPr="00281A73">
        <w:rPr>
          <w:rFonts w:ascii="Franklin Gothic Book" w:hAnsi="Franklin Gothic Book"/>
          <w:color w:val="auto"/>
          <w:spacing w:val="20"/>
          <w:szCs w:val="22"/>
        </w:rPr>
        <w:t xml:space="preserve"> At 47, Latino children had the highest number of reports (rate=9.7) in 2015; White children had 11 reports (rate=4.6), and Black children had 9 reports (rate=5.4). </w:t>
      </w:r>
    </w:p>
    <w:p w:rsidR="00D86A11" w:rsidRPr="00281A73" w:rsidRDefault="00D86A11" w:rsidP="00D86A11">
      <w:pPr>
        <w:spacing w:after="0"/>
        <w:rPr>
          <w:rFonts w:ascii="Franklin Gothic Book" w:hAnsi="Franklin Gothic Book"/>
          <w:color w:val="auto"/>
          <w:spacing w:val="20"/>
          <w:szCs w:val="22"/>
        </w:rPr>
      </w:pPr>
      <w:r w:rsidRPr="00281A73">
        <w:rPr>
          <w:rFonts w:ascii="Franklin Gothic Book" w:hAnsi="Franklin Gothic Book"/>
          <w:b/>
          <w:color w:val="auto"/>
          <w:spacing w:val="20"/>
          <w:szCs w:val="22"/>
        </w:rPr>
        <w:t>Age:</w:t>
      </w:r>
      <w:r w:rsidRPr="00281A73">
        <w:rPr>
          <w:rFonts w:ascii="Franklin Gothic Book" w:hAnsi="Franklin Gothic Book"/>
          <w:color w:val="auto"/>
          <w:spacing w:val="20"/>
          <w:szCs w:val="22"/>
        </w:rPr>
        <w:t xml:space="preserve"> Eighteen of the maltreatment instances in 2015 were for children aged 2 or younger; 17 were for children ages 3-5; 17 were for ages 6-10; 11 were for ages 11-15; and 4 were for ages 16-17. The highest rate, 9.54, was among 3-5 year olds, and the lowest, 3.48, was for children under the age of 1.</w:t>
      </w:r>
    </w:p>
    <w:p w:rsidR="00D86A11" w:rsidRPr="009D6B05" w:rsidRDefault="00D86A11" w:rsidP="00D86A11">
      <w:pPr>
        <w:pStyle w:val="Heading2"/>
        <w:spacing w:line="276" w:lineRule="auto"/>
        <w:rPr>
          <w:b w:val="0"/>
          <w:color w:val="auto"/>
          <w:sz w:val="22"/>
        </w:rPr>
      </w:pPr>
      <w:r w:rsidRPr="009D6B05">
        <w:rPr>
          <w:b w:val="0"/>
          <w:color w:val="auto"/>
          <w:sz w:val="22"/>
        </w:rPr>
        <w:t xml:space="preserve">The improvement in this outcome measure has likely been impacted by recent improvements in approval processes, support, and training for caregivers. In 2012, the County began implementing “Melding” to improve permanency and the quality of foster care by requiring new foster parents to receive the same training and complete the same home approval process as adoptive parents. CWS also increased Kinship Navigator services for relative caregivers and implemented </w:t>
      </w:r>
      <w:r>
        <w:rPr>
          <w:b w:val="0"/>
          <w:color w:val="auto"/>
          <w:sz w:val="22"/>
        </w:rPr>
        <w:t xml:space="preserve">211 </w:t>
      </w:r>
      <w:r w:rsidRPr="009D6B05">
        <w:rPr>
          <w:b w:val="0"/>
          <w:color w:val="auto"/>
          <w:sz w:val="22"/>
        </w:rPr>
        <w:t xml:space="preserve">iFoster, an online portal where caregivers can access services and discounts.  </w:t>
      </w:r>
    </w:p>
    <w:p w:rsidR="00D86A11" w:rsidRPr="00D83C75" w:rsidRDefault="00D86A11" w:rsidP="00D86A11">
      <w:pPr>
        <w:pStyle w:val="Heading1"/>
        <w:rPr>
          <w:color w:val="F6872B"/>
          <w:sz w:val="24"/>
        </w:rPr>
      </w:pPr>
      <w:r w:rsidRPr="00D83C75">
        <w:rPr>
          <w:color w:val="F6872B"/>
          <w:sz w:val="24"/>
        </w:rPr>
        <w:t>3-S2 Recurrence of Maltreatment</w:t>
      </w:r>
    </w:p>
    <w:tbl>
      <w:tblPr>
        <w:tblW w:w="9108" w:type="dxa"/>
        <w:tblBorders>
          <w:top w:val="single" w:sz="18" w:space="0" w:color="F6872B"/>
          <w:bottom w:val="single" w:sz="18" w:space="0" w:color="F6872B"/>
        </w:tblBorders>
        <w:tblLook w:val="04A0" w:firstRow="1" w:lastRow="0" w:firstColumn="1" w:lastColumn="0" w:noHBand="0" w:noVBand="1"/>
      </w:tblPr>
      <w:tblGrid>
        <w:gridCol w:w="3108"/>
        <w:gridCol w:w="1050"/>
        <w:gridCol w:w="990"/>
        <w:gridCol w:w="1080"/>
        <w:gridCol w:w="777"/>
        <w:gridCol w:w="1023"/>
        <w:gridCol w:w="1080"/>
      </w:tblGrid>
      <w:tr w:rsidR="00D86A11" w:rsidRPr="00F14557">
        <w:trPr>
          <w:trHeight w:val="702"/>
        </w:trPr>
        <w:tc>
          <w:tcPr>
            <w:tcW w:w="9108" w:type="dxa"/>
            <w:gridSpan w:val="7"/>
            <w:shd w:val="clear" w:color="auto" w:fill="013161"/>
            <w:noWrap/>
          </w:tcPr>
          <w:p w:rsidR="00D86A11" w:rsidRPr="004C6FE7" w:rsidRDefault="00D86A11" w:rsidP="00D86A11">
            <w:pPr>
              <w:tabs>
                <w:tab w:val="left" w:pos="1453"/>
                <w:tab w:val="center" w:pos="3853"/>
              </w:tabs>
              <w:spacing w:after="0" w:line="240" w:lineRule="auto"/>
              <w:rPr>
                <w:rFonts w:ascii="Calibri" w:eastAsia="Times New Roman" w:hAnsi="Calibri" w:cs="Arial"/>
                <w:b/>
                <w:color w:val="auto"/>
                <w:sz w:val="24"/>
              </w:rPr>
            </w:pPr>
            <w:r>
              <w:rPr>
                <w:rFonts w:ascii="Calibri" w:eastAsia="Times New Roman" w:hAnsi="Calibri" w:cs="Arial"/>
                <w:b/>
                <w:color w:val="auto"/>
                <w:sz w:val="24"/>
              </w:rPr>
              <w:tab/>
              <w:t xml:space="preserve">Exhibit 54. </w:t>
            </w:r>
            <w:r>
              <w:rPr>
                <w:rFonts w:ascii="Calibri" w:eastAsia="Times New Roman" w:hAnsi="Calibri" w:cs="Arial"/>
                <w:b/>
                <w:color w:val="auto"/>
                <w:sz w:val="24"/>
              </w:rPr>
              <w:tab/>
              <w:t xml:space="preserve">County of </w:t>
            </w:r>
            <w:r w:rsidRPr="004C6FE7">
              <w:rPr>
                <w:rFonts w:ascii="Calibri" w:eastAsia="Times New Roman" w:hAnsi="Calibri" w:cs="Arial"/>
                <w:b/>
                <w:color w:val="auto"/>
                <w:sz w:val="24"/>
              </w:rPr>
              <w:t>San Diego Recurrence of Maltreatment</w:t>
            </w:r>
          </w:p>
          <w:p w:rsidR="00D86A11" w:rsidRPr="000055D1" w:rsidRDefault="00D86A11" w:rsidP="00D86A11">
            <w:pPr>
              <w:spacing w:after="0" w:line="240" w:lineRule="auto"/>
              <w:jc w:val="center"/>
              <w:rPr>
                <w:rFonts w:ascii="Calibri" w:eastAsia="Times New Roman" w:hAnsi="Calibri" w:cs="Arial"/>
                <w:b/>
                <w:color w:val="auto"/>
              </w:rPr>
            </w:pPr>
            <w:r w:rsidRPr="000055D1">
              <w:rPr>
                <w:rFonts w:ascii="Calibri" w:eastAsia="Times New Roman" w:hAnsi="Calibri" w:cs="Arial"/>
                <w:color w:val="auto"/>
              </w:rPr>
              <w:t>Federal Standard 9.1%; California at 9.8%</w:t>
            </w:r>
          </w:p>
        </w:tc>
      </w:tr>
      <w:tr w:rsidR="00D86A11" w:rsidRPr="000055D1">
        <w:trPr>
          <w:trHeight w:val="310"/>
        </w:trPr>
        <w:tc>
          <w:tcPr>
            <w:tcW w:w="3108" w:type="dxa"/>
            <w:shd w:val="clear" w:color="auto" w:fill="013161"/>
            <w:noWrap/>
          </w:tcPr>
          <w:p w:rsidR="00D86A11" w:rsidRPr="00721EF1" w:rsidRDefault="00D86A11" w:rsidP="00D86A11">
            <w:pPr>
              <w:spacing w:after="0" w:line="240" w:lineRule="auto"/>
              <w:rPr>
                <w:rFonts w:ascii="Calibri" w:eastAsia="Times New Roman" w:hAnsi="Calibri" w:cs="Arial"/>
                <w:b/>
                <w:color w:val="FFFFFF"/>
              </w:rPr>
            </w:pPr>
            <w:r w:rsidRPr="00721EF1">
              <w:rPr>
                <w:rFonts w:ascii="Calibri" w:eastAsia="Times New Roman" w:hAnsi="Calibri" w:cs="Arial"/>
                <w:b/>
                <w:color w:val="FFFFFF"/>
              </w:rPr>
              <w:t> </w:t>
            </w:r>
          </w:p>
        </w:tc>
        <w:tc>
          <w:tcPr>
            <w:tcW w:w="105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2009</w:t>
            </w:r>
          </w:p>
        </w:tc>
        <w:tc>
          <w:tcPr>
            <w:tcW w:w="99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2010</w:t>
            </w:r>
          </w:p>
        </w:tc>
        <w:tc>
          <w:tcPr>
            <w:tcW w:w="108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2011</w:t>
            </w:r>
          </w:p>
        </w:tc>
        <w:tc>
          <w:tcPr>
            <w:tcW w:w="777"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2012</w:t>
            </w:r>
          </w:p>
        </w:tc>
        <w:tc>
          <w:tcPr>
            <w:tcW w:w="1023"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2013</w:t>
            </w:r>
          </w:p>
        </w:tc>
        <w:tc>
          <w:tcPr>
            <w:tcW w:w="108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2014</w:t>
            </w:r>
          </w:p>
        </w:tc>
      </w:tr>
      <w:tr w:rsidR="00D86A11" w:rsidRPr="000055D1">
        <w:trPr>
          <w:trHeight w:val="310"/>
        </w:trPr>
        <w:tc>
          <w:tcPr>
            <w:tcW w:w="3108" w:type="dxa"/>
            <w:shd w:val="clear" w:color="auto" w:fill="auto"/>
            <w:noWrap/>
          </w:tcPr>
          <w:p w:rsidR="00D86A11" w:rsidRPr="00C0213B" w:rsidRDefault="00D86A11" w:rsidP="00D86A11">
            <w:pPr>
              <w:spacing w:after="0" w:line="240" w:lineRule="auto"/>
              <w:rPr>
                <w:rFonts w:ascii="Calibri" w:eastAsia="Times New Roman" w:hAnsi="Calibri" w:cs="Arial"/>
                <w:b/>
                <w:color w:val="013161"/>
                <w:sz w:val="20"/>
              </w:rPr>
            </w:pPr>
            <w:r w:rsidRPr="00C0213B">
              <w:rPr>
                <w:rFonts w:ascii="Calibri" w:eastAsia="Times New Roman" w:hAnsi="Calibri" w:cs="Arial"/>
                <w:b/>
                <w:color w:val="013161"/>
                <w:sz w:val="20"/>
              </w:rPr>
              <w:t>Children with recurrence (%)</w:t>
            </w:r>
          </w:p>
        </w:tc>
        <w:tc>
          <w:tcPr>
            <w:tcW w:w="1050"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9.3</w:t>
            </w:r>
          </w:p>
        </w:tc>
        <w:tc>
          <w:tcPr>
            <w:tcW w:w="990"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9.7</w:t>
            </w:r>
          </w:p>
        </w:tc>
        <w:tc>
          <w:tcPr>
            <w:tcW w:w="1080"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9.4</w:t>
            </w:r>
          </w:p>
        </w:tc>
        <w:tc>
          <w:tcPr>
            <w:tcW w:w="777"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9</w:t>
            </w:r>
          </w:p>
        </w:tc>
        <w:tc>
          <w:tcPr>
            <w:tcW w:w="1023"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10.8</w:t>
            </w:r>
          </w:p>
        </w:tc>
        <w:tc>
          <w:tcPr>
            <w:tcW w:w="1080"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10.4</w:t>
            </w:r>
          </w:p>
        </w:tc>
      </w:tr>
      <w:tr w:rsidR="00D86A11" w:rsidRPr="000055D1">
        <w:trPr>
          <w:trHeight w:val="310"/>
        </w:trPr>
        <w:tc>
          <w:tcPr>
            <w:tcW w:w="3108" w:type="dxa"/>
            <w:shd w:val="clear" w:color="auto" w:fill="DBE5F1"/>
            <w:noWrap/>
          </w:tcPr>
          <w:p w:rsidR="00D86A11" w:rsidRPr="00C0213B" w:rsidRDefault="00D86A11" w:rsidP="00D86A11">
            <w:pPr>
              <w:spacing w:after="0" w:line="240" w:lineRule="auto"/>
              <w:rPr>
                <w:rFonts w:ascii="Calibri" w:eastAsia="Times New Roman" w:hAnsi="Calibri" w:cs="Arial"/>
                <w:b/>
                <w:color w:val="013161"/>
                <w:sz w:val="20"/>
              </w:rPr>
            </w:pPr>
            <w:r w:rsidRPr="00C0213B">
              <w:rPr>
                <w:rFonts w:ascii="Calibri" w:eastAsia="Times New Roman" w:hAnsi="Calibri" w:cs="Arial"/>
                <w:b/>
                <w:color w:val="013161"/>
                <w:sz w:val="20"/>
              </w:rPr>
              <w:t>Children with recurrence (n)</w:t>
            </w:r>
          </w:p>
        </w:tc>
        <w:tc>
          <w:tcPr>
            <w:tcW w:w="1050"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526</w:t>
            </w:r>
          </w:p>
        </w:tc>
        <w:tc>
          <w:tcPr>
            <w:tcW w:w="990"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605</w:t>
            </w:r>
          </w:p>
        </w:tc>
        <w:tc>
          <w:tcPr>
            <w:tcW w:w="1080"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529</w:t>
            </w:r>
          </w:p>
        </w:tc>
        <w:tc>
          <w:tcPr>
            <w:tcW w:w="777"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471</w:t>
            </w:r>
          </w:p>
        </w:tc>
        <w:tc>
          <w:tcPr>
            <w:tcW w:w="1023"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509</w:t>
            </w:r>
          </w:p>
        </w:tc>
        <w:tc>
          <w:tcPr>
            <w:tcW w:w="1080"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519</w:t>
            </w:r>
          </w:p>
        </w:tc>
      </w:tr>
    </w:tbl>
    <w:p w:rsidR="00D86A11" w:rsidRPr="00D83C75" w:rsidRDefault="00D86A11" w:rsidP="00D86A11">
      <w:pPr>
        <w:pStyle w:val="Heading1"/>
        <w:rPr>
          <w:color w:val="2E7029"/>
          <w:sz w:val="24"/>
        </w:rPr>
      </w:pPr>
      <w:r w:rsidRPr="00D83C75">
        <w:rPr>
          <w:color w:val="2E7029"/>
          <w:sz w:val="24"/>
        </w:rPr>
        <w:t xml:space="preserve">Analysis </w:t>
      </w:r>
    </w:p>
    <w:p w:rsidR="00D86A11" w:rsidRPr="00101685" w:rsidRDefault="00D86A11" w:rsidP="00D86A11">
      <w:pPr>
        <w:pStyle w:val="Title"/>
        <w:pBdr>
          <w:bottom w:val="none" w:sz="0" w:space="0" w:color="auto"/>
        </w:pBdr>
        <w:spacing w:line="276" w:lineRule="auto"/>
        <w:jc w:val="left"/>
        <w:rPr>
          <w:b w:val="0"/>
          <w:smallCaps w:val="0"/>
          <w:color w:val="auto"/>
          <w:spacing w:val="20"/>
          <w:sz w:val="22"/>
        </w:rPr>
      </w:pPr>
      <w:r w:rsidRPr="00101685">
        <w:rPr>
          <w:b w:val="0"/>
          <w:smallCaps w:val="0"/>
          <w:color w:val="auto"/>
          <w:spacing w:val="20"/>
          <w:sz w:val="22"/>
        </w:rPr>
        <w:t>This measure is defined as “of all children who were victims of a substantiated maltreatment allegation during a 12-month reporting period, what percent were victims of another substantiated maltreatment allegation within 12 months of their initial report?”</w:t>
      </w:r>
    </w:p>
    <w:p w:rsidR="00D86A11" w:rsidRPr="00101685" w:rsidRDefault="00D86A11" w:rsidP="00D86A11">
      <w:pPr>
        <w:rPr>
          <w:rFonts w:ascii="Franklin Gothic Book" w:hAnsi="Franklin Gothic Book"/>
          <w:color w:val="auto"/>
          <w:spacing w:val="20"/>
          <w:szCs w:val="22"/>
        </w:rPr>
      </w:pPr>
      <w:r w:rsidRPr="00101685">
        <w:rPr>
          <w:rFonts w:ascii="Franklin Gothic Book" w:hAnsi="Franklin Gothic Book"/>
          <w:b/>
          <w:color w:val="auto"/>
          <w:spacing w:val="20"/>
          <w:szCs w:val="22"/>
        </w:rPr>
        <w:lastRenderedPageBreak/>
        <w:t>Trends:</w:t>
      </w:r>
      <w:r w:rsidRPr="00101685">
        <w:rPr>
          <w:rFonts w:ascii="Franklin Gothic Book" w:hAnsi="Franklin Gothic Book"/>
          <w:color w:val="auto"/>
          <w:spacing w:val="20"/>
          <w:szCs w:val="22"/>
        </w:rPr>
        <w:t xml:space="preserve"> The percent of children with a recurrence of maltreatment has increased slightly since 2009; however, the number of children with a recurrence has decreased slightly. The County’s recurrence rate is slightly higher than the State’s and is not currently meeting the federal standard. </w:t>
      </w:r>
    </w:p>
    <w:p w:rsidR="00D86A11" w:rsidRPr="00101685" w:rsidRDefault="00D86A11" w:rsidP="00D86A11">
      <w:pPr>
        <w:rPr>
          <w:rFonts w:ascii="Franklin Gothic Book" w:hAnsi="Franklin Gothic Book"/>
          <w:color w:val="auto"/>
          <w:spacing w:val="20"/>
          <w:szCs w:val="22"/>
        </w:rPr>
      </w:pPr>
      <w:r w:rsidRPr="00101685">
        <w:rPr>
          <w:rFonts w:ascii="Franklin Gothic Book" w:hAnsi="Franklin Gothic Book"/>
          <w:b/>
          <w:color w:val="auto"/>
          <w:spacing w:val="20"/>
          <w:szCs w:val="22"/>
        </w:rPr>
        <w:t>Race/Ethnicity:</w:t>
      </w:r>
      <w:r w:rsidRPr="00101685">
        <w:rPr>
          <w:rFonts w:ascii="Franklin Gothic Book" w:hAnsi="Franklin Gothic Book"/>
          <w:color w:val="auto"/>
          <w:spacing w:val="20"/>
          <w:szCs w:val="22"/>
        </w:rPr>
        <w:t xml:space="preserve"> In 2014, 13.5% (15) of Native American children experienced a recurrence of maltreatment, followed by 12.0% (168) of White children, 11.9% (73) of Black children, 10.1% (247) of Latino children, and 5.8% (13) of Asian/PI children. </w:t>
      </w:r>
    </w:p>
    <w:p w:rsidR="00D86A11" w:rsidRPr="00101685" w:rsidRDefault="00D86A11" w:rsidP="00D86A11">
      <w:pPr>
        <w:spacing w:after="0"/>
        <w:rPr>
          <w:rFonts w:ascii="Franklin Gothic Book" w:hAnsi="Franklin Gothic Book"/>
          <w:color w:val="auto"/>
          <w:spacing w:val="20"/>
          <w:szCs w:val="22"/>
        </w:rPr>
      </w:pPr>
      <w:r w:rsidRPr="00101685">
        <w:rPr>
          <w:rFonts w:ascii="Franklin Gothic Book" w:hAnsi="Franklin Gothic Book"/>
          <w:b/>
          <w:color w:val="auto"/>
          <w:spacing w:val="20"/>
          <w:szCs w:val="22"/>
        </w:rPr>
        <w:t>Age:</w:t>
      </w:r>
      <w:r w:rsidRPr="00101685">
        <w:rPr>
          <w:rFonts w:ascii="Franklin Gothic Book" w:hAnsi="Franklin Gothic Book"/>
          <w:color w:val="auto"/>
          <w:spacing w:val="20"/>
          <w:szCs w:val="22"/>
        </w:rPr>
        <w:t xml:space="preserve"> In 2014, the rate was 12.0% (88) for 1-2 year olds; 11.6% (108) for 3-5 year olds; 10.4% (134) for 6-10 year olds; 10.3% (99) for under 1; 9.0% (83) for 11-15 year olds; and 4.4% (7) for 16-17 year olds.</w:t>
      </w:r>
    </w:p>
    <w:p w:rsidR="00D86A11" w:rsidRDefault="00D86A11" w:rsidP="00D86A11">
      <w:pPr>
        <w:pStyle w:val="Heading2"/>
        <w:spacing w:line="276" w:lineRule="auto"/>
        <w:rPr>
          <w:b w:val="0"/>
          <w:color w:val="auto"/>
          <w:sz w:val="22"/>
        </w:rPr>
      </w:pPr>
      <w:r w:rsidRPr="00C034DE">
        <w:rPr>
          <w:b w:val="0"/>
          <w:color w:val="auto"/>
          <w:sz w:val="22"/>
        </w:rPr>
        <w:t xml:space="preserve">One possible reason for the slight increase in the recurrence rate is that the County has seen a large decrease in the number and rate of substantiated allegations. In 2010 there were 6,703 substantiated allegations (9.3 per 1,000 children) and in 2014 this number had dropped to 5,251 (7.2/1,000). Practice changes such as SET and SOP have led to fewer substantiations which means that those allegations that are substantiated tend to be the most serious and the families tend to have more challenges. These families are more likely to have a subsequent referral to CWS.  </w:t>
      </w:r>
    </w:p>
    <w:p w:rsidR="00D86A11" w:rsidRDefault="00D86A11" w:rsidP="00D86A11">
      <w:pPr>
        <w:pStyle w:val="Heading2"/>
        <w:spacing w:line="276" w:lineRule="auto"/>
        <w:rPr>
          <w:color w:val="F6872B"/>
        </w:rPr>
      </w:pPr>
      <w:r w:rsidRPr="00B62ADE">
        <w:rPr>
          <w:color w:val="F6872B"/>
        </w:rPr>
        <w:t>3-P1 Permanency in 12 Months for Children Entering Out-of-Home Care</w:t>
      </w:r>
    </w:p>
    <w:p w:rsidR="000B1863" w:rsidRDefault="00D86A11">
      <w:pPr>
        <w:pStyle w:val="ColorfulList-Accent11"/>
        <w:ind w:left="0"/>
        <w:jc w:val="center"/>
        <w:rPr>
          <w:rFonts w:ascii="Calibri" w:hAnsi="Calibri"/>
          <w:b/>
          <w:color w:val="17365D"/>
          <w:spacing w:val="20"/>
          <w:sz w:val="24"/>
          <w:szCs w:val="22"/>
        </w:rPr>
      </w:pPr>
      <w:r w:rsidRPr="007B68A1">
        <w:rPr>
          <w:rFonts w:ascii="Calibri" w:hAnsi="Calibri"/>
          <w:b/>
          <w:color w:val="17365D"/>
          <w:spacing w:val="20"/>
          <w:sz w:val="24"/>
          <w:szCs w:val="22"/>
        </w:rPr>
        <w:t xml:space="preserve">Exhibit </w:t>
      </w:r>
      <w:r>
        <w:rPr>
          <w:rFonts w:ascii="Calibri" w:hAnsi="Calibri"/>
          <w:b/>
          <w:color w:val="17365D"/>
          <w:spacing w:val="20"/>
          <w:sz w:val="24"/>
          <w:szCs w:val="22"/>
        </w:rPr>
        <w:t>55. 3-P1 Measure</w:t>
      </w:r>
    </w:p>
    <w:p w:rsidR="00D86A11" w:rsidRDefault="000B1863" w:rsidP="00D86A11">
      <w:pPr>
        <w:spacing w:after="0"/>
        <w:contextualSpacing/>
        <w:jc w:val="center"/>
        <w:rPr>
          <w:rFonts w:ascii="Calibri" w:hAnsi="Calibri" w:cs="Calibri"/>
          <w:smallCaps/>
          <w:color w:val="auto"/>
          <w:sz w:val="24"/>
          <w:szCs w:val="24"/>
        </w:rPr>
      </w:pPr>
      <w:r>
        <w:rPr>
          <w:noProof/>
        </w:rPr>
        <w:drawing>
          <wp:inline distT="0" distB="0" distL="0" distR="0">
            <wp:extent cx="3994150" cy="2152650"/>
            <wp:effectExtent l="19050" t="0" r="6350" b="0"/>
            <wp:docPr id="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7" cstate="print"/>
                    <a:srcRect/>
                    <a:stretch>
                      <a:fillRect/>
                    </a:stretch>
                  </pic:blipFill>
                  <pic:spPr bwMode="auto">
                    <a:xfrm>
                      <a:off x="0" y="0"/>
                      <a:ext cx="3994150" cy="2152650"/>
                    </a:xfrm>
                    <a:prstGeom prst="rect">
                      <a:avLst/>
                    </a:prstGeom>
                    <a:noFill/>
                    <a:ln w="9525">
                      <a:noFill/>
                      <a:miter lim="800000"/>
                      <a:headEnd/>
                      <a:tailEnd/>
                    </a:ln>
                  </pic:spPr>
                </pic:pic>
              </a:graphicData>
            </a:graphic>
          </wp:inline>
        </w:drawing>
      </w:r>
    </w:p>
    <w:p w:rsidR="00D86A11" w:rsidRDefault="00D86A11" w:rsidP="00D86A11">
      <w:pPr>
        <w:spacing w:after="0"/>
        <w:contextualSpacing/>
        <w:rPr>
          <w:rFonts w:ascii="Calibri" w:hAnsi="Calibri" w:cs="Calibri"/>
          <w:smallCaps/>
          <w:color w:val="auto"/>
          <w:sz w:val="24"/>
          <w:szCs w:val="24"/>
        </w:rPr>
      </w:pPr>
    </w:p>
    <w:p w:rsidR="00D86A11" w:rsidRDefault="00C17026" w:rsidP="00D86A11">
      <w:pPr>
        <w:spacing w:after="0"/>
        <w:contextualSpacing/>
        <w:jc w:val="center"/>
        <w:rPr>
          <w:rFonts w:ascii="Calibri" w:hAnsi="Calibri" w:cs="Calibri"/>
          <w:smallCaps/>
          <w:color w:val="auto"/>
          <w:sz w:val="24"/>
          <w:szCs w:val="24"/>
        </w:rPr>
      </w:pPr>
      <w:r>
        <w:rPr>
          <w:noProof/>
        </w:rPr>
        <w:lastRenderedPageBreak/>
        <w:drawing>
          <wp:inline distT="0" distB="0" distL="0" distR="0">
            <wp:extent cx="3997325" cy="2151380"/>
            <wp:effectExtent l="0" t="0" r="3175" b="1270"/>
            <wp:docPr id="2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97325" cy="2151380"/>
                    </a:xfrm>
                    <a:prstGeom prst="rect">
                      <a:avLst/>
                    </a:prstGeom>
                    <a:noFill/>
                    <a:ln>
                      <a:noFill/>
                    </a:ln>
                  </pic:spPr>
                </pic:pic>
              </a:graphicData>
            </a:graphic>
          </wp:inline>
        </w:drawing>
      </w:r>
    </w:p>
    <w:p w:rsidR="00D86A11" w:rsidRDefault="00D86A11" w:rsidP="00D86A11">
      <w:pPr>
        <w:spacing w:after="0"/>
        <w:contextualSpacing/>
        <w:rPr>
          <w:rFonts w:ascii="Calibri" w:hAnsi="Calibri" w:cs="Calibri"/>
          <w:smallCaps/>
          <w:color w:val="auto"/>
          <w:sz w:val="24"/>
          <w:szCs w:val="24"/>
        </w:rPr>
      </w:pPr>
    </w:p>
    <w:tbl>
      <w:tblPr>
        <w:tblW w:w="9249" w:type="dxa"/>
        <w:tblBorders>
          <w:top w:val="single" w:sz="18" w:space="0" w:color="F6872B"/>
          <w:bottom w:val="single" w:sz="18" w:space="0" w:color="F6872B"/>
        </w:tblBorders>
        <w:tblLook w:val="04A0" w:firstRow="1" w:lastRow="0" w:firstColumn="1" w:lastColumn="0" w:noHBand="0" w:noVBand="1"/>
      </w:tblPr>
      <w:tblGrid>
        <w:gridCol w:w="3528"/>
        <w:gridCol w:w="1056"/>
        <w:gridCol w:w="847"/>
        <w:gridCol w:w="998"/>
        <w:gridCol w:w="969"/>
        <w:gridCol w:w="940"/>
        <w:gridCol w:w="911"/>
      </w:tblGrid>
      <w:tr w:rsidR="00D86A11" w:rsidRPr="00F16FD2">
        <w:trPr>
          <w:trHeight w:val="702"/>
        </w:trPr>
        <w:tc>
          <w:tcPr>
            <w:tcW w:w="9249" w:type="dxa"/>
            <w:gridSpan w:val="7"/>
            <w:shd w:val="clear" w:color="auto" w:fill="013161"/>
            <w:noWrap/>
          </w:tcPr>
          <w:p w:rsidR="00D86A11" w:rsidRPr="004C6FE7" w:rsidRDefault="00D86A11" w:rsidP="00D86A11">
            <w:pPr>
              <w:spacing w:after="0" w:line="240" w:lineRule="auto"/>
              <w:jc w:val="center"/>
              <w:rPr>
                <w:rFonts w:ascii="Calibri" w:eastAsia="Times New Roman" w:hAnsi="Calibri" w:cs="Arial"/>
                <w:b/>
                <w:color w:val="auto"/>
                <w:sz w:val="24"/>
              </w:rPr>
            </w:pPr>
            <w:r>
              <w:rPr>
                <w:rFonts w:ascii="Calibri" w:eastAsia="Times New Roman" w:hAnsi="Calibri" w:cs="Arial"/>
                <w:b/>
                <w:color w:val="auto"/>
                <w:sz w:val="24"/>
              </w:rPr>
              <w:t xml:space="preserve">Exhibit 56. County of San Diego </w:t>
            </w:r>
            <w:r w:rsidRPr="004C6FE7">
              <w:rPr>
                <w:rFonts w:ascii="Calibri" w:eastAsia="Times New Roman" w:hAnsi="Calibri" w:cs="Arial"/>
                <w:b/>
                <w:color w:val="auto"/>
                <w:sz w:val="24"/>
              </w:rPr>
              <w:t>Permanency in 12 Months for Children Entering Care</w:t>
            </w:r>
          </w:p>
          <w:p w:rsidR="00D86A11" w:rsidRPr="000055D1" w:rsidRDefault="00D86A11" w:rsidP="00D86A11">
            <w:pPr>
              <w:spacing w:after="0" w:line="240" w:lineRule="auto"/>
              <w:jc w:val="center"/>
              <w:rPr>
                <w:rFonts w:ascii="Calibri" w:eastAsia="Times New Roman" w:hAnsi="Calibri" w:cs="Arial"/>
                <w:color w:val="auto"/>
              </w:rPr>
            </w:pPr>
            <w:r w:rsidRPr="000055D1">
              <w:rPr>
                <w:rFonts w:ascii="Calibri" w:eastAsia="Times New Roman" w:hAnsi="Calibri" w:cs="Arial"/>
                <w:color w:val="auto"/>
              </w:rPr>
              <w:t>Federal Standard 40.5%; California at 36.2%</w:t>
            </w:r>
          </w:p>
        </w:tc>
      </w:tr>
      <w:tr w:rsidR="00D86A11" w:rsidRPr="00F16FD2">
        <w:trPr>
          <w:trHeight w:val="324"/>
        </w:trPr>
        <w:tc>
          <w:tcPr>
            <w:tcW w:w="3528"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p>
        </w:tc>
        <w:tc>
          <w:tcPr>
            <w:tcW w:w="1056"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2009</w:t>
            </w:r>
          </w:p>
        </w:tc>
        <w:tc>
          <w:tcPr>
            <w:tcW w:w="847"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2010</w:t>
            </w:r>
          </w:p>
        </w:tc>
        <w:tc>
          <w:tcPr>
            <w:tcW w:w="998"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2011</w:t>
            </w:r>
          </w:p>
        </w:tc>
        <w:tc>
          <w:tcPr>
            <w:tcW w:w="969"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2012</w:t>
            </w:r>
          </w:p>
        </w:tc>
        <w:tc>
          <w:tcPr>
            <w:tcW w:w="94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2013</w:t>
            </w:r>
          </w:p>
        </w:tc>
        <w:tc>
          <w:tcPr>
            <w:tcW w:w="911"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2014</w:t>
            </w:r>
          </w:p>
        </w:tc>
      </w:tr>
      <w:tr w:rsidR="00D86A11" w:rsidRPr="00F16FD2">
        <w:trPr>
          <w:trHeight w:val="324"/>
        </w:trPr>
        <w:tc>
          <w:tcPr>
            <w:tcW w:w="3528" w:type="dxa"/>
            <w:shd w:val="clear" w:color="auto" w:fill="auto"/>
            <w:noWrap/>
          </w:tcPr>
          <w:p w:rsidR="00D86A11" w:rsidRPr="00C0213B" w:rsidRDefault="00D86A11" w:rsidP="00D86A11">
            <w:pPr>
              <w:spacing w:after="0" w:line="240" w:lineRule="auto"/>
              <w:rPr>
                <w:rFonts w:ascii="Calibri" w:eastAsia="Times New Roman" w:hAnsi="Calibri" w:cs="Arial"/>
                <w:b/>
                <w:color w:val="013161"/>
                <w:sz w:val="20"/>
              </w:rPr>
            </w:pPr>
            <w:r w:rsidRPr="00C0213B">
              <w:rPr>
                <w:rFonts w:ascii="Calibri" w:eastAsia="Times New Roman" w:hAnsi="Calibri" w:cs="Arial"/>
                <w:b/>
                <w:color w:val="013161"/>
                <w:sz w:val="20"/>
              </w:rPr>
              <w:t>Children with exits to permanency (%)</w:t>
            </w:r>
          </w:p>
        </w:tc>
        <w:tc>
          <w:tcPr>
            <w:tcW w:w="1056"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36.9</w:t>
            </w:r>
          </w:p>
        </w:tc>
        <w:tc>
          <w:tcPr>
            <w:tcW w:w="847"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39.6</w:t>
            </w:r>
          </w:p>
        </w:tc>
        <w:tc>
          <w:tcPr>
            <w:tcW w:w="998"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38.7</w:t>
            </w:r>
          </w:p>
        </w:tc>
        <w:tc>
          <w:tcPr>
            <w:tcW w:w="969"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39.3</w:t>
            </w:r>
          </w:p>
        </w:tc>
        <w:tc>
          <w:tcPr>
            <w:tcW w:w="940"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36.6</w:t>
            </w:r>
          </w:p>
        </w:tc>
        <w:tc>
          <w:tcPr>
            <w:tcW w:w="911" w:type="dxa"/>
            <w:shd w:val="clear" w:color="auto" w:fill="auto"/>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37.9</w:t>
            </w:r>
          </w:p>
        </w:tc>
      </w:tr>
      <w:tr w:rsidR="00D86A11" w:rsidRPr="00F16FD2">
        <w:trPr>
          <w:trHeight w:val="324"/>
        </w:trPr>
        <w:tc>
          <w:tcPr>
            <w:tcW w:w="3528" w:type="dxa"/>
            <w:shd w:val="clear" w:color="auto" w:fill="DBE5F1"/>
            <w:noWrap/>
          </w:tcPr>
          <w:p w:rsidR="00D86A11" w:rsidRPr="00C0213B" w:rsidRDefault="00D86A11" w:rsidP="00D86A11">
            <w:pPr>
              <w:spacing w:after="0" w:line="240" w:lineRule="auto"/>
              <w:rPr>
                <w:rFonts w:ascii="Calibri" w:eastAsia="Times New Roman" w:hAnsi="Calibri" w:cs="Arial"/>
                <w:b/>
                <w:color w:val="013161"/>
                <w:sz w:val="20"/>
              </w:rPr>
            </w:pPr>
            <w:r w:rsidRPr="00C0213B">
              <w:rPr>
                <w:rFonts w:ascii="Calibri" w:eastAsia="Times New Roman" w:hAnsi="Calibri" w:cs="Arial"/>
                <w:b/>
                <w:color w:val="013161"/>
                <w:sz w:val="20"/>
              </w:rPr>
              <w:t>Children with exits to permanency (n)</w:t>
            </w:r>
          </w:p>
        </w:tc>
        <w:tc>
          <w:tcPr>
            <w:tcW w:w="1056"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619</w:t>
            </w:r>
          </w:p>
        </w:tc>
        <w:tc>
          <w:tcPr>
            <w:tcW w:w="847"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670</w:t>
            </w:r>
          </w:p>
        </w:tc>
        <w:tc>
          <w:tcPr>
            <w:tcW w:w="998"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652</w:t>
            </w:r>
          </w:p>
        </w:tc>
        <w:tc>
          <w:tcPr>
            <w:tcW w:w="969"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705</w:t>
            </w:r>
          </w:p>
        </w:tc>
        <w:tc>
          <w:tcPr>
            <w:tcW w:w="940"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537</w:t>
            </w:r>
          </w:p>
        </w:tc>
        <w:tc>
          <w:tcPr>
            <w:tcW w:w="911" w:type="dxa"/>
            <w:shd w:val="clear" w:color="auto" w:fill="DBE5F1"/>
            <w:noWrap/>
          </w:tcPr>
          <w:p w:rsidR="00D86A11" w:rsidRPr="00C0213B" w:rsidRDefault="00D86A11" w:rsidP="00D86A11">
            <w:pPr>
              <w:spacing w:after="0" w:line="240" w:lineRule="auto"/>
              <w:jc w:val="center"/>
              <w:rPr>
                <w:rFonts w:ascii="Calibri" w:eastAsia="Times New Roman" w:hAnsi="Calibri" w:cs="Arial"/>
                <w:b/>
                <w:color w:val="013161"/>
                <w:sz w:val="20"/>
              </w:rPr>
            </w:pPr>
            <w:r w:rsidRPr="00C0213B">
              <w:rPr>
                <w:rFonts w:ascii="Calibri" w:eastAsia="Times New Roman" w:hAnsi="Calibri" w:cs="Arial"/>
                <w:b/>
                <w:color w:val="013161"/>
                <w:sz w:val="20"/>
              </w:rPr>
              <w:t>540</w:t>
            </w:r>
          </w:p>
        </w:tc>
      </w:tr>
    </w:tbl>
    <w:p w:rsidR="00D86A11" w:rsidRPr="00B62ADE" w:rsidRDefault="00D86A11" w:rsidP="00D86A11">
      <w:pPr>
        <w:pStyle w:val="Heading1"/>
        <w:rPr>
          <w:color w:val="2E7029"/>
          <w:sz w:val="24"/>
        </w:rPr>
      </w:pPr>
      <w:r w:rsidRPr="00B62ADE">
        <w:rPr>
          <w:color w:val="2E7029"/>
          <w:sz w:val="24"/>
        </w:rPr>
        <w:t>Analysis</w:t>
      </w:r>
    </w:p>
    <w:p w:rsidR="00D86A11" w:rsidRPr="00AB5ECF" w:rsidRDefault="00D86A11" w:rsidP="00D86A11">
      <w:pPr>
        <w:rPr>
          <w:rFonts w:ascii="Franklin Gothic Book" w:hAnsi="Franklin Gothic Book"/>
          <w:color w:val="auto"/>
          <w:spacing w:val="20"/>
          <w:szCs w:val="22"/>
        </w:rPr>
      </w:pPr>
      <w:r w:rsidRPr="00AB5ECF">
        <w:rPr>
          <w:rFonts w:ascii="Franklin Gothic Book" w:hAnsi="Franklin Gothic Book"/>
          <w:color w:val="auto"/>
          <w:spacing w:val="20"/>
          <w:szCs w:val="22"/>
        </w:rPr>
        <w:t xml:space="preserve">This outcome tracks the percentage of children who entered out-of-home care during the year and were discharged to permanency (reunification, guardianship or adoption) within 12 months of entry. </w:t>
      </w:r>
    </w:p>
    <w:p w:rsidR="00D86A11" w:rsidRPr="00AB5ECF" w:rsidRDefault="00D86A11" w:rsidP="00D86A11">
      <w:pPr>
        <w:rPr>
          <w:rFonts w:ascii="Franklin Gothic Book" w:hAnsi="Franklin Gothic Book"/>
          <w:color w:val="auto"/>
          <w:spacing w:val="20"/>
          <w:szCs w:val="22"/>
        </w:rPr>
      </w:pPr>
      <w:r w:rsidRPr="00AB5ECF">
        <w:rPr>
          <w:rFonts w:ascii="Franklin Gothic Book" w:hAnsi="Franklin Gothic Book"/>
          <w:b/>
          <w:color w:val="auto"/>
          <w:spacing w:val="20"/>
          <w:szCs w:val="22"/>
        </w:rPr>
        <w:t>Trends:</w:t>
      </w:r>
      <w:r w:rsidRPr="00AB5ECF">
        <w:rPr>
          <w:rFonts w:ascii="Franklin Gothic Book" w:hAnsi="Franklin Gothic Book"/>
          <w:color w:val="auto"/>
          <w:spacing w:val="20"/>
          <w:szCs w:val="22"/>
        </w:rPr>
        <w:t xml:space="preserve"> The County’s overall rate has not improved much over the last six years and is not meeting the federal standard of 40.5%. Strategies to improve performance on this outcome measure will be included in the upcoming 2017-2022 System Improvement Plan. The precursor to this new outcome measure, “reunification within 12 months,” was included in the previous SIP, but despite the implementation of multiple targeted strategies, the County is still struggling to improve performance. </w:t>
      </w:r>
    </w:p>
    <w:p w:rsidR="00D86A11" w:rsidRPr="00AB5ECF" w:rsidRDefault="00D86A11" w:rsidP="00D86A11">
      <w:pPr>
        <w:rPr>
          <w:rFonts w:ascii="Franklin Gothic Book" w:hAnsi="Franklin Gothic Book"/>
          <w:color w:val="auto"/>
          <w:spacing w:val="20"/>
          <w:szCs w:val="22"/>
        </w:rPr>
      </w:pPr>
      <w:r w:rsidRPr="00AB5ECF">
        <w:rPr>
          <w:rFonts w:ascii="Franklin Gothic Book" w:hAnsi="Franklin Gothic Book"/>
          <w:b/>
          <w:color w:val="auto"/>
          <w:spacing w:val="20"/>
          <w:szCs w:val="22"/>
        </w:rPr>
        <w:t>Race/Ethnicity:</w:t>
      </w:r>
      <w:r w:rsidRPr="00AB5ECF">
        <w:rPr>
          <w:rFonts w:ascii="Franklin Gothic Book" w:hAnsi="Franklin Gothic Book"/>
          <w:color w:val="auto"/>
          <w:spacing w:val="20"/>
          <w:szCs w:val="22"/>
        </w:rPr>
        <w:t xml:space="preserve"> In 2014, 50% (13) of Native American children that entered during the year exited to permanency within 12 months, as did 40.6% (84) of Black children, 39.4% (24) of Asian/PI children, 37.4% (285) of Latino children, and 35.5% (130) of White children. Between 2009 and 2014, the permanency rate decreased for White children (45.7% to 35.5%), and increased for Black children (37.4% to 40.6%), Latino children (32.9% to 37.4%), Asian/PI children (29.1% to 39.4%) and Native American children (14.8% to 50%).</w:t>
      </w:r>
    </w:p>
    <w:p w:rsidR="00D86A11" w:rsidRPr="00AB5ECF" w:rsidRDefault="00D86A11" w:rsidP="00D86A11">
      <w:pPr>
        <w:spacing w:after="0"/>
        <w:rPr>
          <w:rFonts w:ascii="Franklin Gothic Book" w:hAnsi="Franklin Gothic Book"/>
          <w:color w:val="auto"/>
          <w:spacing w:val="20"/>
          <w:szCs w:val="22"/>
        </w:rPr>
      </w:pPr>
      <w:r w:rsidRPr="00AB5ECF">
        <w:rPr>
          <w:rFonts w:ascii="Franklin Gothic Book" w:hAnsi="Franklin Gothic Book"/>
          <w:b/>
          <w:color w:val="auto"/>
          <w:spacing w:val="20"/>
          <w:szCs w:val="22"/>
        </w:rPr>
        <w:t>Age:</w:t>
      </w:r>
      <w:r w:rsidRPr="00AB5ECF">
        <w:rPr>
          <w:rFonts w:ascii="Franklin Gothic Book" w:hAnsi="Franklin Gothic Book"/>
          <w:color w:val="auto"/>
          <w:spacing w:val="20"/>
          <w:szCs w:val="22"/>
        </w:rPr>
        <w:t xml:space="preserve"> In 2014, children aged 6-10 had the highest rate of permanency at 43.5% (137), followed by ages 3-5 at 42.8% (115), ages 1-11 months at 39.2% (74), ages 1-2 at 37.3% (93), ages 11-15 at 36.1% (65), ages 16-17 at 33.3% (15), and under 1 month old at 23.1% (41). Between 2009 and 2014, youth ages 16-17 experienced the greatest increase in permanency rates (20% to 33.3%). There were also increases for ages 1-11 months (38.3% to 39.2%), and ages 6-10 (36.6% to </w:t>
      </w:r>
      <w:r w:rsidRPr="00AB5ECF">
        <w:rPr>
          <w:rFonts w:ascii="Franklin Gothic Book" w:hAnsi="Franklin Gothic Book"/>
          <w:color w:val="auto"/>
          <w:spacing w:val="20"/>
          <w:szCs w:val="22"/>
        </w:rPr>
        <w:lastRenderedPageBreak/>
        <w:t xml:space="preserve">43.5%). Several age groups experienced decreases in permanency rates including children under 1 month of age (27.1% to 23.1%), ages 1-2 (38.3% to 37.3%), ages 3-5 (44.7% to 42.8%), </w:t>
      </w:r>
      <w:r w:rsidR="00A56CE5" w:rsidRPr="00AB5ECF">
        <w:rPr>
          <w:rFonts w:ascii="Franklin Gothic Book" w:hAnsi="Franklin Gothic Book"/>
          <w:color w:val="auto"/>
          <w:spacing w:val="20"/>
          <w:szCs w:val="22"/>
        </w:rPr>
        <w:t>and ages</w:t>
      </w:r>
      <w:r w:rsidRPr="00AB5ECF">
        <w:rPr>
          <w:rFonts w:ascii="Franklin Gothic Book" w:hAnsi="Franklin Gothic Book"/>
          <w:color w:val="auto"/>
          <w:spacing w:val="20"/>
          <w:szCs w:val="22"/>
        </w:rPr>
        <w:t xml:space="preserve"> 11-15 (37.3% to 36.1%). </w:t>
      </w:r>
    </w:p>
    <w:p w:rsidR="00D86A11" w:rsidRPr="001C4C12" w:rsidRDefault="00D86A11" w:rsidP="00D86A11">
      <w:pPr>
        <w:pStyle w:val="Heading2"/>
        <w:spacing w:line="276" w:lineRule="auto"/>
        <w:rPr>
          <w:b w:val="0"/>
          <w:color w:val="auto"/>
          <w:sz w:val="22"/>
        </w:rPr>
      </w:pPr>
      <w:r w:rsidRPr="001C4C12">
        <w:rPr>
          <w:b w:val="0"/>
          <w:color w:val="auto"/>
          <w:sz w:val="22"/>
        </w:rPr>
        <w:t xml:space="preserve">It’s likely that the County’s performance on this and the following measure, 3-P2, has been impacted by the implementation of Safety Organized Practice (SOP) and the County’s practice framework, Safety Enhanced Together (SET). Resulting practice changes, including closer scrutiny of potential entries and improved family engagement, have led to significant decreases in the number of substantiated allegations, number of children entering care, and the number of children in out-of-home care. Thus, the children and families that do enter the system tend to have multiple and complex challenges that can delay permanency. On the other hand, the SET and SOP practice changes are also supporting improved permanency through improved family engagement and an increased focus on safety factors with less focus on complicating factors. Both SET and SOP were identified, by CSA stakeholders and peer reviewers, as powerful reforms that are having a positive impact on children, families and the system. </w:t>
      </w:r>
    </w:p>
    <w:p w:rsidR="00D86A11" w:rsidRPr="001C4C12" w:rsidRDefault="00D86A11" w:rsidP="00D86A11">
      <w:pPr>
        <w:pStyle w:val="Heading2"/>
        <w:spacing w:line="276" w:lineRule="auto"/>
        <w:rPr>
          <w:b w:val="0"/>
          <w:color w:val="auto"/>
          <w:sz w:val="22"/>
        </w:rPr>
      </w:pPr>
      <w:r w:rsidRPr="001C4C12">
        <w:rPr>
          <w:b w:val="0"/>
          <w:color w:val="auto"/>
          <w:sz w:val="22"/>
        </w:rPr>
        <w:t>In 2015, the County completed a Lean Six Sigma project to work with staff to identify recommendations for improving reunification. Multiple recommendations were developed to improve social work practice, staff burnout and turnover, supervision, training, placement, legal/court issues, and housing and transportation barriers. The County is just beginning to implement some of the recommendations and expects that they will have a positive impact on the permanency measures during the upcoming SIP period. Strategies that are new, or forthcoming, include family visit coaching, addressing court barriers, and ConnectWell San Diego which is an agency-wide effort to implement an electronic referral system for families involved in any program in the County’s Health &amp; Human Services Agency. In addition, using Child Abuse Prevention, Intervention and Treatment (CAPIT) funds, CWS recently increased Community Services for Families contracts with services that the County expects will have an impact on measures 3P1 and 3P2 including increasing the role of the family support clinicians.</w:t>
      </w:r>
    </w:p>
    <w:p w:rsidR="00D86A11" w:rsidRPr="001C4C12" w:rsidRDefault="00D86A11" w:rsidP="00D86A11">
      <w:pPr>
        <w:pStyle w:val="Heading2"/>
        <w:spacing w:line="276" w:lineRule="auto"/>
        <w:rPr>
          <w:b w:val="0"/>
          <w:color w:val="auto"/>
          <w:sz w:val="22"/>
        </w:rPr>
      </w:pPr>
      <w:r w:rsidRPr="001C4C12">
        <w:rPr>
          <w:b w:val="0"/>
          <w:color w:val="auto"/>
          <w:sz w:val="22"/>
        </w:rPr>
        <w:t xml:space="preserve">SIP strategies will be identified based on the input received during the Peer Review and CSA stakeholder meetings. Participants identified that some of the biggest challenges to permanency include parental substance abuse and mental health issues, lack of support networks, inadequate parenting skills and motivation, cultural/linguistic challenges, lack of support/engagement for fathers and basic needs assistance (e.g. housing, child care, transportation). </w:t>
      </w:r>
    </w:p>
    <w:p w:rsidR="00D86A11" w:rsidRPr="001C4C12" w:rsidRDefault="00D86A11" w:rsidP="00D86A11">
      <w:pPr>
        <w:pStyle w:val="Heading2"/>
        <w:spacing w:line="276" w:lineRule="auto"/>
        <w:rPr>
          <w:b w:val="0"/>
          <w:color w:val="auto"/>
          <w:sz w:val="22"/>
        </w:rPr>
      </w:pPr>
      <w:r w:rsidRPr="001C4C12">
        <w:rPr>
          <w:b w:val="0"/>
          <w:color w:val="auto"/>
          <w:sz w:val="22"/>
        </w:rPr>
        <w:t xml:space="preserve">To improve permanency, stakeholders recommended focusing on improving parent engagement (including fathers), visitation, social worker support, family finding, building family support networks, early and regular family team meetings, thorough reunification assessments, and access to more culturally diverse providers.  </w:t>
      </w:r>
    </w:p>
    <w:p w:rsidR="00D86A11" w:rsidRPr="001C4C12" w:rsidRDefault="00D86A11" w:rsidP="00D86A11">
      <w:pPr>
        <w:pStyle w:val="Heading2"/>
        <w:spacing w:line="276" w:lineRule="auto"/>
        <w:rPr>
          <w:b w:val="0"/>
          <w:color w:val="auto"/>
          <w:sz w:val="22"/>
        </w:rPr>
      </w:pPr>
      <w:r w:rsidRPr="001C4C12">
        <w:rPr>
          <w:b w:val="0"/>
          <w:color w:val="auto"/>
          <w:sz w:val="22"/>
        </w:rPr>
        <w:lastRenderedPageBreak/>
        <w:t xml:space="preserve">One external factor which may hinder permanency performance is that </w:t>
      </w:r>
      <w:r w:rsidR="00A56CE5" w:rsidRPr="001C4C12">
        <w:rPr>
          <w:b w:val="0"/>
          <w:color w:val="auto"/>
          <w:sz w:val="22"/>
          <w:szCs w:val="22"/>
        </w:rPr>
        <w:t>the</w:t>
      </w:r>
      <w:r>
        <w:rPr>
          <w:b w:val="0"/>
          <w:color w:val="auto"/>
          <w:sz w:val="22"/>
        </w:rPr>
        <w:t xml:space="preserve"> Judicial Council </w:t>
      </w:r>
      <w:r w:rsidRPr="001C4C12">
        <w:rPr>
          <w:b w:val="0"/>
          <w:color w:val="auto"/>
          <w:sz w:val="22"/>
        </w:rPr>
        <w:t>has reduced funding for the contract that pays for attorneys providing legal representation to children and parents in Juvenile Dependency Court. The current contract will end on August 31, 2016 and</w:t>
      </w:r>
      <w:r>
        <w:rPr>
          <w:b w:val="0"/>
          <w:color w:val="auto"/>
          <w:sz w:val="22"/>
        </w:rPr>
        <w:t xml:space="preserve"> the new providers are</w:t>
      </w:r>
      <w:r w:rsidRPr="00B029A4">
        <w:rPr>
          <w:b w:val="0"/>
          <w:color w:val="auto"/>
          <w:sz w:val="22"/>
        </w:rPr>
        <w:t xml:space="preserve"> </w:t>
      </w:r>
      <w:r>
        <w:rPr>
          <w:b w:val="0"/>
          <w:color w:val="auto"/>
          <w:sz w:val="22"/>
        </w:rPr>
        <w:t xml:space="preserve">Dependency Legal Services of San Diego for parents and Children’s Legal Services of San Diego for children </w:t>
      </w:r>
      <w:r w:rsidRPr="001C4C12">
        <w:rPr>
          <w:b w:val="0"/>
          <w:color w:val="auto"/>
          <w:sz w:val="22"/>
        </w:rPr>
        <w:t xml:space="preserve"> </w:t>
      </w:r>
    </w:p>
    <w:p w:rsidR="00D86A11" w:rsidRPr="006C3495" w:rsidRDefault="00D86A11" w:rsidP="00D86A11">
      <w:pPr>
        <w:pStyle w:val="Heading1"/>
        <w:rPr>
          <w:color w:val="F6872B"/>
          <w:sz w:val="24"/>
        </w:rPr>
      </w:pPr>
      <w:r w:rsidRPr="006C3495">
        <w:rPr>
          <w:color w:val="F6872B"/>
          <w:sz w:val="24"/>
        </w:rPr>
        <w:t xml:space="preserve">3-P2 Permanency in 12 Months for Children </w:t>
      </w:r>
      <w:r w:rsidR="00A56CE5" w:rsidRPr="006C3495">
        <w:rPr>
          <w:color w:val="F6872B"/>
          <w:sz w:val="24"/>
          <w:szCs w:val="28"/>
        </w:rPr>
        <w:t>in</w:t>
      </w:r>
      <w:r w:rsidRPr="006C3495">
        <w:rPr>
          <w:color w:val="F6872B"/>
          <w:sz w:val="24"/>
        </w:rPr>
        <w:t xml:space="preserve"> Care 12-23 Months</w:t>
      </w:r>
    </w:p>
    <w:tbl>
      <w:tblPr>
        <w:tblW w:w="9519" w:type="dxa"/>
        <w:tblBorders>
          <w:top w:val="single" w:sz="18" w:space="0" w:color="F6872B"/>
          <w:bottom w:val="single" w:sz="18" w:space="0" w:color="F6872B"/>
        </w:tblBorders>
        <w:tblLook w:val="04A0" w:firstRow="1" w:lastRow="0" w:firstColumn="1" w:lastColumn="0" w:noHBand="0" w:noVBand="1"/>
      </w:tblPr>
      <w:tblGrid>
        <w:gridCol w:w="3618"/>
        <w:gridCol w:w="931"/>
        <w:gridCol w:w="990"/>
        <w:gridCol w:w="1080"/>
        <w:gridCol w:w="1080"/>
        <w:gridCol w:w="990"/>
        <w:gridCol w:w="830"/>
      </w:tblGrid>
      <w:tr w:rsidR="00D86A11" w:rsidRPr="00F16FD2">
        <w:trPr>
          <w:trHeight w:val="738"/>
        </w:trPr>
        <w:tc>
          <w:tcPr>
            <w:tcW w:w="9519" w:type="dxa"/>
            <w:gridSpan w:val="7"/>
            <w:shd w:val="clear" w:color="auto" w:fill="013161"/>
          </w:tcPr>
          <w:p w:rsidR="00D86A11" w:rsidRPr="000055D1" w:rsidRDefault="00D86A11" w:rsidP="00D86A11">
            <w:pPr>
              <w:spacing w:after="0"/>
              <w:contextualSpacing/>
              <w:jc w:val="center"/>
              <w:rPr>
                <w:rFonts w:ascii="Calibri" w:hAnsi="Calibri" w:cs="Calibri"/>
                <w:color w:val="FFFFFF"/>
              </w:rPr>
            </w:pPr>
            <w:r>
              <w:rPr>
                <w:rFonts w:ascii="Calibri" w:hAnsi="Calibri" w:cs="Calibri"/>
                <w:b/>
                <w:color w:val="FFFFFF"/>
                <w:sz w:val="24"/>
              </w:rPr>
              <w:t>Exhibit 57. County of S</w:t>
            </w:r>
            <w:r w:rsidRPr="004C6FE7">
              <w:rPr>
                <w:rFonts w:ascii="Calibri" w:hAnsi="Calibri" w:cs="Calibri"/>
                <w:b/>
                <w:color w:val="FFFFFF"/>
                <w:sz w:val="24"/>
              </w:rPr>
              <w:t>an Diego Permanency in 12 Months for Children in Care 12-23 Months</w:t>
            </w:r>
            <w:r w:rsidRPr="000055D1">
              <w:rPr>
                <w:rFonts w:ascii="Calibri" w:hAnsi="Calibri" w:cs="Calibri"/>
                <w:b/>
                <w:color w:val="FFFFFF"/>
              </w:rPr>
              <w:br/>
            </w:r>
            <w:r w:rsidRPr="000055D1">
              <w:rPr>
                <w:rFonts w:ascii="Calibri" w:eastAsia="Times New Roman" w:hAnsi="Calibri" w:cs="Arial"/>
                <w:color w:val="FFFFFF"/>
              </w:rPr>
              <w:t>Federal Standard</w:t>
            </w:r>
            <w:r w:rsidRPr="000055D1">
              <w:rPr>
                <w:rFonts w:ascii="Calibri" w:hAnsi="Calibri" w:cs="Calibri"/>
                <w:color w:val="FFFFFF"/>
              </w:rPr>
              <w:t xml:space="preserve"> 43.6%; California at 45.1%</w:t>
            </w:r>
          </w:p>
        </w:tc>
      </w:tr>
      <w:tr w:rsidR="00D86A11" w:rsidRPr="00F16FD2">
        <w:trPr>
          <w:trHeight w:val="288"/>
        </w:trPr>
        <w:tc>
          <w:tcPr>
            <w:tcW w:w="3618" w:type="dxa"/>
            <w:shd w:val="clear" w:color="auto" w:fill="013161"/>
            <w:noWrap/>
          </w:tcPr>
          <w:p w:rsidR="00D86A11" w:rsidRPr="00721EF1" w:rsidRDefault="00D86A11" w:rsidP="00D86A11">
            <w:pPr>
              <w:spacing w:after="0"/>
              <w:contextualSpacing/>
              <w:rPr>
                <w:rFonts w:ascii="Calibri" w:hAnsi="Calibri" w:cs="Calibri"/>
                <w:color w:val="FFFFFF"/>
              </w:rPr>
            </w:pPr>
            <w:r w:rsidRPr="00721EF1">
              <w:rPr>
                <w:rFonts w:ascii="Calibri" w:hAnsi="Calibri" w:cs="Calibri"/>
                <w:color w:val="FFFFFF"/>
              </w:rPr>
              <w:t> </w:t>
            </w:r>
          </w:p>
        </w:tc>
        <w:tc>
          <w:tcPr>
            <w:tcW w:w="931"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2010</w:t>
            </w:r>
          </w:p>
        </w:tc>
        <w:tc>
          <w:tcPr>
            <w:tcW w:w="990"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2011</w:t>
            </w:r>
          </w:p>
        </w:tc>
        <w:tc>
          <w:tcPr>
            <w:tcW w:w="1080"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2012</w:t>
            </w:r>
          </w:p>
        </w:tc>
        <w:tc>
          <w:tcPr>
            <w:tcW w:w="1080"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2013</w:t>
            </w:r>
          </w:p>
        </w:tc>
        <w:tc>
          <w:tcPr>
            <w:tcW w:w="990"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2014</w:t>
            </w:r>
          </w:p>
        </w:tc>
        <w:tc>
          <w:tcPr>
            <w:tcW w:w="830"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2015</w:t>
            </w:r>
          </w:p>
        </w:tc>
      </w:tr>
      <w:tr w:rsidR="00D86A11" w:rsidRPr="00F16FD2">
        <w:trPr>
          <w:trHeight w:val="288"/>
        </w:trPr>
        <w:tc>
          <w:tcPr>
            <w:tcW w:w="3618" w:type="dxa"/>
            <w:shd w:val="clear" w:color="auto" w:fill="auto"/>
            <w:noWrap/>
          </w:tcPr>
          <w:p w:rsidR="00D86A11" w:rsidRPr="00C0213B" w:rsidRDefault="00D86A11" w:rsidP="00D86A11">
            <w:pPr>
              <w:spacing w:after="0"/>
              <w:contextualSpacing/>
              <w:rPr>
                <w:rFonts w:ascii="Calibri" w:hAnsi="Calibri" w:cs="Calibri"/>
                <w:b/>
                <w:color w:val="013161"/>
                <w:sz w:val="20"/>
              </w:rPr>
            </w:pPr>
            <w:r w:rsidRPr="00C0213B">
              <w:rPr>
                <w:rFonts w:ascii="Calibri" w:hAnsi="Calibri" w:cs="Calibri"/>
                <w:b/>
                <w:color w:val="013161"/>
                <w:sz w:val="20"/>
              </w:rPr>
              <w:t>Children with exits to permanency (%)</w:t>
            </w:r>
          </w:p>
        </w:tc>
        <w:tc>
          <w:tcPr>
            <w:tcW w:w="931" w:type="dxa"/>
            <w:shd w:val="clear" w:color="auto" w:fill="auto"/>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47.0</w:t>
            </w:r>
          </w:p>
        </w:tc>
        <w:tc>
          <w:tcPr>
            <w:tcW w:w="990" w:type="dxa"/>
            <w:shd w:val="clear" w:color="auto" w:fill="auto"/>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52.6</w:t>
            </w:r>
          </w:p>
        </w:tc>
        <w:tc>
          <w:tcPr>
            <w:tcW w:w="1080" w:type="dxa"/>
            <w:shd w:val="clear" w:color="auto" w:fill="auto"/>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53.3</w:t>
            </w:r>
          </w:p>
        </w:tc>
        <w:tc>
          <w:tcPr>
            <w:tcW w:w="1080" w:type="dxa"/>
            <w:shd w:val="clear" w:color="auto" w:fill="auto"/>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41.7</w:t>
            </w:r>
          </w:p>
        </w:tc>
        <w:tc>
          <w:tcPr>
            <w:tcW w:w="990" w:type="dxa"/>
            <w:shd w:val="clear" w:color="auto" w:fill="auto"/>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38.3</w:t>
            </w:r>
          </w:p>
        </w:tc>
        <w:tc>
          <w:tcPr>
            <w:tcW w:w="830" w:type="dxa"/>
            <w:shd w:val="clear" w:color="auto" w:fill="auto"/>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39.1</w:t>
            </w:r>
          </w:p>
        </w:tc>
      </w:tr>
      <w:tr w:rsidR="00D86A11" w:rsidRPr="00F16FD2">
        <w:trPr>
          <w:trHeight w:val="288"/>
        </w:trPr>
        <w:tc>
          <w:tcPr>
            <w:tcW w:w="3618" w:type="dxa"/>
            <w:shd w:val="clear" w:color="auto" w:fill="DBE5F1"/>
            <w:noWrap/>
          </w:tcPr>
          <w:p w:rsidR="00D86A11" w:rsidRPr="00C0213B" w:rsidRDefault="00D86A11" w:rsidP="00D86A11">
            <w:pPr>
              <w:spacing w:after="0"/>
              <w:contextualSpacing/>
              <w:rPr>
                <w:rFonts w:ascii="Calibri" w:hAnsi="Calibri" w:cs="Calibri"/>
                <w:b/>
                <w:color w:val="013161"/>
                <w:sz w:val="20"/>
              </w:rPr>
            </w:pPr>
            <w:r w:rsidRPr="00C0213B">
              <w:rPr>
                <w:rFonts w:ascii="Calibri" w:hAnsi="Calibri" w:cs="Calibri"/>
                <w:b/>
                <w:color w:val="013161"/>
                <w:sz w:val="20"/>
              </w:rPr>
              <w:t>Children with exits to permanency (n)</w:t>
            </w:r>
          </w:p>
        </w:tc>
        <w:tc>
          <w:tcPr>
            <w:tcW w:w="931" w:type="dxa"/>
            <w:shd w:val="clear" w:color="auto" w:fill="DBE5F1"/>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409</w:t>
            </w:r>
          </w:p>
        </w:tc>
        <w:tc>
          <w:tcPr>
            <w:tcW w:w="990" w:type="dxa"/>
            <w:shd w:val="clear" w:color="auto" w:fill="DBE5F1"/>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388</w:t>
            </w:r>
          </w:p>
        </w:tc>
        <w:tc>
          <w:tcPr>
            <w:tcW w:w="1080" w:type="dxa"/>
            <w:shd w:val="clear" w:color="auto" w:fill="DBE5F1"/>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364</w:t>
            </w:r>
          </w:p>
        </w:tc>
        <w:tc>
          <w:tcPr>
            <w:tcW w:w="1080" w:type="dxa"/>
            <w:shd w:val="clear" w:color="auto" w:fill="DBE5F1"/>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295</w:t>
            </w:r>
          </w:p>
        </w:tc>
        <w:tc>
          <w:tcPr>
            <w:tcW w:w="990" w:type="dxa"/>
            <w:shd w:val="clear" w:color="auto" w:fill="DBE5F1"/>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281</w:t>
            </w:r>
          </w:p>
        </w:tc>
        <w:tc>
          <w:tcPr>
            <w:tcW w:w="830" w:type="dxa"/>
            <w:shd w:val="clear" w:color="auto" w:fill="DBE5F1"/>
            <w:noWrap/>
          </w:tcPr>
          <w:p w:rsidR="00D86A11" w:rsidRPr="00C0213B" w:rsidRDefault="00D86A11" w:rsidP="00D86A11">
            <w:pPr>
              <w:tabs>
                <w:tab w:val="right" w:pos="504"/>
              </w:tabs>
              <w:spacing w:after="0"/>
              <w:contextualSpacing/>
              <w:jc w:val="center"/>
              <w:rPr>
                <w:rFonts w:ascii="Calibri" w:hAnsi="Calibri" w:cs="Calibri"/>
                <w:b/>
                <w:color w:val="013161"/>
                <w:sz w:val="20"/>
              </w:rPr>
            </w:pPr>
            <w:r w:rsidRPr="00C0213B">
              <w:rPr>
                <w:rFonts w:ascii="Calibri" w:hAnsi="Calibri" w:cs="Calibri"/>
                <w:b/>
                <w:color w:val="013161"/>
                <w:sz w:val="20"/>
              </w:rPr>
              <w:t>276</w:t>
            </w:r>
          </w:p>
        </w:tc>
      </w:tr>
    </w:tbl>
    <w:p w:rsidR="00D86A11" w:rsidRPr="006C3495" w:rsidRDefault="00D86A11" w:rsidP="00D86A11">
      <w:pPr>
        <w:pStyle w:val="Heading1"/>
        <w:rPr>
          <w:color w:val="2E7029"/>
          <w:sz w:val="24"/>
        </w:rPr>
      </w:pPr>
      <w:r w:rsidRPr="006C3495">
        <w:rPr>
          <w:color w:val="2E7029"/>
          <w:sz w:val="24"/>
        </w:rPr>
        <w:t xml:space="preserve">Analysis </w:t>
      </w:r>
    </w:p>
    <w:p w:rsidR="00D86A11" w:rsidRPr="00F13D97" w:rsidRDefault="00D86A11" w:rsidP="00D86A11">
      <w:pPr>
        <w:contextualSpacing/>
        <w:rPr>
          <w:rFonts w:ascii="Franklin Gothic Book" w:hAnsi="Franklin Gothic Book"/>
          <w:color w:val="auto"/>
          <w:spacing w:val="20"/>
          <w:szCs w:val="22"/>
        </w:rPr>
      </w:pPr>
      <w:r w:rsidRPr="00F13D97">
        <w:rPr>
          <w:rFonts w:ascii="Franklin Gothic Book" w:hAnsi="Franklin Gothic Book"/>
          <w:color w:val="auto"/>
          <w:spacing w:val="20"/>
          <w:szCs w:val="22"/>
        </w:rPr>
        <w:t>This outcome tracks the percentage of children who had been in out-of-home care between 12 and 23 months on the first day of the year and were subsequently discharged to permanency (reunification, guardianship or adoption) within the next 12 months.</w:t>
      </w:r>
    </w:p>
    <w:p w:rsidR="00D86A11" w:rsidRPr="00F13D97" w:rsidRDefault="00D86A11" w:rsidP="00D86A11">
      <w:pPr>
        <w:spacing w:after="0"/>
        <w:rPr>
          <w:rFonts w:ascii="Franklin Gothic Book" w:hAnsi="Franklin Gothic Book"/>
          <w:color w:val="auto"/>
          <w:spacing w:val="20"/>
          <w:szCs w:val="22"/>
        </w:rPr>
      </w:pPr>
    </w:p>
    <w:p w:rsidR="00D86A11" w:rsidRPr="00F13D97" w:rsidRDefault="00D86A11" w:rsidP="00D86A11">
      <w:pPr>
        <w:rPr>
          <w:rFonts w:ascii="Franklin Gothic Book" w:hAnsi="Franklin Gothic Book"/>
          <w:color w:val="auto"/>
          <w:spacing w:val="20"/>
          <w:szCs w:val="22"/>
        </w:rPr>
      </w:pPr>
      <w:r w:rsidRPr="00F13D97">
        <w:rPr>
          <w:rFonts w:ascii="Franklin Gothic Book" w:hAnsi="Franklin Gothic Book"/>
          <w:b/>
          <w:color w:val="auto"/>
          <w:spacing w:val="20"/>
          <w:szCs w:val="22"/>
        </w:rPr>
        <w:t>Trends:</w:t>
      </w:r>
      <w:r w:rsidRPr="00F13D97">
        <w:rPr>
          <w:rFonts w:ascii="Franklin Gothic Book" w:hAnsi="Franklin Gothic Book"/>
          <w:color w:val="auto"/>
          <w:spacing w:val="20"/>
          <w:szCs w:val="22"/>
        </w:rPr>
        <w:t xml:space="preserve"> The County’s performance on this measure has decreased from 47% in 2010 to 39.1% in 2015. The County’s rate is currently below the federal standard and below the State’s rate. </w:t>
      </w:r>
    </w:p>
    <w:p w:rsidR="00EF183B" w:rsidRDefault="00D86A11" w:rsidP="00D86A11">
      <w:pPr>
        <w:rPr>
          <w:rFonts w:ascii="Franklin Gothic Book" w:hAnsi="Franklin Gothic Book"/>
          <w:color w:val="auto"/>
          <w:spacing w:val="20"/>
          <w:szCs w:val="22"/>
        </w:rPr>
      </w:pPr>
      <w:r w:rsidRPr="00F13D97">
        <w:rPr>
          <w:rFonts w:ascii="Franklin Gothic Book" w:hAnsi="Franklin Gothic Book"/>
          <w:b/>
          <w:color w:val="auto"/>
          <w:spacing w:val="20"/>
          <w:szCs w:val="22"/>
        </w:rPr>
        <w:t>Race/Ethnicity:</w:t>
      </w:r>
      <w:r w:rsidRPr="00F13D97">
        <w:rPr>
          <w:rFonts w:ascii="Franklin Gothic Book" w:hAnsi="Franklin Gothic Book"/>
          <w:color w:val="auto"/>
          <w:spacing w:val="20"/>
          <w:szCs w:val="22"/>
        </w:rPr>
        <w:t xml:space="preserve"> In 2015, Asian/PI children had the highest permanency rate at 68.4% (13), followed by White children at 44.4% (71), Black children at 40.7% (63), Native American children at 40.0% (2) and Latino children at 34.7% (127). The rate for Latino children has exhibited a large decrease from 48.8% in 2010 to 39.1% in 2015.</w:t>
      </w:r>
    </w:p>
    <w:p w:rsidR="00EF183B" w:rsidRPr="00EF183B" w:rsidRDefault="00EF183B" w:rsidP="00EF183B">
      <w:pPr>
        <w:pStyle w:val="CommentText"/>
        <w:spacing w:before="200" w:after="40" w:line="276" w:lineRule="auto"/>
        <w:rPr>
          <w:rFonts w:ascii="Franklin Gothic Book" w:hAnsi="Franklin Gothic Book"/>
          <w:spacing w:val="20"/>
          <w:sz w:val="22"/>
          <w:szCs w:val="22"/>
        </w:rPr>
      </w:pPr>
      <w:r w:rsidRPr="00EF183B">
        <w:rPr>
          <w:rFonts w:ascii="Franklin Gothic Book" w:hAnsi="Franklin Gothic Book"/>
          <w:spacing w:val="20"/>
          <w:sz w:val="22"/>
          <w:szCs w:val="22"/>
        </w:rPr>
        <w:t xml:space="preserve">There were distinct differences for the type of exits for the three largest ethnicities, Black, White, </w:t>
      </w:r>
      <w:r w:rsidR="002B386D" w:rsidRPr="00EF183B">
        <w:rPr>
          <w:rFonts w:ascii="Franklin Gothic Book" w:hAnsi="Franklin Gothic Book"/>
          <w:spacing w:val="20"/>
          <w:sz w:val="22"/>
          <w:szCs w:val="22"/>
        </w:rPr>
        <w:t>and Hispanic</w:t>
      </w:r>
      <w:r w:rsidRPr="00EF183B">
        <w:rPr>
          <w:rFonts w:ascii="Franklin Gothic Book" w:hAnsi="Franklin Gothic Book"/>
          <w:spacing w:val="20"/>
          <w:sz w:val="22"/>
          <w:szCs w:val="22"/>
        </w:rPr>
        <w:t xml:space="preserve">. The highest percentage to reunify was Black children at 21.9%, Hispanic at 16.4%, and White at 14.3%. For exits to adoptions White children had the highest percentage at 28.6%, Black at 14.2%, and Hispanic at 13.2%. And for exits to guardianship Hispanic children had the highest percentage at 5.2%, followed by Black at 3.9%, and White at 2.5%. </w:t>
      </w:r>
    </w:p>
    <w:p w:rsidR="00EF183B" w:rsidRPr="00EF183B" w:rsidRDefault="00EF183B" w:rsidP="00EF183B">
      <w:pPr>
        <w:pStyle w:val="CommentText"/>
        <w:spacing w:before="200" w:after="40" w:line="276" w:lineRule="auto"/>
        <w:rPr>
          <w:rFonts w:ascii="Franklin Gothic Book" w:hAnsi="Franklin Gothic Book"/>
          <w:spacing w:val="20"/>
          <w:sz w:val="22"/>
          <w:szCs w:val="22"/>
        </w:rPr>
      </w:pPr>
      <w:r w:rsidRPr="00EF183B">
        <w:rPr>
          <w:rFonts w:ascii="Franklin Gothic Book" w:hAnsi="Franklin Gothic Book"/>
          <w:spacing w:val="20"/>
          <w:sz w:val="22"/>
          <w:szCs w:val="22"/>
        </w:rPr>
        <w:t>From 2010 to 2015: overall exits to reunification have decreased from 26.9% in CY2010 to 18.2% in CY2015 (-32%); overall exits to adoption decreased from 17.3% in CY2010 to 17.0% in CY2015 (-2%); overall exits to guardianship increased from 2.8% to 4.1% for CY2015 (+46%).</w:t>
      </w:r>
    </w:p>
    <w:p w:rsidR="00EF183B" w:rsidRPr="00F13D97" w:rsidRDefault="00EF183B" w:rsidP="00D86A11">
      <w:pPr>
        <w:rPr>
          <w:rFonts w:ascii="Franklin Gothic Book" w:hAnsi="Franklin Gothic Book"/>
          <w:color w:val="auto"/>
          <w:spacing w:val="20"/>
          <w:szCs w:val="22"/>
        </w:rPr>
      </w:pPr>
    </w:p>
    <w:p w:rsidR="00D86A11" w:rsidRPr="00B53ED5" w:rsidRDefault="00D86A11" w:rsidP="00D86A11">
      <w:pPr>
        <w:pStyle w:val="Heading2"/>
        <w:spacing w:line="276" w:lineRule="auto"/>
        <w:rPr>
          <w:b w:val="0"/>
          <w:color w:val="auto"/>
          <w:sz w:val="22"/>
        </w:rPr>
      </w:pPr>
      <w:r w:rsidRPr="0099547E">
        <w:rPr>
          <w:color w:val="auto"/>
          <w:sz w:val="22"/>
        </w:rPr>
        <w:t>Age:</w:t>
      </w:r>
      <w:r w:rsidRPr="0099547E">
        <w:rPr>
          <w:b w:val="0"/>
          <w:color w:val="auto"/>
          <w:sz w:val="22"/>
        </w:rPr>
        <w:t xml:space="preserve"> In 2015, the age group with the highest permanency rate was children aged 1-2 at 43.9%, followed by ages 6-10 at 42.5%, ages 3-5 at 40.2%, ages 11-15 at 30.7%, and ages 16-17 at 10.8%. Although the permanency rate for 16-17 year</w:t>
      </w:r>
      <w:r w:rsidR="0099547E" w:rsidRPr="0099547E">
        <w:rPr>
          <w:b w:val="0"/>
          <w:color w:val="auto"/>
          <w:sz w:val="22"/>
        </w:rPr>
        <w:t xml:space="preserve"> </w:t>
      </w:r>
      <w:r w:rsidRPr="0099547E">
        <w:rPr>
          <w:b w:val="0"/>
          <w:color w:val="auto"/>
          <w:sz w:val="22"/>
        </w:rPr>
        <w:lastRenderedPageBreak/>
        <w:t xml:space="preserve">olds is low, it was just as low (or lower) in 2010 and 2013. </w:t>
      </w:r>
      <w:r w:rsidRPr="00B53ED5">
        <w:rPr>
          <w:b w:val="0"/>
          <w:color w:val="auto"/>
          <w:sz w:val="22"/>
        </w:rPr>
        <w:t xml:space="preserve">However, what has changed is that in past years there were much higher percentages of youth exiting to “non-permanency” (39.7% in 2010 and 30.2% in 2011 versus 8.7% in 2015). Currently there is a much higher percentage of 16-17 year olds in the “still in care” category which increased from 49.3% in 2010 to 80.4% in 2015. The County’s performance on this measure is likely being somewhat impacted by older youth that are opting to stay in the system and participate in Extended Foster Care, rather than exit to permanency. However, this is probably not the only reason. If 16-17 year olds are excluded from the analysis, the County’s performance still drops from 50.2% in 2010 to 41.1% in 2015. </w:t>
      </w:r>
    </w:p>
    <w:p w:rsidR="00D86A11" w:rsidRPr="00B53ED5" w:rsidRDefault="00D86A11" w:rsidP="00D86A11">
      <w:pPr>
        <w:pStyle w:val="Heading2"/>
        <w:spacing w:line="276" w:lineRule="auto"/>
        <w:rPr>
          <w:b w:val="0"/>
          <w:color w:val="auto"/>
          <w:sz w:val="22"/>
        </w:rPr>
      </w:pPr>
      <w:r w:rsidRPr="00B53ED5">
        <w:rPr>
          <w:b w:val="0"/>
          <w:color w:val="auto"/>
          <w:sz w:val="22"/>
        </w:rPr>
        <w:t xml:space="preserve">Another possible reason for the County’s performance is that when the Court is not making all the findings that they should be at the 12-month hearing, it leads to the hearing being continued to 18 months which then delays permanency and impacts performance on the federal permanency measures. Continuances were noted as a barrier to timely permanency </w:t>
      </w:r>
      <w:r>
        <w:rPr>
          <w:b w:val="0"/>
          <w:color w:val="auto"/>
          <w:sz w:val="22"/>
        </w:rPr>
        <w:t>during the CSA and Peer Review input process.</w:t>
      </w:r>
    </w:p>
    <w:p w:rsidR="00D86A11" w:rsidRPr="008E359F" w:rsidRDefault="00D86A11" w:rsidP="00D86A11">
      <w:pPr>
        <w:pStyle w:val="Heading1"/>
        <w:rPr>
          <w:color w:val="F6872B"/>
          <w:sz w:val="24"/>
        </w:rPr>
      </w:pPr>
      <w:r w:rsidRPr="008E359F">
        <w:rPr>
          <w:color w:val="F6872B"/>
          <w:sz w:val="24"/>
        </w:rPr>
        <w:t>3-P3 Permanency in 12 Months in Care 24 Months or More</w:t>
      </w:r>
    </w:p>
    <w:tbl>
      <w:tblPr>
        <w:tblW w:w="9744" w:type="dxa"/>
        <w:tblBorders>
          <w:top w:val="single" w:sz="18" w:space="0" w:color="F6872B"/>
          <w:bottom w:val="single" w:sz="18" w:space="0" w:color="F6872B"/>
        </w:tblBorders>
        <w:tblLook w:val="04A0" w:firstRow="1" w:lastRow="0" w:firstColumn="1" w:lastColumn="0" w:noHBand="0" w:noVBand="1"/>
      </w:tblPr>
      <w:tblGrid>
        <w:gridCol w:w="3752"/>
        <w:gridCol w:w="947"/>
        <w:gridCol w:w="915"/>
        <w:gridCol w:w="1064"/>
        <w:gridCol w:w="1260"/>
        <w:gridCol w:w="990"/>
        <w:gridCol w:w="816"/>
      </w:tblGrid>
      <w:tr w:rsidR="00D86A11" w:rsidRPr="00F16FD2">
        <w:trPr>
          <w:trHeight w:val="742"/>
        </w:trPr>
        <w:tc>
          <w:tcPr>
            <w:tcW w:w="9744" w:type="dxa"/>
            <w:gridSpan w:val="7"/>
            <w:shd w:val="clear" w:color="auto" w:fill="013161"/>
            <w:noWrap/>
          </w:tcPr>
          <w:p w:rsidR="00D86A11" w:rsidRPr="000055D1" w:rsidRDefault="00D86A11" w:rsidP="00D86A11">
            <w:pPr>
              <w:spacing w:after="0"/>
              <w:contextualSpacing/>
              <w:jc w:val="center"/>
              <w:rPr>
                <w:rFonts w:ascii="Calibri" w:hAnsi="Calibri" w:cs="Calibri"/>
                <w:color w:val="FFFFFF"/>
              </w:rPr>
            </w:pPr>
            <w:r>
              <w:rPr>
                <w:rFonts w:ascii="Calibri" w:hAnsi="Calibri" w:cs="Calibri"/>
                <w:b/>
                <w:color w:val="FFFFFF"/>
                <w:sz w:val="24"/>
              </w:rPr>
              <w:t xml:space="preserve">Exhibit 58. County of </w:t>
            </w:r>
            <w:r w:rsidRPr="004C6FE7">
              <w:rPr>
                <w:rFonts w:ascii="Calibri" w:hAnsi="Calibri" w:cs="Calibri"/>
                <w:b/>
                <w:color w:val="FFFFFF"/>
                <w:sz w:val="24"/>
              </w:rPr>
              <w:t>San Diego Permanency in 12 Months for Children in Care 24+ Months</w:t>
            </w:r>
            <w:r w:rsidRPr="000055D1">
              <w:rPr>
                <w:rFonts w:ascii="Calibri" w:hAnsi="Calibri" w:cs="Calibri"/>
                <w:b/>
                <w:color w:val="FFFFFF"/>
              </w:rPr>
              <w:br/>
            </w:r>
            <w:r w:rsidRPr="000055D1">
              <w:rPr>
                <w:rFonts w:ascii="Calibri" w:eastAsia="Times New Roman" w:hAnsi="Calibri" w:cs="Arial"/>
                <w:color w:val="FFFFFF"/>
              </w:rPr>
              <w:t>Federal Standard</w:t>
            </w:r>
            <w:r w:rsidRPr="000055D1">
              <w:rPr>
                <w:rFonts w:ascii="Calibri" w:hAnsi="Calibri" w:cs="Calibri"/>
                <w:color w:val="FFFFFF"/>
              </w:rPr>
              <w:t xml:space="preserve"> 30.3%; California at 28.1%</w:t>
            </w:r>
          </w:p>
        </w:tc>
      </w:tr>
      <w:tr w:rsidR="00D86A11" w:rsidRPr="00F16FD2">
        <w:trPr>
          <w:trHeight w:val="317"/>
        </w:trPr>
        <w:tc>
          <w:tcPr>
            <w:tcW w:w="3752" w:type="dxa"/>
            <w:shd w:val="clear" w:color="auto" w:fill="013161"/>
            <w:noWrap/>
          </w:tcPr>
          <w:p w:rsidR="00D86A11" w:rsidRPr="00721EF1" w:rsidRDefault="00D86A11" w:rsidP="00D86A11">
            <w:pPr>
              <w:spacing w:after="0"/>
              <w:contextualSpacing/>
              <w:rPr>
                <w:rFonts w:ascii="Calibri" w:hAnsi="Calibri" w:cs="Calibri"/>
                <w:b/>
                <w:color w:val="FFFFFF"/>
              </w:rPr>
            </w:pPr>
            <w:r w:rsidRPr="00721EF1">
              <w:rPr>
                <w:rFonts w:ascii="Calibri" w:hAnsi="Calibri" w:cs="Calibri"/>
                <w:b/>
                <w:color w:val="FFFFFF"/>
              </w:rPr>
              <w:t> </w:t>
            </w:r>
          </w:p>
        </w:tc>
        <w:tc>
          <w:tcPr>
            <w:tcW w:w="947"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2010</w:t>
            </w:r>
          </w:p>
        </w:tc>
        <w:tc>
          <w:tcPr>
            <w:tcW w:w="915"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2011</w:t>
            </w:r>
          </w:p>
        </w:tc>
        <w:tc>
          <w:tcPr>
            <w:tcW w:w="1064"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2012</w:t>
            </w:r>
          </w:p>
        </w:tc>
        <w:tc>
          <w:tcPr>
            <w:tcW w:w="1260"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2013</w:t>
            </w:r>
          </w:p>
        </w:tc>
        <w:tc>
          <w:tcPr>
            <w:tcW w:w="990"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2014</w:t>
            </w:r>
          </w:p>
        </w:tc>
        <w:tc>
          <w:tcPr>
            <w:tcW w:w="816"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2015</w:t>
            </w:r>
          </w:p>
        </w:tc>
      </w:tr>
      <w:tr w:rsidR="00D86A11" w:rsidRPr="00F16FD2">
        <w:trPr>
          <w:trHeight w:val="317"/>
        </w:trPr>
        <w:tc>
          <w:tcPr>
            <w:tcW w:w="3752" w:type="dxa"/>
            <w:shd w:val="clear" w:color="auto" w:fill="auto"/>
            <w:noWrap/>
          </w:tcPr>
          <w:p w:rsidR="00D86A11" w:rsidRPr="00C0213B" w:rsidRDefault="00D86A11" w:rsidP="00D86A11">
            <w:pPr>
              <w:spacing w:after="0"/>
              <w:contextualSpacing/>
              <w:rPr>
                <w:rFonts w:ascii="Calibri" w:hAnsi="Calibri" w:cs="Calibri"/>
                <w:b/>
                <w:color w:val="013161"/>
                <w:sz w:val="20"/>
              </w:rPr>
            </w:pPr>
            <w:r w:rsidRPr="00C0213B">
              <w:rPr>
                <w:rFonts w:ascii="Calibri" w:hAnsi="Calibri" w:cs="Calibri"/>
                <w:b/>
                <w:color w:val="013161"/>
                <w:sz w:val="20"/>
              </w:rPr>
              <w:t>Children with exits to permanency (%)</w:t>
            </w:r>
          </w:p>
        </w:tc>
        <w:tc>
          <w:tcPr>
            <w:tcW w:w="947" w:type="dxa"/>
            <w:shd w:val="clear" w:color="auto" w:fill="auto"/>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29.1</w:t>
            </w:r>
          </w:p>
        </w:tc>
        <w:tc>
          <w:tcPr>
            <w:tcW w:w="915" w:type="dxa"/>
            <w:shd w:val="clear" w:color="auto" w:fill="auto"/>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28.1</w:t>
            </w:r>
          </w:p>
        </w:tc>
        <w:tc>
          <w:tcPr>
            <w:tcW w:w="1064" w:type="dxa"/>
            <w:shd w:val="clear" w:color="auto" w:fill="auto"/>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28.2</w:t>
            </w:r>
          </w:p>
        </w:tc>
        <w:tc>
          <w:tcPr>
            <w:tcW w:w="1260" w:type="dxa"/>
            <w:shd w:val="clear" w:color="auto" w:fill="auto"/>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29.6</w:t>
            </w:r>
          </w:p>
        </w:tc>
        <w:tc>
          <w:tcPr>
            <w:tcW w:w="990" w:type="dxa"/>
            <w:shd w:val="clear" w:color="auto" w:fill="auto"/>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31.8</w:t>
            </w:r>
          </w:p>
        </w:tc>
        <w:tc>
          <w:tcPr>
            <w:tcW w:w="816" w:type="dxa"/>
            <w:shd w:val="clear" w:color="auto" w:fill="auto"/>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34.0</w:t>
            </w:r>
          </w:p>
        </w:tc>
      </w:tr>
      <w:tr w:rsidR="00D86A11" w:rsidRPr="00F16FD2">
        <w:trPr>
          <w:trHeight w:val="317"/>
        </w:trPr>
        <w:tc>
          <w:tcPr>
            <w:tcW w:w="3752" w:type="dxa"/>
            <w:shd w:val="clear" w:color="auto" w:fill="DBE5F1"/>
            <w:noWrap/>
          </w:tcPr>
          <w:p w:rsidR="00D86A11" w:rsidRPr="00C0213B" w:rsidRDefault="00D86A11" w:rsidP="00D86A11">
            <w:pPr>
              <w:spacing w:after="0"/>
              <w:contextualSpacing/>
              <w:rPr>
                <w:rFonts w:ascii="Calibri" w:hAnsi="Calibri" w:cs="Calibri"/>
                <w:b/>
                <w:color w:val="013161"/>
                <w:sz w:val="20"/>
              </w:rPr>
            </w:pPr>
            <w:r w:rsidRPr="00C0213B">
              <w:rPr>
                <w:rFonts w:ascii="Calibri" w:hAnsi="Calibri" w:cs="Calibri"/>
                <w:b/>
                <w:color w:val="013161"/>
                <w:sz w:val="20"/>
              </w:rPr>
              <w:t>Children with exits to permanency (n)</w:t>
            </w:r>
          </w:p>
        </w:tc>
        <w:tc>
          <w:tcPr>
            <w:tcW w:w="947" w:type="dxa"/>
            <w:shd w:val="clear" w:color="auto" w:fill="DBE5F1"/>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408</w:t>
            </w:r>
          </w:p>
        </w:tc>
        <w:tc>
          <w:tcPr>
            <w:tcW w:w="915" w:type="dxa"/>
            <w:shd w:val="clear" w:color="auto" w:fill="DBE5F1"/>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337</w:t>
            </w:r>
          </w:p>
        </w:tc>
        <w:tc>
          <w:tcPr>
            <w:tcW w:w="1064" w:type="dxa"/>
            <w:shd w:val="clear" w:color="auto" w:fill="DBE5F1"/>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281</w:t>
            </w:r>
          </w:p>
        </w:tc>
        <w:tc>
          <w:tcPr>
            <w:tcW w:w="1260" w:type="dxa"/>
            <w:shd w:val="clear" w:color="auto" w:fill="DBE5F1"/>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251</w:t>
            </w:r>
          </w:p>
        </w:tc>
        <w:tc>
          <w:tcPr>
            <w:tcW w:w="990" w:type="dxa"/>
            <w:shd w:val="clear" w:color="auto" w:fill="DBE5F1"/>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272</w:t>
            </w:r>
          </w:p>
        </w:tc>
        <w:tc>
          <w:tcPr>
            <w:tcW w:w="816" w:type="dxa"/>
            <w:shd w:val="clear" w:color="auto" w:fill="DBE5F1"/>
            <w:noWrap/>
          </w:tcPr>
          <w:p w:rsidR="00D86A11" w:rsidRPr="00C0213B" w:rsidRDefault="00D86A11" w:rsidP="00D86A11">
            <w:pPr>
              <w:spacing w:after="0"/>
              <w:contextualSpacing/>
              <w:jc w:val="center"/>
              <w:rPr>
                <w:rFonts w:ascii="Calibri" w:hAnsi="Calibri" w:cs="Calibri"/>
                <w:b/>
                <w:color w:val="013161"/>
                <w:sz w:val="20"/>
              </w:rPr>
            </w:pPr>
            <w:r w:rsidRPr="00C0213B">
              <w:rPr>
                <w:rFonts w:ascii="Calibri" w:hAnsi="Calibri" w:cs="Calibri"/>
                <w:b/>
                <w:color w:val="013161"/>
                <w:sz w:val="20"/>
              </w:rPr>
              <w:t>295</w:t>
            </w:r>
          </w:p>
        </w:tc>
      </w:tr>
    </w:tbl>
    <w:p w:rsidR="00D86A11" w:rsidRPr="008E359F" w:rsidRDefault="00D86A11" w:rsidP="00D86A11">
      <w:pPr>
        <w:pStyle w:val="Heading1"/>
        <w:rPr>
          <w:color w:val="2E7029"/>
          <w:sz w:val="24"/>
        </w:rPr>
      </w:pPr>
      <w:r w:rsidRPr="008E359F">
        <w:rPr>
          <w:color w:val="2E7029"/>
          <w:sz w:val="24"/>
        </w:rPr>
        <w:t xml:space="preserve">Analysis </w:t>
      </w:r>
    </w:p>
    <w:p w:rsidR="00D86A11" w:rsidRPr="0038020A" w:rsidRDefault="00D86A11" w:rsidP="00D86A11">
      <w:pPr>
        <w:spacing w:after="0"/>
        <w:contextualSpacing/>
        <w:rPr>
          <w:rFonts w:ascii="Franklin Gothic Book" w:hAnsi="Franklin Gothic Book"/>
          <w:color w:val="auto"/>
          <w:spacing w:val="20"/>
          <w:szCs w:val="28"/>
        </w:rPr>
      </w:pPr>
      <w:r w:rsidRPr="0038020A">
        <w:rPr>
          <w:rFonts w:ascii="Franklin Gothic Book" w:hAnsi="Franklin Gothic Book"/>
          <w:color w:val="auto"/>
          <w:spacing w:val="20"/>
          <w:szCs w:val="28"/>
        </w:rPr>
        <w:t>This outcome tracks the percentage of children who were in out-of-home care for 24 months or more on the first day of the year and were subsequently discharged to permanency (reunification, guardianship or adoption) within the next 12 months.</w:t>
      </w:r>
    </w:p>
    <w:p w:rsidR="00D86A11" w:rsidRPr="0038020A" w:rsidRDefault="00D86A11" w:rsidP="00D86A11">
      <w:pPr>
        <w:spacing w:before="240"/>
        <w:rPr>
          <w:rFonts w:ascii="Franklin Gothic Book" w:hAnsi="Franklin Gothic Book"/>
          <w:color w:val="auto"/>
          <w:spacing w:val="20"/>
          <w:szCs w:val="28"/>
        </w:rPr>
      </w:pPr>
      <w:r w:rsidRPr="0038020A">
        <w:rPr>
          <w:rFonts w:ascii="Franklin Gothic Book" w:hAnsi="Franklin Gothic Book"/>
          <w:b/>
          <w:color w:val="auto"/>
          <w:spacing w:val="20"/>
          <w:szCs w:val="28"/>
        </w:rPr>
        <w:t>Trends:</w:t>
      </w:r>
      <w:r w:rsidRPr="0038020A">
        <w:rPr>
          <w:rFonts w:ascii="Franklin Gothic Book" w:hAnsi="Franklin Gothic Book"/>
          <w:color w:val="auto"/>
          <w:spacing w:val="20"/>
          <w:szCs w:val="28"/>
        </w:rPr>
        <w:t xml:space="preserve"> </w:t>
      </w:r>
      <w:r>
        <w:rPr>
          <w:rFonts w:ascii="Franklin Gothic Book" w:hAnsi="Franklin Gothic Book"/>
          <w:color w:val="auto"/>
          <w:spacing w:val="20"/>
          <w:szCs w:val="28"/>
        </w:rPr>
        <w:t>The County of San Diego</w:t>
      </w:r>
      <w:r w:rsidRPr="0038020A">
        <w:rPr>
          <w:rFonts w:ascii="Franklin Gothic Book" w:hAnsi="Franklin Gothic Book"/>
          <w:color w:val="auto"/>
          <w:spacing w:val="20"/>
          <w:szCs w:val="28"/>
        </w:rPr>
        <w:t>’s rate is improving, is meeting the federal standard and is better than the State’s rate. Of the 295 children that exited to permanency in 2015, 88.5% exited to adoptive homes.</w:t>
      </w:r>
    </w:p>
    <w:p w:rsidR="00D86A11" w:rsidRPr="0038020A" w:rsidRDefault="00D86A11" w:rsidP="00D86A11">
      <w:pPr>
        <w:rPr>
          <w:rFonts w:ascii="Franklin Gothic Book" w:hAnsi="Franklin Gothic Book"/>
          <w:color w:val="auto"/>
          <w:spacing w:val="20"/>
          <w:szCs w:val="28"/>
        </w:rPr>
      </w:pPr>
      <w:r w:rsidRPr="0038020A">
        <w:rPr>
          <w:rFonts w:ascii="Franklin Gothic Book" w:hAnsi="Franklin Gothic Book"/>
          <w:b/>
          <w:color w:val="auto"/>
          <w:spacing w:val="20"/>
          <w:szCs w:val="28"/>
        </w:rPr>
        <w:t>Race/Ethnicity:</w:t>
      </w:r>
      <w:r w:rsidRPr="0038020A">
        <w:rPr>
          <w:rFonts w:ascii="Franklin Gothic Book" w:hAnsi="Franklin Gothic Book"/>
          <w:color w:val="auto"/>
          <w:spacing w:val="20"/>
          <w:szCs w:val="28"/>
        </w:rPr>
        <w:t xml:space="preserve"> In 2015, Native American children had the highest permanency rate at 45.0% (9), followed by White children at 43.2% (88), Latino children at 34.7% (148), Asian/PI at 25.0% (5) and Black children at 22.7% (45). </w:t>
      </w:r>
    </w:p>
    <w:p w:rsidR="00D86A11" w:rsidRPr="0038020A" w:rsidRDefault="00D86A11" w:rsidP="00D86A11">
      <w:pPr>
        <w:spacing w:after="0"/>
        <w:rPr>
          <w:rFonts w:ascii="Franklin Gothic Book" w:hAnsi="Franklin Gothic Book"/>
          <w:color w:val="auto"/>
          <w:spacing w:val="20"/>
          <w:szCs w:val="28"/>
        </w:rPr>
      </w:pPr>
      <w:r w:rsidRPr="0038020A">
        <w:rPr>
          <w:rFonts w:ascii="Franklin Gothic Book" w:hAnsi="Franklin Gothic Book"/>
          <w:b/>
          <w:color w:val="auto"/>
          <w:spacing w:val="20"/>
          <w:szCs w:val="28"/>
        </w:rPr>
        <w:t>Age:</w:t>
      </w:r>
      <w:r w:rsidRPr="0038020A">
        <w:rPr>
          <w:rFonts w:ascii="Franklin Gothic Book" w:hAnsi="Franklin Gothic Book"/>
          <w:color w:val="auto"/>
          <w:spacing w:val="20"/>
          <w:szCs w:val="28"/>
        </w:rPr>
        <w:t xml:space="preserve"> In 2015, the age group with the highest permanency rate was 1-2 year olds at 65.5% (57), followed by 3-5 year olds at 50.6% (89), 6-10 year olds at 41.7% (82), 11-15 year olds at 24.2% (58), and 16-17 year olds at 5.4% (9). </w:t>
      </w:r>
    </w:p>
    <w:p w:rsidR="00D86A11" w:rsidRPr="0038020A" w:rsidRDefault="00D86A11" w:rsidP="00D86A11">
      <w:pPr>
        <w:pStyle w:val="Heading2"/>
        <w:spacing w:line="276" w:lineRule="auto"/>
        <w:rPr>
          <w:b w:val="0"/>
          <w:color w:val="auto"/>
          <w:sz w:val="22"/>
        </w:rPr>
      </w:pPr>
      <w:r w:rsidRPr="0038020A">
        <w:rPr>
          <w:b w:val="0"/>
          <w:color w:val="auto"/>
          <w:sz w:val="22"/>
        </w:rPr>
        <w:t xml:space="preserve">Over the last few years, the County of San Diego has restructured the adoption program, implemented multiple reforms and increased services for adoptive families resulting in the County achieving 510 adoption finalizations in FY 2015-2016. As part of the department restructuring, the County added a position for an Adoption Policy Analyst to update, formalize and maintain adoption policies. In </w:t>
      </w:r>
      <w:r w:rsidRPr="0038020A">
        <w:rPr>
          <w:b w:val="0"/>
          <w:color w:val="auto"/>
          <w:sz w:val="22"/>
        </w:rPr>
        <w:lastRenderedPageBreak/>
        <w:t xml:space="preserve">addition, My Adoption Portal (MAP) was implemented which allows families and workers to track and complete many aspects of the home study process electronically. In 2012, the County implemented “Melding” so that all new families applying to be foster parents are now completing the adoption home approval process before licensing. Since many children in the adoption program are adopted by their foster families, this expedites the adoption process and leads to more timely permanency for children. </w:t>
      </w:r>
    </w:p>
    <w:p w:rsidR="00D86A11" w:rsidRPr="0038020A" w:rsidRDefault="00D86A11" w:rsidP="00D86A11">
      <w:pPr>
        <w:pStyle w:val="Heading2"/>
        <w:spacing w:line="276" w:lineRule="auto"/>
        <w:rPr>
          <w:b w:val="0"/>
          <w:color w:val="auto"/>
          <w:sz w:val="22"/>
        </w:rPr>
      </w:pPr>
      <w:r w:rsidRPr="0038020A">
        <w:rPr>
          <w:b w:val="0"/>
          <w:color w:val="auto"/>
          <w:sz w:val="22"/>
        </w:rPr>
        <w:t>Permanency for youth that have been in group home care for three years or more is supported by the use Permanency Roundtables conducted in partnership with Casey Family Programs. A Permanency Roundtable brings together key players to identify realistic solutions to permanency obstacles for the youth and to develop individualized permanency plans. The practice is used by both the Residential and Adoptions programs.</w:t>
      </w:r>
    </w:p>
    <w:p w:rsidR="00D86A11" w:rsidRPr="0038020A" w:rsidRDefault="00D86A11" w:rsidP="00D86A11">
      <w:pPr>
        <w:pStyle w:val="Heading2"/>
        <w:spacing w:line="276" w:lineRule="auto"/>
        <w:rPr>
          <w:b w:val="0"/>
          <w:color w:val="auto"/>
          <w:sz w:val="22"/>
        </w:rPr>
      </w:pPr>
      <w:r w:rsidRPr="0038020A">
        <w:rPr>
          <w:b w:val="0"/>
          <w:color w:val="auto"/>
          <w:sz w:val="22"/>
        </w:rPr>
        <w:t xml:space="preserve">There are several state level changes that have likely had an impact on this measure. First, the Approved Relative Caregiver (ARC) program implemented in 2015 led to relatives receiving the same payment rate as foster parents. This helps relatives address the costs associated with caring for their family members and may lead to eventual adoption or guardianship if the children are unable to reunify. In addition, with the passage of SB794 in 2015, long-term foster care for children under the age of 16 was eliminated and the State began counting children who are living with a “fit and willing relative” as achieving permanency, even if that relative was not willing or able to be a guardian or adoptive parent. </w:t>
      </w:r>
    </w:p>
    <w:p w:rsidR="00D86A11" w:rsidRPr="0038020A" w:rsidRDefault="00D86A11" w:rsidP="00D86A11">
      <w:pPr>
        <w:pStyle w:val="Heading2"/>
        <w:spacing w:line="276" w:lineRule="auto"/>
        <w:rPr>
          <w:b w:val="0"/>
          <w:color w:val="auto"/>
          <w:sz w:val="22"/>
        </w:rPr>
      </w:pPr>
      <w:r w:rsidRPr="0038020A">
        <w:rPr>
          <w:b w:val="0"/>
          <w:color w:val="auto"/>
          <w:sz w:val="22"/>
        </w:rPr>
        <w:t xml:space="preserve">Finally, the improved economy and improved employment may be easing financial burdens for families and may be making it easier for them to provide a forever home for children in the foster care system. </w:t>
      </w:r>
    </w:p>
    <w:p w:rsidR="00D86A11" w:rsidRDefault="00D86A11" w:rsidP="00D86A11">
      <w:pPr>
        <w:pStyle w:val="Heading1"/>
        <w:rPr>
          <w:color w:val="F6872B"/>
          <w:sz w:val="24"/>
        </w:rPr>
      </w:pPr>
      <w:r w:rsidRPr="004E3F75">
        <w:rPr>
          <w:color w:val="F6872B"/>
          <w:sz w:val="24"/>
        </w:rPr>
        <w:t xml:space="preserve">3-P4 Re-Entry to Foster Care in 12 Months </w:t>
      </w:r>
    </w:p>
    <w:p w:rsidR="00D86A11" w:rsidRPr="00B120B1" w:rsidRDefault="00D86A11" w:rsidP="00D86A11">
      <w:pPr>
        <w:jc w:val="center"/>
      </w:pPr>
      <w:r w:rsidRPr="007B68A1">
        <w:rPr>
          <w:rFonts w:ascii="Calibri" w:hAnsi="Calibri"/>
          <w:b/>
          <w:color w:val="17365D"/>
          <w:spacing w:val="20"/>
          <w:sz w:val="24"/>
          <w:szCs w:val="22"/>
        </w:rPr>
        <w:t xml:space="preserve">Exhibit </w:t>
      </w:r>
      <w:r>
        <w:rPr>
          <w:rFonts w:ascii="Calibri" w:hAnsi="Calibri"/>
          <w:b/>
          <w:color w:val="17365D"/>
          <w:spacing w:val="20"/>
          <w:sz w:val="24"/>
          <w:szCs w:val="22"/>
        </w:rPr>
        <w:t>59. 3-P4 Measure</w:t>
      </w:r>
    </w:p>
    <w:p w:rsidR="00D86A11" w:rsidRPr="006E1A30" w:rsidRDefault="000B1863" w:rsidP="00D86A11">
      <w:pPr>
        <w:pStyle w:val="ColorfulList-Accent11"/>
        <w:ind w:left="0"/>
        <w:jc w:val="center"/>
      </w:pPr>
      <w:r>
        <w:rPr>
          <w:noProof/>
        </w:rPr>
        <w:drawing>
          <wp:inline distT="0" distB="0" distL="0" distR="0">
            <wp:extent cx="3665568" cy="1860759"/>
            <wp:effectExtent l="4707" t="3930" r="6375" b="2211"/>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B1863" w:rsidRDefault="00C17026" w:rsidP="00746D69">
      <w:pPr>
        <w:jc w:val="center"/>
      </w:pPr>
      <w:r>
        <w:rPr>
          <w:noProof/>
        </w:rPr>
        <w:lastRenderedPageBreak/>
        <w:drawing>
          <wp:inline distT="0" distB="0" distL="0" distR="0">
            <wp:extent cx="3657600" cy="1857375"/>
            <wp:effectExtent l="0" t="0" r="19050" b="9525"/>
            <wp:docPr id="18"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86A11" w:rsidRDefault="00D86A11" w:rsidP="00D86A11">
      <w:pPr>
        <w:spacing w:after="0"/>
        <w:jc w:val="center"/>
        <w:rPr>
          <w:rFonts w:ascii="Calibri" w:hAnsi="Calibri" w:cs="Calibri"/>
          <w:b/>
          <w:sz w:val="24"/>
          <w:szCs w:val="24"/>
        </w:rPr>
      </w:pPr>
    </w:p>
    <w:p w:rsidR="00D86A11" w:rsidRDefault="00D86A11" w:rsidP="00D86A11">
      <w:pPr>
        <w:spacing w:after="0"/>
        <w:rPr>
          <w:rFonts w:ascii="Calibri" w:hAnsi="Calibri" w:cs="Calibri"/>
          <w:b/>
          <w:sz w:val="24"/>
          <w:szCs w:val="24"/>
        </w:rPr>
      </w:pPr>
    </w:p>
    <w:tbl>
      <w:tblPr>
        <w:tblW w:w="0" w:type="auto"/>
        <w:tblBorders>
          <w:top w:val="single" w:sz="18" w:space="0" w:color="F6872B"/>
          <w:bottom w:val="single" w:sz="18" w:space="0" w:color="F6872B"/>
        </w:tblBorders>
        <w:tblLook w:val="04A0" w:firstRow="1" w:lastRow="0" w:firstColumn="1" w:lastColumn="0" w:noHBand="0" w:noVBand="1"/>
      </w:tblPr>
      <w:tblGrid>
        <w:gridCol w:w="3024"/>
        <w:gridCol w:w="1056"/>
        <w:gridCol w:w="1056"/>
        <w:gridCol w:w="1056"/>
        <w:gridCol w:w="1056"/>
        <w:gridCol w:w="1056"/>
        <w:gridCol w:w="1056"/>
      </w:tblGrid>
      <w:tr w:rsidR="00D86A11" w:rsidRPr="00945D04">
        <w:trPr>
          <w:trHeight w:val="666"/>
        </w:trPr>
        <w:tc>
          <w:tcPr>
            <w:tcW w:w="9576" w:type="dxa"/>
            <w:gridSpan w:val="7"/>
            <w:shd w:val="clear" w:color="auto" w:fill="013161"/>
            <w:noWrap/>
          </w:tcPr>
          <w:p w:rsidR="00D86A11" w:rsidRPr="000055D1" w:rsidRDefault="00D86A11" w:rsidP="00D86A11">
            <w:pPr>
              <w:spacing w:after="0"/>
              <w:jc w:val="center"/>
              <w:rPr>
                <w:rFonts w:ascii="Calibri" w:hAnsi="Calibri" w:cs="Calibri"/>
                <w:smallCaps/>
                <w:color w:val="FFFFFF"/>
              </w:rPr>
            </w:pPr>
            <w:r>
              <w:rPr>
                <w:rFonts w:ascii="Calibri" w:hAnsi="Calibri" w:cs="Calibri"/>
                <w:b/>
                <w:color w:val="FFFFFF"/>
                <w:sz w:val="24"/>
              </w:rPr>
              <w:t xml:space="preserve">Exhibit 60. County of </w:t>
            </w:r>
            <w:r w:rsidRPr="004C6FE7">
              <w:rPr>
                <w:rFonts w:ascii="Calibri" w:hAnsi="Calibri" w:cs="Calibri"/>
                <w:b/>
                <w:color w:val="FFFFFF"/>
                <w:sz w:val="24"/>
              </w:rPr>
              <w:t>San Diego Re-Entry to Foster Care in 12 Months</w:t>
            </w:r>
            <w:r w:rsidRPr="000055D1">
              <w:rPr>
                <w:rFonts w:ascii="Calibri" w:hAnsi="Calibri" w:cs="Calibri"/>
                <w:color w:val="FFFFFF"/>
              </w:rPr>
              <w:br/>
            </w:r>
            <w:r w:rsidRPr="000055D1">
              <w:rPr>
                <w:rFonts w:ascii="Calibri" w:eastAsia="Times New Roman" w:hAnsi="Calibri" w:cs="Arial"/>
                <w:color w:val="FFFFFF"/>
              </w:rPr>
              <w:t>Federal Standard</w:t>
            </w:r>
            <w:r w:rsidRPr="000055D1">
              <w:rPr>
                <w:rFonts w:ascii="Calibri" w:hAnsi="Calibri" w:cs="Calibri"/>
                <w:color w:val="FFFFFF"/>
              </w:rPr>
              <w:t xml:space="preserve"> 8.3%; California at 11.3%</w:t>
            </w:r>
          </w:p>
        </w:tc>
      </w:tr>
      <w:tr w:rsidR="00D86A11" w:rsidRPr="00945D04">
        <w:trPr>
          <w:trHeight w:val="255"/>
        </w:trPr>
        <w:tc>
          <w:tcPr>
            <w:tcW w:w="3102" w:type="dxa"/>
            <w:shd w:val="clear" w:color="auto" w:fill="013161"/>
            <w:noWrap/>
          </w:tcPr>
          <w:p w:rsidR="00D86A11" w:rsidRPr="00721EF1" w:rsidRDefault="00D86A11" w:rsidP="00D86A11">
            <w:pPr>
              <w:spacing w:after="0"/>
              <w:rPr>
                <w:rFonts w:ascii="Calibri" w:hAnsi="Calibri" w:cs="Calibri"/>
                <w:b/>
                <w:smallCaps/>
                <w:color w:val="FFFFFF"/>
              </w:rPr>
            </w:pPr>
          </w:p>
        </w:tc>
        <w:tc>
          <w:tcPr>
            <w:tcW w:w="1079"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2008</w:t>
            </w:r>
          </w:p>
        </w:tc>
        <w:tc>
          <w:tcPr>
            <w:tcW w:w="1079"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2009</w:t>
            </w:r>
          </w:p>
        </w:tc>
        <w:tc>
          <w:tcPr>
            <w:tcW w:w="1079"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2010</w:t>
            </w:r>
          </w:p>
        </w:tc>
        <w:tc>
          <w:tcPr>
            <w:tcW w:w="1079"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2011</w:t>
            </w:r>
          </w:p>
        </w:tc>
        <w:tc>
          <w:tcPr>
            <w:tcW w:w="1079"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2012</w:t>
            </w:r>
          </w:p>
        </w:tc>
        <w:tc>
          <w:tcPr>
            <w:tcW w:w="1079"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2013</w:t>
            </w:r>
          </w:p>
        </w:tc>
      </w:tr>
      <w:tr w:rsidR="00D86A11" w:rsidRPr="00945D04">
        <w:trPr>
          <w:trHeight w:val="255"/>
        </w:trPr>
        <w:tc>
          <w:tcPr>
            <w:tcW w:w="3102" w:type="dxa"/>
            <w:shd w:val="clear" w:color="auto" w:fill="auto"/>
            <w:noWrap/>
          </w:tcPr>
          <w:p w:rsidR="00D86A11" w:rsidRPr="009A726D" w:rsidRDefault="00D86A11" w:rsidP="00D86A11">
            <w:pPr>
              <w:spacing w:after="0"/>
              <w:rPr>
                <w:rFonts w:ascii="Calibri" w:hAnsi="Calibri" w:cs="Calibri"/>
                <w:b/>
                <w:smallCaps/>
                <w:color w:val="013161"/>
                <w:sz w:val="20"/>
                <w:szCs w:val="22"/>
              </w:rPr>
            </w:pPr>
            <w:r w:rsidRPr="009A726D">
              <w:rPr>
                <w:rFonts w:ascii="Calibri" w:hAnsi="Calibri" w:cs="Calibri"/>
                <w:b/>
                <w:smallCaps/>
                <w:color w:val="013161"/>
                <w:sz w:val="20"/>
                <w:szCs w:val="22"/>
              </w:rPr>
              <w:t>Children with re-entries (%)</w:t>
            </w:r>
          </w:p>
        </w:tc>
        <w:tc>
          <w:tcPr>
            <w:tcW w:w="1079" w:type="dxa"/>
            <w:shd w:val="clear" w:color="auto" w:fill="auto"/>
            <w:noWrap/>
          </w:tcPr>
          <w:p w:rsidR="00D86A11" w:rsidRPr="009A726D" w:rsidRDefault="00D86A11" w:rsidP="00D86A11">
            <w:pPr>
              <w:spacing w:after="0"/>
              <w:jc w:val="center"/>
              <w:rPr>
                <w:rFonts w:ascii="Calibri" w:hAnsi="Calibri" w:cs="Calibri"/>
                <w:b/>
                <w:smallCaps/>
                <w:color w:val="013161"/>
                <w:sz w:val="20"/>
              </w:rPr>
            </w:pPr>
            <w:r w:rsidRPr="009A726D">
              <w:rPr>
                <w:rFonts w:ascii="Calibri" w:hAnsi="Calibri" w:cs="Calibri"/>
                <w:b/>
                <w:smallCaps/>
                <w:color w:val="013161"/>
                <w:sz w:val="20"/>
              </w:rPr>
              <w:t>8.7</w:t>
            </w:r>
          </w:p>
        </w:tc>
        <w:tc>
          <w:tcPr>
            <w:tcW w:w="1079" w:type="dxa"/>
            <w:shd w:val="clear" w:color="auto" w:fill="auto"/>
            <w:noWrap/>
          </w:tcPr>
          <w:p w:rsidR="00D86A11" w:rsidRPr="009A726D" w:rsidRDefault="00D86A11" w:rsidP="00D86A11">
            <w:pPr>
              <w:spacing w:after="0"/>
              <w:jc w:val="center"/>
              <w:rPr>
                <w:rFonts w:ascii="Calibri" w:hAnsi="Calibri" w:cs="Calibri"/>
                <w:b/>
                <w:smallCaps/>
                <w:color w:val="013161"/>
                <w:sz w:val="20"/>
              </w:rPr>
            </w:pPr>
            <w:r w:rsidRPr="009A726D">
              <w:rPr>
                <w:rFonts w:ascii="Calibri" w:hAnsi="Calibri" w:cs="Calibri"/>
                <w:b/>
                <w:smallCaps/>
                <w:color w:val="013161"/>
                <w:sz w:val="20"/>
              </w:rPr>
              <w:t>9.9</w:t>
            </w:r>
          </w:p>
        </w:tc>
        <w:tc>
          <w:tcPr>
            <w:tcW w:w="1079" w:type="dxa"/>
            <w:shd w:val="clear" w:color="auto" w:fill="auto"/>
            <w:noWrap/>
          </w:tcPr>
          <w:p w:rsidR="00D86A11" w:rsidRPr="009A726D" w:rsidRDefault="00D86A11" w:rsidP="00D86A11">
            <w:pPr>
              <w:spacing w:after="0"/>
              <w:jc w:val="center"/>
              <w:rPr>
                <w:rFonts w:ascii="Calibri" w:hAnsi="Calibri" w:cs="Calibri"/>
                <w:b/>
                <w:smallCaps/>
                <w:color w:val="013161"/>
                <w:sz w:val="20"/>
              </w:rPr>
            </w:pPr>
            <w:r w:rsidRPr="009A726D">
              <w:rPr>
                <w:rFonts w:ascii="Calibri" w:hAnsi="Calibri" w:cs="Calibri"/>
                <w:b/>
                <w:smallCaps/>
                <w:color w:val="013161"/>
                <w:sz w:val="20"/>
              </w:rPr>
              <w:t>9.4</w:t>
            </w:r>
          </w:p>
        </w:tc>
        <w:tc>
          <w:tcPr>
            <w:tcW w:w="1079" w:type="dxa"/>
            <w:shd w:val="clear" w:color="auto" w:fill="auto"/>
            <w:noWrap/>
          </w:tcPr>
          <w:p w:rsidR="00D86A11" w:rsidRPr="009A726D" w:rsidRDefault="00D86A11" w:rsidP="00D86A11">
            <w:pPr>
              <w:spacing w:after="0"/>
              <w:jc w:val="center"/>
              <w:rPr>
                <w:rFonts w:ascii="Calibri" w:hAnsi="Calibri" w:cs="Calibri"/>
                <w:b/>
                <w:smallCaps/>
                <w:color w:val="013161"/>
                <w:sz w:val="20"/>
              </w:rPr>
            </w:pPr>
            <w:r w:rsidRPr="009A726D">
              <w:rPr>
                <w:rFonts w:ascii="Calibri" w:hAnsi="Calibri" w:cs="Calibri"/>
                <w:b/>
                <w:smallCaps/>
                <w:color w:val="013161"/>
                <w:sz w:val="20"/>
              </w:rPr>
              <w:t>9.8</w:t>
            </w:r>
          </w:p>
        </w:tc>
        <w:tc>
          <w:tcPr>
            <w:tcW w:w="1079" w:type="dxa"/>
            <w:shd w:val="clear" w:color="auto" w:fill="auto"/>
            <w:noWrap/>
          </w:tcPr>
          <w:p w:rsidR="00D86A11" w:rsidRPr="009A726D" w:rsidRDefault="00D86A11" w:rsidP="00D86A11">
            <w:pPr>
              <w:spacing w:after="0"/>
              <w:jc w:val="center"/>
              <w:rPr>
                <w:rFonts w:ascii="Calibri" w:hAnsi="Calibri" w:cs="Calibri"/>
                <w:b/>
                <w:smallCaps/>
                <w:color w:val="013161"/>
                <w:sz w:val="20"/>
              </w:rPr>
            </w:pPr>
            <w:r w:rsidRPr="009A726D">
              <w:rPr>
                <w:rFonts w:ascii="Calibri" w:hAnsi="Calibri" w:cs="Calibri"/>
                <w:b/>
                <w:smallCaps/>
                <w:color w:val="013161"/>
                <w:sz w:val="20"/>
              </w:rPr>
              <w:t>8.7</w:t>
            </w:r>
          </w:p>
        </w:tc>
        <w:tc>
          <w:tcPr>
            <w:tcW w:w="1079" w:type="dxa"/>
            <w:shd w:val="clear" w:color="auto" w:fill="auto"/>
            <w:noWrap/>
          </w:tcPr>
          <w:p w:rsidR="00D86A11" w:rsidRPr="009A726D" w:rsidRDefault="00D86A11" w:rsidP="00D86A11">
            <w:pPr>
              <w:spacing w:after="0"/>
              <w:jc w:val="center"/>
              <w:rPr>
                <w:rFonts w:ascii="Calibri" w:hAnsi="Calibri" w:cs="Calibri"/>
                <w:b/>
                <w:smallCaps/>
                <w:color w:val="013161"/>
                <w:sz w:val="20"/>
              </w:rPr>
            </w:pPr>
            <w:r w:rsidRPr="009A726D">
              <w:rPr>
                <w:rFonts w:ascii="Calibri" w:hAnsi="Calibri" w:cs="Calibri"/>
                <w:b/>
                <w:smallCaps/>
                <w:color w:val="013161"/>
                <w:sz w:val="20"/>
              </w:rPr>
              <w:t>9.9</w:t>
            </w:r>
          </w:p>
        </w:tc>
      </w:tr>
      <w:tr w:rsidR="00D86A11" w:rsidRPr="00945D04">
        <w:trPr>
          <w:trHeight w:val="255"/>
        </w:trPr>
        <w:tc>
          <w:tcPr>
            <w:tcW w:w="3102" w:type="dxa"/>
            <w:shd w:val="clear" w:color="auto" w:fill="DBE5F1"/>
            <w:noWrap/>
          </w:tcPr>
          <w:p w:rsidR="00D86A11" w:rsidRPr="009A726D" w:rsidRDefault="00D86A11" w:rsidP="00D86A11">
            <w:pPr>
              <w:spacing w:after="0"/>
              <w:rPr>
                <w:rFonts w:ascii="Calibri" w:hAnsi="Calibri" w:cs="Calibri"/>
                <w:b/>
                <w:smallCaps/>
                <w:color w:val="013161"/>
                <w:sz w:val="20"/>
                <w:szCs w:val="22"/>
              </w:rPr>
            </w:pPr>
            <w:r w:rsidRPr="009A726D">
              <w:rPr>
                <w:rFonts w:ascii="Calibri" w:hAnsi="Calibri" w:cs="Calibri"/>
                <w:b/>
                <w:smallCaps/>
                <w:color w:val="013161"/>
                <w:sz w:val="20"/>
                <w:szCs w:val="22"/>
              </w:rPr>
              <w:t>Children with re-entries (n)</w:t>
            </w:r>
          </w:p>
        </w:tc>
        <w:tc>
          <w:tcPr>
            <w:tcW w:w="1079" w:type="dxa"/>
            <w:shd w:val="clear" w:color="auto" w:fill="DBE5F1"/>
            <w:noWrap/>
          </w:tcPr>
          <w:p w:rsidR="00D86A11" w:rsidRPr="009A726D" w:rsidRDefault="00D86A11" w:rsidP="00D86A11">
            <w:pPr>
              <w:spacing w:after="0"/>
              <w:jc w:val="center"/>
              <w:rPr>
                <w:rFonts w:ascii="Calibri" w:hAnsi="Calibri" w:cs="Calibri"/>
                <w:b/>
                <w:smallCaps/>
                <w:color w:val="013161"/>
                <w:sz w:val="20"/>
              </w:rPr>
            </w:pPr>
            <w:r w:rsidRPr="009A726D">
              <w:rPr>
                <w:rFonts w:ascii="Calibri" w:hAnsi="Calibri" w:cs="Calibri"/>
                <w:b/>
                <w:smallCaps/>
                <w:color w:val="013161"/>
                <w:sz w:val="20"/>
              </w:rPr>
              <w:t>60</w:t>
            </w:r>
          </w:p>
        </w:tc>
        <w:tc>
          <w:tcPr>
            <w:tcW w:w="1079" w:type="dxa"/>
            <w:shd w:val="clear" w:color="auto" w:fill="DBE5F1"/>
            <w:noWrap/>
          </w:tcPr>
          <w:p w:rsidR="00D86A11" w:rsidRPr="009A726D" w:rsidRDefault="00D86A11" w:rsidP="00D86A11">
            <w:pPr>
              <w:spacing w:after="0"/>
              <w:jc w:val="center"/>
              <w:rPr>
                <w:rFonts w:ascii="Calibri" w:hAnsi="Calibri" w:cs="Calibri"/>
                <w:b/>
                <w:smallCaps/>
                <w:color w:val="013161"/>
                <w:sz w:val="20"/>
              </w:rPr>
            </w:pPr>
            <w:r w:rsidRPr="009A726D">
              <w:rPr>
                <w:rFonts w:ascii="Calibri" w:hAnsi="Calibri" w:cs="Calibri"/>
                <w:b/>
                <w:smallCaps/>
                <w:color w:val="013161"/>
                <w:sz w:val="20"/>
              </w:rPr>
              <w:t>60</w:t>
            </w:r>
          </w:p>
        </w:tc>
        <w:tc>
          <w:tcPr>
            <w:tcW w:w="1079" w:type="dxa"/>
            <w:shd w:val="clear" w:color="auto" w:fill="DBE5F1"/>
            <w:noWrap/>
          </w:tcPr>
          <w:p w:rsidR="00D86A11" w:rsidRPr="009A726D" w:rsidRDefault="00D86A11" w:rsidP="00D86A11">
            <w:pPr>
              <w:spacing w:after="0"/>
              <w:jc w:val="center"/>
              <w:rPr>
                <w:rFonts w:ascii="Calibri" w:hAnsi="Calibri" w:cs="Calibri"/>
                <w:b/>
                <w:smallCaps/>
                <w:color w:val="013161"/>
                <w:sz w:val="20"/>
              </w:rPr>
            </w:pPr>
            <w:r w:rsidRPr="009A726D">
              <w:rPr>
                <w:rFonts w:ascii="Calibri" w:hAnsi="Calibri" w:cs="Calibri"/>
                <w:b/>
                <w:smallCaps/>
                <w:color w:val="013161"/>
                <w:sz w:val="20"/>
              </w:rPr>
              <w:t>61</w:t>
            </w:r>
          </w:p>
        </w:tc>
        <w:tc>
          <w:tcPr>
            <w:tcW w:w="1079" w:type="dxa"/>
            <w:shd w:val="clear" w:color="auto" w:fill="DBE5F1"/>
            <w:noWrap/>
          </w:tcPr>
          <w:p w:rsidR="00D86A11" w:rsidRPr="009A726D" w:rsidRDefault="00D86A11" w:rsidP="00D86A11">
            <w:pPr>
              <w:spacing w:after="0"/>
              <w:jc w:val="center"/>
              <w:rPr>
                <w:rFonts w:ascii="Calibri" w:hAnsi="Calibri" w:cs="Calibri"/>
                <w:b/>
                <w:smallCaps/>
                <w:color w:val="013161"/>
                <w:sz w:val="20"/>
              </w:rPr>
            </w:pPr>
            <w:r w:rsidRPr="009A726D">
              <w:rPr>
                <w:rFonts w:ascii="Calibri" w:hAnsi="Calibri" w:cs="Calibri"/>
                <w:b/>
                <w:smallCaps/>
                <w:color w:val="013161"/>
                <w:sz w:val="20"/>
              </w:rPr>
              <w:t>63</w:t>
            </w:r>
          </w:p>
        </w:tc>
        <w:tc>
          <w:tcPr>
            <w:tcW w:w="1079" w:type="dxa"/>
            <w:shd w:val="clear" w:color="auto" w:fill="DBE5F1"/>
            <w:noWrap/>
          </w:tcPr>
          <w:p w:rsidR="00D86A11" w:rsidRPr="009A726D" w:rsidRDefault="00D86A11" w:rsidP="00D86A11">
            <w:pPr>
              <w:spacing w:after="0"/>
              <w:jc w:val="center"/>
              <w:rPr>
                <w:rFonts w:ascii="Calibri" w:hAnsi="Calibri" w:cs="Calibri"/>
                <w:b/>
                <w:smallCaps/>
                <w:color w:val="013161"/>
                <w:sz w:val="20"/>
              </w:rPr>
            </w:pPr>
            <w:r w:rsidRPr="009A726D">
              <w:rPr>
                <w:rFonts w:ascii="Calibri" w:hAnsi="Calibri" w:cs="Calibri"/>
                <w:b/>
                <w:smallCaps/>
                <w:color w:val="013161"/>
                <w:sz w:val="20"/>
              </w:rPr>
              <w:t>61</w:t>
            </w:r>
          </w:p>
        </w:tc>
        <w:tc>
          <w:tcPr>
            <w:tcW w:w="1079" w:type="dxa"/>
            <w:shd w:val="clear" w:color="auto" w:fill="DBE5F1"/>
            <w:noWrap/>
          </w:tcPr>
          <w:p w:rsidR="00D86A11" w:rsidRPr="009A726D" w:rsidRDefault="00D86A11" w:rsidP="00D86A11">
            <w:pPr>
              <w:spacing w:after="0"/>
              <w:jc w:val="center"/>
              <w:rPr>
                <w:rFonts w:ascii="Calibri" w:hAnsi="Calibri" w:cs="Calibri"/>
                <w:b/>
                <w:smallCaps/>
                <w:color w:val="013161"/>
                <w:sz w:val="20"/>
              </w:rPr>
            </w:pPr>
            <w:r w:rsidRPr="009A726D">
              <w:rPr>
                <w:rFonts w:ascii="Calibri" w:hAnsi="Calibri" w:cs="Calibri"/>
                <w:b/>
                <w:smallCaps/>
                <w:color w:val="013161"/>
                <w:sz w:val="20"/>
              </w:rPr>
              <w:t>53</w:t>
            </w:r>
          </w:p>
        </w:tc>
      </w:tr>
    </w:tbl>
    <w:p w:rsidR="00D86A11" w:rsidRDefault="00D86A11" w:rsidP="00D86A11">
      <w:pPr>
        <w:spacing w:after="0"/>
        <w:rPr>
          <w:rFonts w:ascii="Calibri" w:hAnsi="Calibri" w:cs="Calibri"/>
          <w:b/>
          <w:smallCaps/>
          <w:sz w:val="24"/>
          <w:szCs w:val="24"/>
        </w:rPr>
      </w:pPr>
    </w:p>
    <w:p w:rsidR="00D86A11" w:rsidRPr="004E3F75" w:rsidRDefault="00D86A11" w:rsidP="00D86A11">
      <w:pPr>
        <w:pStyle w:val="Heading1"/>
        <w:rPr>
          <w:color w:val="2E7029"/>
          <w:sz w:val="24"/>
        </w:rPr>
      </w:pPr>
      <w:r w:rsidRPr="004E3F75">
        <w:rPr>
          <w:color w:val="2E7029"/>
          <w:sz w:val="24"/>
        </w:rPr>
        <w:t xml:space="preserve">Analysis </w:t>
      </w:r>
    </w:p>
    <w:p w:rsidR="00D86A11" w:rsidRPr="00334A4F" w:rsidRDefault="00D86A11" w:rsidP="00D86A11">
      <w:pPr>
        <w:rPr>
          <w:rFonts w:ascii="Franklin Gothic Book" w:hAnsi="Franklin Gothic Book"/>
          <w:color w:val="auto"/>
          <w:spacing w:val="20"/>
          <w:szCs w:val="22"/>
        </w:rPr>
      </w:pPr>
      <w:r w:rsidRPr="00334A4F">
        <w:rPr>
          <w:rFonts w:ascii="Franklin Gothic Book" w:hAnsi="Franklin Gothic Book"/>
          <w:color w:val="auto"/>
          <w:spacing w:val="20"/>
          <w:szCs w:val="22"/>
        </w:rPr>
        <w:t>The re-entry rate is defined as, “of all children who enter care in the 12-month period who discharged within 12 months to reunification or guardianship, what percent re-enter foster care within 12 months?”</w:t>
      </w:r>
    </w:p>
    <w:p w:rsidR="00D86A11" w:rsidRPr="00334A4F" w:rsidRDefault="00D86A11" w:rsidP="00D86A11">
      <w:pPr>
        <w:rPr>
          <w:rFonts w:ascii="Franklin Gothic Book" w:hAnsi="Franklin Gothic Book"/>
          <w:color w:val="auto"/>
          <w:spacing w:val="20"/>
          <w:szCs w:val="22"/>
        </w:rPr>
      </w:pPr>
      <w:r w:rsidRPr="00334A4F">
        <w:rPr>
          <w:rFonts w:ascii="Franklin Gothic Book" w:hAnsi="Franklin Gothic Book"/>
          <w:b/>
          <w:color w:val="auto"/>
          <w:spacing w:val="20"/>
          <w:szCs w:val="22"/>
        </w:rPr>
        <w:t>Trends:</w:t>
      </w:r>
      <w:r w:rsidRPr="00334A4F">
        <w:rPr>
          <w:rFonts w:ascii="Franklin Gothic Book" w:hAnsi="Franklin Gothic Book"/>
          <w:color w:val="auto"/>
          <w:spacing w:val="20"/>
          <w:szCs w:val="22"/>
        </w:rPr>
        <w:t xml:space="preserve"> Although the 2013 re-entry rate is higher than the 2008 rate, there is not a clear upward trend and performance has varied from a low of 8.7% to a high of 9.9%. The County has not yet met the federal standard but is performing better than the State and has chosen Re-entry as a focus area for the upcoming SIP. It’s difficult to make definitive statements regarding race/ethnicity and age subgroups due to the small number of children in each cohort using this new federal definition of re-entry; therefore, the following information should be interpreted with some caution. </w:t>
      </w:r>
    </w:p>
    <w:p w:rsidR="00D86A11" w:rsidRDefault="00D86A11" w:rsidP="00D86A11">
      <w:pPr>
        <w:spacing w:after="0"/>
        <w:rPr>
          <w:rFonts w:ascii="Franklin Gothic Book" w:hAnsi="Franklin Gothic Book"/>
          <w:color w:val="auto"/>
          <w:spacing w:val="20"/>
          <w:szCs w:val="22"/>
        </w:rPr>
      </w:pPr>
      <w:r w:rsidRPr="00334A4F">
        <w:rPr>
          <w:rFonts w:ascii="Franklin Gothic Book" w:hAnsi="Franklin Gothic Book"/>
          <w:b/>
          <w:color w:val="auto"/>
          <w:spacing w:val="20"/>
          <w:szCs w:val="22"/>
        </w:rPr>
        <w:t>Race/Ethnicity:</w:t>
      </w:r>
      <w:r w:rsidRPr="00334A4F">
        <w:rPr>
          <w:rFonts w:ascii="Franklin Gothic Book" w:hAnsi="Franklin Gothic Book"/>
          <w:color w:val="auto"/>
          <w:spacing w:val="20"/>
          <w:szCs w:val="22"/>
        </w:rPr>
        <w:t xml:space="preserve"> For the 2013 cohort, Native American children had the highest re-entry rate at 30.0% (3), followed by Black children at 11.3% (8), White children at 10.2% (19), and Latino children at 9.0% (23). </w:t>
      </w:r>
    </w:p>
    <w:p w:rsidR="00D86A11" w:rsidRPr="00334A4F" w:rsidRDefault="00D86A11" w:rsidP="00D86A11">
      <w:pPr>
        <w:spacing w:after="0"/>
        <w:rPr>
          <w:rFonts w:ascii="Franklin Gothic Book" w:hAnsi="Franklin Gothic Book"/>
          <w:color w:val="auto"/>
          <w:spacing w:val="20"/>
          <w:szCs w:val="22"/>
        </w:rPr>
      </w:pPr>
    </w:p>
    <w:p w:rsidR="00D86A11" w:rsidRPr="00334A4F" w:rsidRDefault="00D86A11" w:rsidP="00D86A11">
      <w:pPr>
        <w:spacing w:after="0"/>
        <w:rPr>
          <w:rFonts w:ascii="Franklin Gothic Book" w:hAnsi="Franklin Gothic Book"/>
          <w:color w:val="auto"/>
          <w:spacing w:val="20"/>
          <w:szCs w:val="22"/>
        </w:rPr>
      </w:pPr>
      <w:r w:rsidRPr="00334A4F">
        <w:rPr>
          <w:rFonts w:ascii="Franklin Gothic Book" w:hAnsi="Franklin Gothic Book"/>
          <w:color w:val="auto"/>
          <w:spacing w:val="20"/>
          <w:szCs w:val="22"/>
        </w:rPr>
        <w:t>Age: Infants under the age of 1-month old has the highest re-entry rate at 21.4% (9), followed by 1-2 year olds at 14.1% (12), 11-15 year olds at 11.4% (9), 1-11 month olds at 8.3% (7), 3-5 year olds at 7.5% (8), 6-10 year olds at 6.3% (8) and 16-17 year olds at 0%</w:t>
      </w:r>
      <w:r w:rsidRPr="00334A4F">
        <w:rPr>
          <w:rStyle w:val="FootnoteReference"/>
          <w:rFonts w:ascii="Franklin Gothic Book" w:hAnsi="Franklin Gothic Book"/>
          <w:color w:val="auto"/>
          <w:spacing w:val="20"/>
          <w:szCs w:val="22"/>
        </w:rPr>
        <w:footnoteReference w:id="7"/>
      </w:r>
      <w:r w:rsidRPr="00334A4F">
        <w:rPr>
          <w:rFonts w:ascii="Franklin Gothic Book" w:hAnsi="Franklin Gothic Book"/>
          <w:color w:val="auto"/>
          <w:spacing w:val="20"/>
          <w:szCs w:val="22"/>
        </w:rPr>
        <w:t xml:space="preserve">. </w:t>
      </w:r>
    </w:p>
    <w:p w:rsidR="00D86A11" w:rsidRPr="00334A4F" w:rsidRDefault="00D86A11" w:rsidP="00D86A11">
      <w:pPr>
        <w:pStyle w:val="Heading2"/>
        <w:spacing w:line="276" w:lineRule="auto"/>
        <w:rPr>
          <w:b w:val="0"/>
          <w:color w:val="auto"/>
          <w:sz w:val="22"/>
        </w:rPr>
      </w:pPr>
      <w:r w:rsidRPr="00334A4F">
        <w:rPr>
          <w:b w:val="0"/>
          <w:color w:val="auto"/>
          <w:sz w:val="22"/>
        </w:rPr>
        <w:lastRenderedPageBreak/>
        <w:t xml:space="preserve">Some of the challenges in improving this measure are related to the significant population of CWS parents that have substance abuse problems. Substance abuse is an ongoing, serious problem for our community. Of particular concern is </w:t>
      </w:r>
      <w:r>
        <w:rPr>
          <w:b w:val="0"/>
          <w:color w:val="auto"/>
          <w:sz w:val="22"/>
        </w:rPr>
        <w:t xml:space="preserve">the use </w:t>
      </w:r>
      <w:r w:rsidRPr="00334A4F">
        <w:rPr>
          <w:b w:val="0"/>
          <w:color w:val="auto"/>
          <w:sz w:val="22"/>
        </w:rPr>
        <w:t>meth</w:t>
      </w:r>
      <w:r>
        <w:rPr>
          <w:b w:val="0"/>
          <w:color w:val="auto"/>
          <w:sz w:val="22"/>
        </w:rPr>
        <w:t>amphetamine</w:t>
      </w:r>
      <w:r w:rsidRPr="00334A4F">
        <w:rPr>
          <w:b w:val="0"/>
          <w:color w:val="auto"/>
          <w:sz w:val="22"/>
        </w:rPr>
        <w:t>. The County of San Diego 2014 Methamphetamine Strike Force Report Card reported that “meth-related deaths, hospital activity, arrestee positive rates and actual arrests have all increased for five years in a row.” In 2014, sampled drug tests conducted on adult and juvenile arrestees at the time of booking found that 43% of adult arrestees and 10% of juvenile arrestees tested positive for meth</w:t>
      </w:r>
      <w:r>
        <w:rPr>
          <w:b w:val="0"/>
          <w:color w:val="auto"/>
          <w:sz w:val="22"/>
        </w:rPr>
        <w:t>amphetamine</w:t>
      </w:r>
      <w:r w:rsidRPr="00334A4F">
        <w:rPr>
          <w:b w:val="0"/>
          <w:color w:val="auto"/>
          <w:sz w:val="22"/>
        </w:rPr>
        <w:t xml:space="preserve">. </w:t>
      </w:r>
    </w:p>
    <w:p w:rsidR="00D86A11" w:rsidRPr="00334A4F" w:rsidRDefault="00D86A11" w:rsidP="00D86A11">
      <w:pPr>
        <w:pStyle w:val="Heading2"/>
        <w:spacing w:line="276" w:lineRule="auto"/>
        <w:rPr>
          <w:b w:val="0"/>
          <w:color w:val="auto"/>
          <w:sz w:val="22"/>
        </w:rPr>
      </w:pPr>
      <w:r w:rsidRPr="00334A4F">
        <w:rPr>
          <w:b w:val="0"/>
          <w:color w:val="auto"/>
          <w:sz w:val="22"/>
        </w:rPr>
        <w:t xml:space="preserve">Even when parents enter treatment programs, relapse is common during recovery and it’s not always realistic to expect parents to be prepared to reunite with their children within 12 months. It was noted in both the CSA stakeholder meetings and the Peer Review that the permanency timelines can lead to children being returned home too early and then re-entering and to court cases being extended to 18 months. Other challenges related to this population of parents include insufficient residential treatment services, especially for special populations such as fathers with children, and rules for treatment programs that are sometimes in conflict with child welfare goals. </w:t>
      </w:r>
      <w:r>
        <w:rPr>
          <w:b w:val="0"/>
          <w:color w:val="auto"/>
          <w:sz w:val="22"/>
        </w:rPr>
        <w:t xml:space="preserve">A possible approach to identify </w:t>
      </w:r>
      <w:r w:rsidRPr="00334A4F">
        <w:rPr>
          <w:b w:val="0"/>
          <w:color w:val="auto"/>
          <w:sz w:val="22"/>
        </w:rPr>
        <w:t xml:space="preserve">targeted strategies </w:t>
      </w:r>
      <w:r>
        <w:rPr>
          <w:b w:val="0"/>
          <w:color w:val="auto"/>
          <w:sz w:val="22"/>
        </w:rPr>
        <w:t>to improve this performance measure includes</w:t>
      </w:r>
      <w:r w:rsidRPr="00334A4F">
        <w:rPr>
          <w:b w:val="0"/>
          <w:color w:val="auto"/>
          <w:sz w:val="22"/>
        </w:rPr>
        <w:t xml:space="preserve"> CWS </w:t>
      </w:r>
      <w:r>
        <w:rPr>
          <w:b w:val="0"/>
          <w:color w:val="auto"/>
          <w:sz w:val="22"/>
        </w:rPr>
        <w:t>working</w:t>
      </w:r>
      <w:r w:rsidRPr="00334A4F">
        <w:rPr>
          <w:b w:val="0"/>
          <w:color w:val="auto"/>
          <w:sz w:val="22"/>
        </w:rPr>
        <w:t xml:space="preserve"> with the Data Analytics team at the NCCD Children’s Research Center to do a deeper analysis of </w:t>
      </w:r>
      <w:r>
        <w:rPr>
          <w:b w:val="0"/>
          <w:color w:val="auto"/>
          <w:sz w:val="22"/>
        </w:rPr>
        <w:t>the County of San Diego</w:t>
      </w:r>
      <w:r w:rsidRPr="00334A4F">
        <w:rPr>
          <w:b w:val="0"/>
          <w:color w:val="auto"/>
          <w:sz w:val="22"/>
        </w:rPr>
        <w:t xml:space="preserve"> data on the child and family risk factors, such as substance abuse, that are associated with re-entry in the research literature. </w:t>
      </w:r>
      <w:r>
        <w:rPr>
          <w:b w:val="0"/>
          <w:color w:val="auto"/>
          <w:sz w:val="22"/>
        </w:rPr>
        <w:t xml:space="preserve"> </w:t>
      </w:r>
    </w:p>
    <w:p w:rsidR="00D86A11" w:rsidRPr="00334A4F" w:rsidRDefault="00D86A11" w:rsidP="00D86A11">
      <w:pPr>
        <w:pStyle w:val="Heading2"/>
        <w:spacing w:line="276" w:lineRule="auto"/>
        <w:rPr>
          <w:b w:val="0"/>
          <w:color w:val="auto"/>
          <w:sz w:val="22"/>
        </w:rPr>
      </w:pPr>
      <w:r w:rsidRPr="00334A4F">
        <w:rPr>
          <w:b w:val="0"/>
          <w:color w:val="auto"/>
          <w:sz w:val="22"/>
        </w:rPr>
        <w:t>In addition to the existing CWS and Pro</w:t>
      </w:r>
      <w:r w:rsidR="00DA5A66">
        <w:rPr>
          <w:b w:val="0"/>
          <w:color w:val="auto"/>
          <w:sz w:val="22"/>
        </w:rPr>
        <w:t xml:space="preserve">bation initiatives described </w:t>
      </w:r>
      <w:r w:rsidRPr="00334A4F">
        <w:rPr>
          <w:b w:val="0"/>
          <w:color w:val="auto"/>
          <w:sz w:val="22"/>
        </w:rPr>
        <w:t>under the section titled, Public Agency Characteristics, there are several recent and upcoming policy, practice and system changes that will help CWS to improve the re-entry rate:</w:t>
      </w:r>
    </w:p>
    <w:p w:rsidR="00D86A11" w:rsidRPr="00334A4F" w:rsidRDefault="00D86A11" w:rsidP="00D86A11">
      <w:pPr>
        <w:numPr>
          <w:ilvl w:val="0"/>
          <w:numId w:val="16"/>
        </w:numPr>
        <w:spacing w:before="120" w:after="0"/>
        <w:ind w:right="130"/>
        <w:rPr>
          <w:rFonts w:ascii="Franklin Gothic Book" w:hAnsi="Franklin Gothic Book"/>
          <w:color w:val="auto"/>
          <w:spacing w:val="20"/>
          <w:szCs w:val="22"/>
        </w:rPr>
      </w:pPr>
      <w:r w:rsidRPr="00334A4F">
        <w:rPr>
          <w:rFonts w:ascii="Franklin Gothic Book" w:hAnsi="Franklin Gothic Book"/>
          <w:color w:val="auto"/>
          <w:spacing w:val="20"/>
          <w:szCs w:val="22"/>
        </w:rPr>
        <w:t>CWS is working on integrating and streamlining team meeting models (TDM, FGC, safety mapping, etc.) which will reduce confusion and burden for workers and families. Under the new model all decisions will be made with the family in the context of “teaming.” An improved team meeting process, in conjunction with the more consistent use of SET and SOP, should lead to improved family engagement and better permanency decisions.</w:t>
      </w:r>
    </w:p>
    <w:p w:rsidR="00D86A11" w:rsidRPr="00334A4F" w:rsidRDefault="00D86A11" w:rsidP="00D86A11">
      <w:pPr>
        <w:numPr>
          <w:ilvl w:val="0"/>
          <w:numId w:val="16"/>
        </w:numPr>
        <w:spacing w:before="120" w:after="0"/>
        <w:ind w:right="130"/>
        <w:rPr>
          <w:rFonts w:ascii="Franklin Gothic Book" w:hAnsi="Franklin Gothic Book"/>
          <w:color w:val="auto"/>
          <w:spacing w:val="20"/>
          <w:szCs w:val="22"/>
        </w:rPr>
      </w:pPr>
      <w:r w:rsidRPr="00334A4F">
        <w:rPr>
          <w:rFonts w:ascii="Franklin Gothic Book" w:hAnsi="Franklin Gothic Book"/>
          <w:color w:val="auto"/>
          <w:spacing w:val="20"/>
          <w:szCs w:val="22"/>
        </w:rPr>
        <w:t xml:space="preserve">The County of San Diego is currently integrating the Housing and Community Development Department into the Health and Human Services Agency which already includes CWS, Behavioral Health, Public Health and related programs. This is expected to make it easier for CWS to collaborate and coordinate with the County Housing Authority to better meet the housing needs of CWS families. </w:t>
      </w:r>
    </w:p>
    <w:p w:rsidR="00D86A11" w:rsidRPr="00334A4F" w:rsidRDefault="00D86A11" w:rsidP="00D86A11">
      <w:pPr>
        <w:pStyle w:val="Heading2"/>
        <w:spacing w:line="276" w:lineRule="auto"/>
        <w:rPr>
          <w:b w:val="0"/>
          <w:color w:val="auto"/>
          <w:sz w:val="22"/>
        </w:rPr>
      </w:pPr>
      <w:r w:rsidRPr="00334A4F">
        <w:rPr>
          <w:b w:val="0"/>
          <w:color w:val="auto"/>
          <w:sz w:val="22"/>
        </w:rPr>
        <w:t xml:space="preserve">SIP strategies will be identified based on the input received during the Peer Review and CSA stakeholder meetings. Participants identified that some of the key factors leading to re-entry into care include complicating factors (substance abuse, DV, employment), lack of housing, returning children home without sufficient family </w:t>
      </w:r>
      <w:r w:rsidRPr="00334A4F">
        <w:rPr>
          <w:b w:val="0"/>
          <w:color w:val="auto"/>
          <w:sz w:val="22"/>
        </w:rPr>
        <w:lastRenderedPageBreak/>
        <w:t>supports in place, and legal timeframes to address all issues. To decrease re-entry rates, stakeholders recommended focusing on after care services, better assessment of family needs and parental readiness to reunify, building trust between the client and the system, and culturally responsive support services.</w:t>
      </w:r>
    </w:p>
    <w:p w:rsidR="00D86A11" w:rsidRPr="006F069C" w:rsidRDefault="00D86A11" w:rsidP="00D86A11">
      <w:pPr>
        <w:pStyle w:val="Heading1"/>
        <w:rPr>
          <w:color w:val="F6872B"/>
          <w:sz w:val="24"/>
        </w:rPr>
      </w:pPr>
      <w:r w:rsidRPr="006F069C">
        <w:rPr>
          <w:color w:val="F6872B"/>
          <w:sz w:val="24"/>
        </w:rPr>
        <w:t>3-P5 Placement Stability</w:t>
      </w:r>
    </w:p>
    <w:tbl>
      <w:tblPr>
        <w:tblW w:w="0" w:type="auto"/>
        <w:tblBorders>
          <w:top w:val="single" w:sz="18" w:space="0" w:color="F6872B"/>
          <w:bottom w:val="single" w:sz="18" w:space="0" w:color="F6872B"/>
        </w:tblBorders>
        <w:tblLook w:val="04A0" w:firstRow="1" w:lastRow="0" w:firstColumn="1" w:lastColumn="0" w:noHBand="0" w:noVBand="1"/>
      </w:tblPr>
      <w:tblGrid>
        <w:gridCol w:w="3615"/>
        <w:gridCol w:w="969"/>
        <w:gridCol w:w="882"/>
        <w:gridCol w:w="969"/>
        <w:gridCol w:w="969"/>
        <w:gridCol w:w="969"/>
        <w:gridCol w:w="987"/>
      </w:tblGrid>
      <w:tr w:rsidR="00D86A11" w:rsidRPr="00945D04">
        <w:trPr>
          <w:trHeight w:val="639"/>
        </w:trPr>
        <w:tc>
          <w:tcPr>
            <w:tcW w:w="9576" w:type="dxa"/>
            <w:gridSpan w:val="7"/>
            <w:shd w:val="clear" w:color="auto" w:fill="013161"/>
            <w:noWrap/>
          </w:tcPr>
          <w:p w:rsidR="00D86A11" w:rsidRPr="000055D1" w:rsidRDefault="00D86A11" w:rsidP="00D86A11">
            <w:pPr>
              <w:spacing w:after="0"/>
              <w:jc w:val="center"/>
              <w:rPr>
                <w:rFonts w:ascii="Calibri" w:hAnsi="Calibri" w:cs="Calibri"/>
                <w:color w:val="FFFFFF"/>
                <w:sz w:val="20"/>
              </w:rPr>
            </w:pPr>
            <w:r w:rsidRPr="00E2728D">
              <w:rPr>
                <w:rFonts w:ascii="Calibri" w:hAnsi="Calibri" w:cs="Calibri"/>
                <w:b/>
                <w:color w:val="FFFFFF"/>
                <w:sz w:val="24"/>
              </w:rPr>
              <w:t xml:space="preserve">Exhibit 61. </w:t>
            </w:r>
            <w:r>
              <w:rPr>
                <w:rFonts w:ascii="Calibri" w:hAnsi="Calibri" w:cs="Calibri"/>
                <w:b/>
                <w:color w:val="FFFFFF"/>
                <w:sz w:val="24"/>
              </w:rPr>
              <w:t>County of S</w:t>
            </w:r>
            <w:r w:rsidRPr="00E2728D">
              <w:rPr>
                <w:rFonts w:ascii="Calibri" w:hAnsi="Calibri" w:cs="Calibri"/>
                <w:b/>
                <w:color w:val="FFFFFF"/>
                <w:sz w:val="24"/>
              </w:rPr>
              <w:t>an Diego Placement Stability</w:t>
            </w:r>
            <w:r w:rsidRPr="000055D1">
              <w:rPr>
                <w:rFonts w:ascii="Calibri" w:hAnsi="Calibri" w:cs="Calibri"/>
                <w:color w:val="FFFFFF"/>
                <w:sz w:val="20"/>
              </w:rPr>
              <w:br/>
            </w:r>
            <w:r w:rsidRPr="000055D1">
              <w:rPr>
                <w:rFonts w:ascii="Calibri" w:eastAsia="Times New Roman" w:hAnsi="Calibri" w:cs="Arial"/>
                <w:color w:val="FFFFFF"/>
                <w:sz w:val="20"/>
              </w:rPr>
              <w:t>Federal Standard</w:t>
            </w:r>
            <w:r w:rsidRPr="000055D1">
              <w:rPr>
                <w:rFonts w:ascii="Calibri" w:hAnsi="Calibri" w:cs="Calibri"/>
                <w:color w:val="FFFFFF"/>
                <w:sz w:val="20"/>
              </w:rPr>
              <w:t xml:space="preserve"> 4.12; California at 3.93</w:t>
            </w:r>
          </w:p>
        </w:tc>
      </w:tr>
      <w:tr w:rsidR="00D86A11" w:rsidRPr="00945D04">
        <w:trPr>
          <w:trHeight w:val="255"/>
        </w:trPr>
        <w:tc>
          <w:tcPr>
            <w:tcW w:w="3708" w:type="dxa"/>
            <w:shd w:val="clear" w:color="auto" w:fill="013161"/>
            <w:noWrap/>
          </w:tcPr>
          <w:p w:rsidR="00D86A11" w:rsidRPr="00721EF1" w:rsidRDefault="00D86A11" w:rsidP="00D86A11">
            <w:pPr>
              <w:spacing w:after="0"/>
              <w:rPr>
                <w:rFonts w:ascii="Calibri" w:hAnsi="Calibri" w:cs="Calibri"/>
                <w:b/>
                <w:color w:val="FFFFFF"/>
              </w:rPr>
            </w:pPr>
          </w:p>
        </w:tc>
        <w:tc>
          <w:tcPr>
            <w:tcW w:w="99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2010</w:t>
            </w:r>
          </w:p>
        </w:tc>
        <w:tc>
          <w:tcPr>
            <w:tcW w:w="90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2011</w:t>
            </w:r>
          </w:p>
        </w:tc>
        <w:tc>
          <w:tcPr>
            <w:tcW w:w="99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2012</w:t>
            </w:r>
          </w:p>
        </w:tc>
        <w:tc>
          <w:tcPr>
            <w:tcW w:w="99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2013</w:t>
            </w:r>
          </w:p>
        </w:tc>
        <w:tc>
          <w:tcPr>
            <w:tcW w:w="99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2014</w:t>
            </w:r>
          </w:p>
        </w:tc>
        <w:tc>
          <w:tcPr>
            <w:tcW w:w="1008"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2015</w:t>
            </w:r>
          </w:p>
        </w:tc>
      </w:tr>
      <w:tr w:rsidR="00D86A11" w:rsidRPr="00945D04">
        <w:trPr>
          <w:trHeight w:val="255"/>
        </w:trPr>
        <w:tc>
          <w:tcPr>
            <w:tcW w:w="3708" w:type="dxa"/>
            <w:shd w:val="clear" w:color="auto" w:fill="auto"/>
            <w:noWrap/>
          </w:tcPr>
          <w:p w:rsidR="00D86A11" w:rsidRPr="002B0606" w:rsidRDefault="00D86A11" w:rsidP="00D86A11">
            <w:pPr>
              <w:spacing w:after="0"/>
              <w:rPr>
                <w:rFonts w:ascii="Calibri" w:hAnsi="Calibri" w:cs="Calibri"/>
                <w:b/>
                <w:color w:val="013161"/>
                <w:sz w:val="20"/>
              </w:rPr>
            </w:pPr>
            <w:r w:rsidRPr="002B0606">
              <w:rPr>
                <w:rFonts w:ascii="Calibri" w:hAnsi="Calibri" w:cs="Calibri"/>
                <w:b/>
                <w:color w:val="013161"/>
                <w:sz w:val="20"/>
              </w:rPr>
              <w:t>Rate of placement moves (per 1,000 days)</w:t>
            </w:r>
          </w:p>
        </w:tc>
        <w:tc>
          <w:tcPr>
            <w:tcW w:w="990" w:type="dxa"/>
            <w:shd w:val="clear" w:color="auto" w:fill="auto"/>
            <w:noWrap/>
          </w:tcPr>
          <w:p w:rsidR="00D86A11" w:rsidRPr="002B0606" w:rsidRDefault="00D86A11" w:rsidP="00D86A11">
            <w:pPr>
              <w:spacing w:after="0"/>
              <w:jc w:val="center"/>
              <w:rPr>
                <w:rFonts w:ascii="Calibri" w:hAnsi="Calibri" w:cs="Calibri"/>
                <w:b/>
                <w:color w:val="013161"/>
                <w:sz w:val="20"/>
              </w:rPr>
            </w:pPr>
            <w:r w:rsidRPr="002B0606">
              <w:rPr>
                <w:rFonts w:ascii="Calibri" w:hAnsi="Calibri" w:cs="Calibri"/>
                <w:b/>
                <w:color w:val="013161"/>
                <w:sz w:val="20"/>
              </w:rPr>
              <w:t>5.78</w:t>
            </w:r>
          </w:p>
        </w:tc>
        <w:tc>
          <w:tcPr>
            <w:tcW w:w="900" w:type="dxa"/>
            <w:shd w:val="clear" w:color="auto" w:fill="auto"/>
            <w:noWrap/>
          </w:tcPr>
          <w:p w:rsidR="00D86A11" w:rsidRPr="002B0606" w:rsidRDefault="00D86A11" w:rsidP="00D86A11">
            <w:pPr>
              <w:spacing w:after="0"/>
              <w:jc w:val="center"/>
              <w:rPr>
                <w:rFonts w:ascii="Calibri" w:hAnsi="Calibri" w:cs="Calibri"/>
                <w:b/>
                <w:color w:val="013161"/>
                <w:sz w:val="20"/>
              </w:rPr>
            </w:pPr>
            <w:r w:rsidRPr="002B0606">
              <w:rPr>
                <w:rFonts w:ascii="Calibri" w:hAnsi="Calibri" w:cs="Calibri"/>
                <w:b/>
                <w:color w:val="013161"/>
                <w:sz w:val="20"/>
              </w:rPr>
              <w:t>5.92</w:t>
            </w:r>
          </w:p>
        </w:tc>
        <w:tc>
          <w:tcPr>
            <w:tcW w:w="990" w:type="dxa"/>
            <w:shd w:val="clear" w:color="auto" w:fill="auto"/>
            <w:noWrap/>
          </w:tcPr>
          <w:p w:rsidR="00D86A11" w:rsidRPr="002B0606" w:rsidRDefault="00D86A11" w:rsidP="00D86A11">
            <w:pPr>
              <w:spacing w:after="0"/>
              <w:jc w:val="center"/>
              <w:rPr>
                <w:rFonts w:ascii="Calibri" w:hAnsi="Calibri" w:cs="Calibri"/>
                <w:b/>
                <w:color w:val="013161"/>
                <w:sz w:val="20"/>
              </w:rPr>
            </w:pPr>
            <w:r w:rsidRPr="002B0606">
              <w:rPr>
                <w:rFonts w:ascii="Calibri" w:hAnsi="Calibri" w:cs="Calibri"/>
                <w:b/>
                <w:color w:val="013161"/>
                <w:sz w:val="20"/>
              </w:rPr>
              <w:t>5.41</w:t>
            </w:r>
          </w:p>
        </w:tc>
        <w:tc>
          <w:tcPr>
            <w:tcW w:w="990" w:type="dxa"/>
            <w:shd w:val="clear" w:color="auto" w:fill="auto"/>
            <w:noWrap/>
          </w:tcPr>
          <w:p w:rsidR="00D86A11" w:rsidRPr="002B0606" w:rsidRDefault="00D86A11" w:rsidP="00D86A11">
            <w:pPr>
              <w:spacing w:after="0"/>
              <w:jc w:val="center"/>
              <w:rPr>
                <w:rFonts w:ascii="Calibri" w:hAnsi="Calibri" w:cs="Calibri"/>
                <w:b/>
                <w:color w:val="013161"/>
                <w:sz w:val="20"/>
              </w:rPr>
            </w:pPr>
            <w:r w:rsidRPr="002B0606">
              <w:rPr>
                <w:rFonts w:ascii="Calibri" w:hAnsi="Calibri" w:cs="Calibri"/>
                <w:b/>
                <w:color w:val="013161"/>
                <w:sz w:val="20"/>
              </w:rPr>
              <w:t>4.67</w:t>
            </w:r>
          </w:p>
        </w:tc>
        <w:tc>
          <w:tcPr>
            <w:tcW w:w="990" w:type="dxa"/>
            <w:shd w:val="clear" w:color="auto" w:fill="auto"/>
            <w:noWrap/>
          </w:tcPr>
          <w:p w:rsidR="00D86A11" w:rsidRPr="002B0606" w:rsidRDefault="00D86A11" w:rsidP="00D86A11">
            <w:pPr>
              <w:spacing w:after="0"/>
              <w:jc w:val="center"/>
              <w:rPr>
                <w:rFonts w:ascii="Calibri" w:hAnsi="Calibri" w:cs="Calibri"/>
                <w:b/>
                <w:color w:val="013161"/>
                <w:sz w:val="20"/>
              </w:rPr>
            </w:pPr>
            <w:r w:rsidRPr="002B0606">
              <w:rPr>
                <w:rFonts w:ascii="Calibri" w:hAnsi="Calibri" w:cs="Calibri"/>
                <w:b/>
                <w:color w:val="013161"/>
                <w:sz w:val="20"/>
              </w:rPr>
              <w:t>4.94</w:t>
            </w:r>
          </w:p>
        </w:tc>
        <w:tc>
          <w:tcPr>
            <w:tcW w:w="1008" w:type="dxa"/>
            <w:shd w:val="clear" w:color="auto" w:fill="auto"/>
            <w:noWrap/>
          </w:tcPr>
          <w:p w:rsidR="00D86A11" w:rsidRPr="002B0606" w:rsidRDefault="00D86A11" w:rsidP="00D86A11">
            <w:pPr>
              <w:spacing w:after="0"/>
              <w:jc w:val="center"/>
              <w:rPr>
                <w:rFonts w:ascii="Calibri" w:hAnsi="Calibri" w:cs="Calibri"/>
                <w:b/>
                <w:color w:val="013161"/>
                <w:sz w:val="20"/>
              </w:rPr>
            </w:pPr>
            <w:r w:rsidRPr="002B0606">
              <w:rPr>
                <w:rFonts w:ascii="Calibri" w:hAnsi="Calibri" w:cs="Calibri"/>
                <w:b/>
                <w:color w:val="013161"/>
                <w:sz w:val="20"/>
              </w:rPr>
              <w:t>4.66</w:t>
            </w:r>
          </w:p>
        </w:tc>
      </w:tr>
      <w:tr w:rsidR="00D86A11" w:rsidRPr="00945D04">
        <w:trPr>
          <w:trHeight w:val="255"/>
        </w:trPr>
        <w:tc>
          <w:tcPr>
            <w:tcW w:w="3708" w:type="dxa"/>
            <w:shd w:val="clear" w:color="auto" w:fill="DBE5F1"/>
            <w:noWrap/>
          </w:tcPr>
          <w:p w:rsidR="00D86A11" w:rsidRPr="002B0606" w:rsidRDefault="00D86A11" w:rsidP="00D86A11">
            <w:pPr>
              <w:spacing w:after="0"/>
              <w:rPr>
                <w:rFonts w:ascii="Calibri" w:hAnsi="Calibri" w:cs="Calibri"/>
                <w:b/>
                <w:color w:val="013161"/>
                <w:sz w:val="20"/>
              </w:rPr>
            </w:pPr>
            <w:r w:rsidRPr="002B0606">
              <w:rPr>
                <w:rFonts w:ascii="Calibri" w:hAnsi="Calibri" w:cs="Calibri"/>
                <w:b/>
                <w:color w:val="013161"/>
                <w:sz w:val="20"/>
              </w:rPr>
              <w:t>Placement moves count (n)</w:t>
            </w:r>
          </w:p>
        </w:tc>
        <w:tc>
          <w:tcPr>
            <w:tcW w:w="990" w:type="dxa"/>
            <w:shd w:val="clear" w:color="auto" w:fill="DBE5F1"/>
            <w:noWrap/>
          </w:tcPr>
          <w:p w:rsidR="00D86A11" w:rsidRPr="002B0606" w:rsidRDefault="00D86A11" w:rsidP="00D86A11">
            <w:pPr>
              <w:spacing w:after="0"/>
              <w:jc w:val="center"/>
              <w:rPr>
                <w:rFonts w:ascii="Calibri" w:hAnsi="Calibri" w:cs="Calibri"/>
                <w:b/>
                <w:color w:val="013161"/>
                <w:sz w:val="20"/>
              </w:rPr>
            </w:pPr>
            <w:r w:rsidRPr="002B0606">
              <w:rPr>
                <w:rFonts w:ascii="Calibri" w:hAnsi="Calibri" w:cs="Calibri"/>
                <w:b/>
                <w:color w:val="013161"/>
                <w:sz w:val="20"/>
              </w:rPr>
              <w:t>1,596</w:t>
            </w:r>
          </w:p>
        </w:tc>
        <w:tc>
          <w:tcPr>
            <w:tcW w:w="900" w:type="dxa"/>
            <w:shd w:val="clear" w:color="auto" w:fill="DBE5F1"/>
            <w:noWrap/>
          </w:tcPr>
          <w:p w:rsidR="00D86A11" w:rsidRPr="002B0606" w:rsidRDefault="00D86A11" w:rsidP="00D86A11">
            <w:pPr>
              <w:spacing w:after="0"/>
              <w:jc w:val="center"/>
              <w:rPr>
                <w:rFonts w:ascii="Calibri" w:hAnsi="Calibri" w:cs="Calibri"/>
                <w:b/>
                <w:color w:val="013161"/>
                <w:sz w:val="20"/>
              </w:rPr>
            </w:pPr>
            <w:r w:rsidRPr="002B0606">
              <w:rPr>
                <w:rFonts w:ascii="Calibri" w:hAnsi="Calibri" w:cs="Calibri"/>
                <w:b/>
                <w:color w:val="013161"/>
                <w:sz w:val="20"/>
              </w:rPr>
              <w:t>1,594</w:t>
            </w:r>
          </w:p>
        </w:tc>
        <w:tc>
          <w:tcPr>
            <w:tcW w:w="990" w:type="dxa"/>
            <w:shd w:val="clear" w:color="auto" w:fill="DBE5F1"/>
            <w:noWrap/>
          </w:tcPr>
          <w:p w:rsidR="00D86A11" w:rsidRPr="002B0606" w:rsidRDefault="00D86A11" w:rsidP="00D86A11">
            <w:pPr>
              <w:spacing w:after="0"/>
              <w:jc w:val="center"/>
              <w:rPr>
                <w:rFonts w:ascii="Calibri" w:hAnsi="Calibri" w:cs="Calibri"/>
                <w:b/>
                <w:color w:val="013161"/>
                <w:sz w:val="20"/>
              </w:rPr>
            </w:pPr>
            <w:r w:rsidRPr="002B0606">
              <w:rPr>
                <w:rFonts w:ascii="Calibri" w:hAnsi="Calibri" w:cs="Calibri"/>
                <w:b/>
                <w:color w:val="013161"/>
                <w:sz w:val="20"/>
              </w:rPr>
              <w:t>1,595</w:t>
            </w:r>
          </w:p>
        </w:tc>
        <w:tc>
          <w:tcPr>
            <w:tcW w:w="990" w:type="dxa"/>
            <w:shd w:val="clear" w:color="auto" w:fill="DBE5F1"/>
            <w:noWrap/>
          </w:tcPr>
          <w:p w:rsidR="00D86A11" w:rsidRPr="002B0606" w:rsidRDefault="00D86A11" w:rsidP="00D86A11">
            <w:pPr>
              <w:spacing w:after="0"/>
              <w:jc w:val="center"/>
              <w:rPr>
                <w:rFonts w:ascii="Calibri" w:hAnsi="Calibri" w:cs="Calibri"/>
                <w:b/>
                <w:color w:val="013161"/>
                <w:sz w:val="20"/>
              </w:rPr>
            </w:pPr>
            <w:r w:rsidRPr="002B0606">
              <w:rPr>
                <w:rFonts w:ascii="Calibri" w:hAnsi="Calibri" w:cs="Calibri"/>
                <w:b/>
                <w:color w:val="013161"/>
                <w:sz w:val="20"/>
              </w:rPr>
              <w:t>1,135</w:t>
            </w:r>
          </w:p>
        </w:tc>
        <w:tc>
          <w:tcPr>
            <w:tcW w:w="990" w:type="dxa"/>
            <w:shd w:val="clear" w:color="auto" w:fill="DBE5F1"/>
            <w:noWrap/>
          </w:tcPr>
          <w:p w:rsidR="00D86A11" w:rsidRPr="002B0606" w:rsidRDefault="00D86A11" w:rsidP="00D86A11">
            <w:pPr>
              <w:spacing w:after="0"/>
              <w:jc w:val="center"/>
              <w:rPr>
                <w:rFonts w:ascii="Calibri" w:hAnsi="Calibri" w:cs="Calibri"/>
                <w:b/>
                <w:color w:val="013161"/>
                <w:sz w:val="20"/>
              </w:rPr>
            </w:pPr>
            <w:r w:rsidRPr="002B0606">
              <w:rPr>
                <w:rFonts w:ascii="Calibri" w:hAnsi="Calibri" w:cs="Calibri"/>
                <w:b/>
                <w:color w:val="013161"/>
                <w:sz w:val="20"/>
              </w:rPr>
              <w:t>1,124</w:t>
            </w:r>
          </w:p>
        </w:tc>
        <w:tc>
          <w:tcPr>
            <w:tcW w:w="1008" w:type="dxa"/>
            <w:shd w:val="clear" w:color="auto" w:fill="DBE5F1"/>
            <w:noWrap/>
          </w:tcPr>
          <w:p w:rsidR="00D86A11" w:rsidRPr="002B0606" w:rsidRDefault="00D86A11" w:rsidP="00D86A11">
            <w:pPr>
              <w:spacing w:after="0"/>
              <w:jc w:val="center"/>
              <w:rPr>
                <w:rFonts w:ascii="Calibri" w:hAnsi="Calibri" w:cs="Calibri"/>
                <w:b/>
                <w:color w:val="013161"/>
                <w:sz w:val="20"/>
              </w:rPr>
            </w:pPr>
            <w:r w:rsidRPr="002B0606">
              <w:rPr>
                <w:rFonts w:ascii="Calibri" w:hAnsi="Calibri" w:cs="Calibri"/>
                <w:b/>
                <w:color w:val="013161"/>
                <w:sz w:val="20"/>
              </w:rPr>
              <w:t>968</w:t>
            </w:r>
          </w:p>
        </w:tc>
      </w:tr>
    </w:tbl>
    <w:p w:rsidR="00D86A11" w:rsidRPr="006F069C" w:rsidRDefault="00D86A11" w:rsidP="00D86A11">
      <w:pPr>
        <w:pStyle w:val="Heading1"/>
        <w:rPr>
          <w:color w:val="2E7029"/>
          <w:sz w:val="24"/>
        </w:rPr>
      </w:pPr>
      <w:r w:rsidRPr="006F069C">
        <w:rPr>
          <w:color w:val="2E7029"/>
          <w:sz w:val="24"/>
        </w:rPr>
        <w:t xml:space="preserve">Analysis </w:t>
      </w:r>
    </w:p>
    <w:p w:rsidR="00D86A11" w:rsidRPr="00104026" w:rsidRDefault="00D86A11" w:rsidP="00D86A11">
      <w:pPr>
        <w:spacing w:before="240"/>
        <w:rPr>
          <w:rFonts w:ascii="Franklin Gothic Book" w:hAnsi="Franklin Gothic Book"/>
          <w:color w:val="auto"/>
          <w:spacing w:val="20"/>
          <w:szCs w:val="22"/>
        </w:rPr>
      </w:pPr>
      <w:r w:rsidRPr="00104026">
        <w:rPr>
          <w:rFonts w:ascii="Franklin Gothic Book" w:hAnsi="Franklin Gothic Book"/>
          <w:b/>
          <w:color w:val="auto"/>
          <w:spacing w:val="20"/>
          <w:szCs w:val="22"/>
        </w:rPr>
        <w:t>Trends:</w:t>
      </w:r>
      <w:r w:rsidRPr="00104026">
        <w:rPr>
          <w:rFonts w:ascii="Franklin Gothic Book" w:hAnsi="Franklin Gothic Book"/>
          <w:color w:val="auto"/>
          <w:spacing w:val="20"/>
          <w:szCs w:val="22"/>
        </w:rPr>
        <w:t xml:space="preserve"> The rate of placement moves has decreased from 5.78 in 2010 to 4.66 in 2015. The County’s rate is very close to approaching the federal standard of 4.12. </w:t>
      </w:r>
    </w:p>
    <w:p w:rsidR="00D86A11" w:rsidRPr="00104026" w:rsidRDefault="00D86A11" w:rsidP="00D86A11">
      <w:pPr>
        <w:rPr>
          <w:rFonts w:ascii="Franklin Gothic Book" w:hAnsi="Franklin Gothic Book"/>
          <w:color w:val="auto"/>
          <w:spacing w:val="20"/>
          <w:szCs w:val="22"/>
        </w:rPr>
      </w:pPr>
      <w:r w:rsidRPr="00104026">
        <w:rPr>
          <w:rFonts w:ascii="Franklin Gothic Book" w:hAnsi="Franklin Gothic Book"/>
          <w:b/>
          <w:color w:val="auto"/>
          <w:spacing w:val="20"/>
          <w:szCs w:val="22"/>
        </w:rPr>
        <w:t>Race/Ethnicity:</w:t>
      </w:r>
      <w:r w:rsidRPr="00104026">
        <w:rPr>
          <w:rFonts w:ascii="Franklin Gothic Book" w:hAnsi="Franklin Gothic Book"/>
          <w:color w:val="auto"/>
          <w:spacing w:val="20"/>
          <w:szCs w:val="22"/>
        </w:rPr>
        <w:t xml:space="preserve"> In 2015, Black children experienced the highest rate of placement moves at 5.57 per 1,000 days in care, followed by Asian/PI children at 5.4, Latino children at 4.74, White children at 4.12 and Native American children at 2.82.</w:t>
      </w:r>
    </w:p>
    <w:p w:rsidR="00EF183B" w:rsidRDefault="00D86A11" w:rsidP="00176DFC">
      <w:pPr>
        <w:spacing w:beforeLines="200" w:before="480" w:afterLines="40" w:after="96"/>
        <w:rPr>
          <w:rFonts w:ascii="Franklin Gothic Book" w:hAnsi="Franklin Gothic Book"/>
          <w:color w:val="auto"/>
          <w:spacing w:val="20"/>
          <w:szCs w:val="22"/>
        </w:rPr>
      </w:pPr>
      <w:r w:rsidRPr="00104026">
        <w:rPr>
          <w:rFonts w:ascii="Franklin Gothic Book" w:hAnsi="Franklin Gothic Book"/>
          <w:b/>
          <w:color w:val="auto"/>
          <w:spacing w:val="20"/>
          <w:szCs w:val="22"/>
        </w:rPr>
        <w:t>Age:</w:t>
      </w:r>
      <w:r w:rsidRPr="00104026">
        <w:rPr>
          <w:rFonts w:ascii="Franklin Gothic Book" w:hAnsi="Franklin Gothic Book"/>
          <w:color w:val="auto"/>
          <w:spacing w:val="20"/>
          <w:szCs w:val="22"/>
        </w:rPr>
        <w:t xml:space="preserve"> In 2015, the children with the highest rate of placement moves were 11-15 year olds at 5.65, followed by 6-10 year olds at 5.48, 1-2 year olds at 5.40, 16-17 year olds at 4.7, 3-5 year olds at 4.46, and children under 1 year of age at 3.24. </w:t>
      </w:r>
    </w:p>
    <w:p w:rsidR="00D86A11" w:rsidRPr="00104026" w:rsidRDefault="00EF183B" w:rsidP="00906204">
      <w:pPr>
        <w:pStyle w:val="Heading2"/>
        <w:spacing w:line="276" w:lineRule="auto"/>
        <w:rPr>
          <w:b w:val="0"/>
          <w:color w:val="auto"/>
          <w:sz w:val="22"/>
        </w:rPr>
      </w:pPr>
      <w:r w:rsidRPr="00906204">
        <w:rPr>
          <w:b w:val="0"/>
          <w:color w:val="auto"/>
          <w:sz w:val="22"/>
        </w:rPr>
        <w:t>The number of placement moves from 2010 to 2015 decreased 48% for Hispanic children and 38% for White children. For the same period the number of placement moves for Black children decreased by29%. Over a longer period from 2005 to 2015 the decrease in placements moves for Black children was 49%. For that same ten-year period the decrease for Hispanics was 62%,for Whites 65%, Asian/PI 72%, and  Native Americans 55%.</w:t>
      </w:r>
      <w:r w:rsidR="00D86A11" w:rsidRPr="00104026">
        <w:rPr>
          <w:b w:val="0"/>
          <w:color w:val="auto"/>
          <w:sz w:val="22"/>
        </w:rPr>
        <w:t xml:space="preserve">Placement Stability is one of the focus areas in the current SIP (2012-2017) and improvement on this measure is due to the implementation of multiple SIP strategies. For example, to improve the relative home identification and approval process, CWS conducted a Lean Six Sigma Black Belt Project and several changes were made as a result to streamline the relative approval process. Improvements included co-locating some of the search clerks with placement units to improve communication and collaboration. In addition, relative home approval forms were revised and streamlined and several modifications were made to the relative home approval meetings to support shared learning and better consistency in practice. </w:t>
      </w:r>
    </w:p>
    <w:p w:rsidR="00D86A11" w:rsidRPr="00104026" w:rsidRDefault="00D86A11" w:rsidP="00D86A11">
      <w:pPr>
        <w:pStyle w:val="Heading2"/>
        <w:spacing w:line="276" w:lineRule="auto"/>
        <w:rPr>
          <w:b w:val="0"/>
          <w:color w:val="auto"/>
          <w:sz w:val="22"/>
        </w:rPr>
      </w:pPr>
      <w:r w:rsidRPr="00104026">
        <w:rPr>
          <w:b w:val="0"/>
          <w:color w:val="auto"/>
          <w:sz w:val="22"/>
        </w:rPr>
        <w:t xml:space="preserve">In 2011, CWS implemented a policy requiring that genograms be developed for each family and recently workers started using a software program called Genogram Analytics for generating genograms. In the near future, the County will </w:t>
      </w:r>
      <w:r w:rsidRPr="00104026">
        <w:rPr>
          <w:b w:val="0"/>
          <w:color w:val="auto"/>
          <w:sz w:val="22"/>
        </w:rPr>
        <w:lastRenderedPageBreak/>
        <w:t>be upgrading to an online version of Genogram Analytics. The policy and new tool have helped to increase the use of genograms in practice. Using genograms helps workers understand family relationships and helps identify possible family supports and placements.</w:t>
      </w:r>
    </w:p>
    <w:p w:rsidR="00D86A11" w:rsidRPr="00104026" w:rsidRDefault="00D86A11" w:rsidP="00D86A11">
      <w:pPr>
        <w:pStyle w:val="Heading2"/>
        <w:spacing w:line="276" w:lineRule="auto"/>
        <w:rPr>
          <w:b w:val="0"/>
          <w:color w:val="auto"/>
          <w:sz w:val="22"/>
        </w:rPr>
      </w:pPr>
      <w:r w:rsidRPr="00104026">
        <w:rPr>
          <w:b w:val="0"/>
          <w:color w:val="auto"/>
          <w:sz w:val="22"/>
        </w:rPr>
        <w:t xml:space="preserve">The improvement in placement stability has also been supported by increasing support and resources for both relative and foster caregivers. Kinship support groups have been expanded to once per week to provide caregivers additional support. CWS also increased the Kinship Navigator contract so that more relative caregivers could have access to Navigator support that helps them to understand and navigate the child welfare system, access needed resources and maintain the child’s placement. In addition, the County launched 211 iFoster, in January 2015, to provide an online portal where eligible foster children &amp; youth, kinship families, and caregivers can sign up to receive information, discounts, as well as access to needed services in their community. Discounts on eyeglasses and pool fences have been particularly popular with San Diego caregivers. </w:t>
      </w:r>
      <w:r>
        <w:rPr>
          <w:b w:val="0"/>
          <w:color w:val="auto"/>
          <w:sz w:val="22"/>
        </w:rPr>
        <w:t>The County of San Diego</w:t>
      </w:r>
      <w:r w:rsidRPr="00104026">
        <w:rPr>
          <w:b w:val="0"/>
          <w:color w:val="auto"/>
          <w:sz w:val="22"/>
        </w:rPr>
        <w:t xml:space="preserve"> also has an active Grandparents Raising Grandchildren initiative which provides resources and training to grandparents (and other relative caregivers) that are caring for their minor kin, whether they are involved with CWS or not. </w:t>
      </w:r>
    </w:p>
    <w:p w:rsidR="00D86A11" w:rsidRPr="00104026" w:rsidRDefault="00D86A11" w:rsidP="00D86A11">
      <w:pPr>
        <w:pStyle w:val="Heading2"/>
        <w:spacing w:line="276" w:lineRule="auto"/>
        <w:rPr>
          <w:b w:val="0"/>
          <w:color w:val="auto"/>
          <w:sz w:val="22"/>
        </w:rPr>
      </w:pPr>
      <w:r w:rsidRPr="00104026">
        <w:rPr>
          <w:b w:val="0"/>
          <w:color w:val="auto"/>
          <w:sz w:val="22"/>
        </w:rPr>
        <w:t xml:space="preserve">The changes that are being implemented through the statewide Resource Family Approval program will likely lead to some mixed results. It is hoped that requiring all caregivers (foster, guardian, relative and adoptive) to complete the same training and meet the same approval standards will improve the quality of care, lead to fewer placement changes and shorten the time to permanency. However, there is concern that some families, particularly relatives, will not be able to pass the permanency assessment. If this impacts the number of children placed with relatives this could impact the placement stability outcome because relative placements tend to be more stable. The change could also reduce the number of children who find permanent homes with family members. </w:t>
      </w:r>
    </w:p>
    <w:p w:rsidR="00D86A11" w:rsidRDefault="00121985" w:rsidP="00D86A11">
      <w:pPr>
        <w:pStyle w:val="Heading1"/>
        <w:rPr>
          <w:color w:val="F6872B"/>
          <w:sz w:val="24"/>
        </w:rPr>
      </w:pPr>
      <w:r w:rsidRPr="00121985">
        <w:rPr>
          <w:color w:val="F6872B"/>
          <w:sz w:val="24"/>
        </w:rPr>
        <w:t>2B Timely Response (immediate &amp; 10-day response compliance)</w:t>
      </w:r>
    </w:p>
    <w:tbl>
      <w:tblPr>
        <w:tblW w:w="10219" w:type="dxa"/>
        <w:tblBorders>
          <w:top w:val="single" w:sz="18" w:space="0" w:color="F6872B"/>
          <w:bottom w:val="single" w:sz="18" w:space="0" w:color="F6872B"/>
        </w:tblBorders>
        <w:tblLook w:val="04A0" w:firstRow="1" w:lastRow="0" w:firstColumn="1" w:lastColumn="0" w:noHBand="0" w:noVBand="1"/>
      </w:tblPr>
      <w:tblGrid>
        <w:gridCol w:w="3072"/>
        <w:gridCol w:w="1191"/>
        <w:gridCol w:w="1191"/>
        <w:gridCol w:w="1191"/>
        <w:gridCol w:w="1191"/>
        <w:gridCol w:w="1191"/>
        <w:gridCol w:w="1192"/>
      </w:tblGrid>
      <w:tr w:rsidR="00D86A11" w:rsidRPr="002E3D5C">
        <w:trPr>
          <w:trHeight w:val="648"/>
        </w:trPr>
        <w:tc>
          <w:tcPr>
            <w:tcW w:w="10219" w:type="dxa"/>
            <w:gridSpan w:val="7"/>
            <w:shd w:val="clear" w:color="auto" w:fill="013161"/>
          </w:tcPr>
          <w:p w:rsidR="00D86A11" w:rsidRPr="000055D1" w:rsidRDefault="00D86A11" w:rsidP="00D86A11">
            <w:pPr>
              <w:spacing w:after="0" w:line="240" w:lineRule="auto"/>
              <w:jc w:val="center"/>
              <w:rPr>
                <w:rFonts w:ascii="Calibri" w:eastAsia="Times New Roman" w:hAnsi="Calibri" w:cs="Arial"/>
                <w:color w:val="FFFFFF"/>
                <w:sz w:val="20"/>
              </w:rPr>
            </w:pPr>
            <w:r w:rsidRPr="00CB121E">
              <w:rPr>
                <w:rFonts w:ascii="Calibri" w:hAnsi="Calibri" w:cs="Calibri"/>
                <w:b/>
                <w:color w:val="FFFFFF"/>
                <w:sz w:val="24"/>
              </w:rPr>
              <w:t>Exhibit 62. County of San Diego Timely Response: Immediate &amp; 10-Day Response Referrals</w:t>
            </w:r>
            <w:r w:rsidRPr="000055D1">
              <w:rPr>
                <w:rFonts w:ascii="Calibri" w:hAnsi="Calibri" w:cs="Calibri"/>
                <w:color w:val="FFFFFF"/>
                <w:sz w:val="20"/>
              </w:rPr>
              <w:br/>
              <w:t>Immediate Statewide Goal 90%, CA Performance 96.6%; 10-Day Statewide Goal 90%, CA Performance 89.8%</w:t>
            </w:r>
          </w:p>
        </w:tc>
      </w:tr>
      <w:tr w:rsidR="00D86A11" w:rsidRPr="002E3D5C">
        <w:trPr>
          <w:trHeight w:val="287"/>
        </w:trPr>
        <w:tc>
          <w:tcPr>
            <w:tcW w:w="3072" w:type="dxa"/>
            <w:shd w:val="clear" w:color="auto" w:fill="013161"/>
            <w:noWrap/>
          </w:tcPr>
          <w:p w:rsidR="00D86A11" w:rsidRPr="00721EF1" w:rsidRDefault="00D86A11" w:rsidP="00D86A11">
            <w:pPr>
              <w:spacing w:after="0" w:line="240" w:lineRule="auto"/>
              <w:jc w:val="right"/>
              <w:rPr>
                <w:rFonts w:ascii="Calibri" w:eastAsia="Times New Roman" w:hAnsi="Calibri" w:cs="Arial"/>
                <w:b/>
                <w:color w:val="FFFFFF"/>
                <w:sz w:val="20"/>
              </w:rPr>
            </w:pPr>
          </w:p>
        </w:tc>
        <w:tc>
          <w:tcPr>
            <w:tcW w:w="1191" w:type="dxa"/>
            <w:shd w:val="clear" w:color="auto" w:fill="013161"/>
          </w:tcPr>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Calendar Yr</w:t>
            </w:r>
          </w:p>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Q4 2010</w:t>
            </w:r>
          </w:p>
        </w:tc>
        <w:tc>
          <w:tcPr>
            <w:tcW w:w="1191"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Calendar Yr</w:t>
            </w:r>
          </w:p>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Q4 2011</w:t>
            </w:r>
          </w:p>
        </w:tc>
        <w:tc>
          <w:tcPr>
            <w:tcW w:w="1191"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Calendar Yr</w:t>
            </w:r>
          </w:p>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Q4 2012</w:t>
            </w:r>
          </w:p>
        </w:tc>
        <w:tc>
          <w:tcPr>
            <w:tcW w:w="1191"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Calendar Yr</w:t>
            </w:r>
          </w:p>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Q4 2013</w:t>
            </w:r>
          </w:p>
        </w:tc>
        <w:tc>
          <w:tcPr>
            <w:tcW w:w="1191"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Calendar Yr</w:t>
            </w:r>
          </w:p>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Q4 2014</w:t>
            </w:r>
          </w:p>
        </w:tc>
        <w:tc>
          <w:tcPr>
            <w:tcW w:w="1192"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Calendar Yr</w:t>
            </w:r>
          </w:p>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Q4 2015</w:t>
            </w:r>
          </w:p>
        </w:tc>
      </w:tr>
      <w:tr w:rsidR="00D86A11" w:rsidRPr="002E3D5C">
        <w:trPr>
          <w:trHeight w:val="287"/>
        </w:trPr>
        <w:tc>
          <w:tcPr>
            <w:tcW w:w="3072" w:type="dxa"/>
            <w:shd w:val="clear" w:color="auto" w:fill="auto"/>
            <w:noWrap/>
          </w:tcPr>
          <w:p w:rsidR="00D86A11" w:rsidRPr="002B0606" w:rsidRDefault="00D86A11" w:rsidP="00D86A11">
            <w:pPr>
              <w:spacing w:after="0" w:line="240" w:lineRule="auto"/>
              <w:rPr>
                <w:rFonts w:ascii="Calibri" w:eastAsia="Times New Roman" w:hAnsi="Calibri" w:cs="Arial"/>
                <w:b/>
                <w:color w:val="013161"/>
                <w:sz w:val="18"/>
              </w:rPr>
            </w:pPr>
            <w:r w:rsidRPr="002B0606">
              <w:rPr>
                <w:rFonts w:ascii="Calibri" w:eastAsia="Times New Roman" w:hAnsi="Calibri" w:cs="Arial"/>
                <w:b/>
                <w:color w:val="013161"/>
                <w:sz w:val="18"/>
              </w:rPr>
              <w:t>Timely response -- immediate response compliance (%)</w:t>
            </w:r>
          </w:p>
        </w:tc>
        <w:tc>
          <w:tcPr>
            <w:tcW w:w="1191" w:type="dxa"/>
            <w:shd w:val="clear" w:color="auto" w:fill="auto"/>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97.4</w:t>
            </w:r>
          </w:p>
        </w:tc>
        <w:tc>
          <w:tcPr>
            <w:tcW w:w="1191" w:type="dxa"/>
            <w:shd w:val="clear" w:color="auto" w:fill="auto"/>
            <w:noWrap/>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96.8</w:t>
            </w:r>
          </w:p>
        </w:tc>
        <w:tc>
          <w:tcPr>
            <w:tcW w:w="1191" w:type="dxa"/>
            <w:shd w:val="clear" w:color="auto" w:fill="auto"/>
            <w:noWrap/>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97.0</w:t>
            </w:r>
          </w:p>
        </w:tc>
        <w:tc>
          <w:tcPr>
            <w:tcW w:w="1191" w:type="dxa"/>
            <w:shd w:val="clear" w:color="auto" w:fill="auto"/>
            <w:noWrap/>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97.8</w:t>
            </w:r>
          </w:p>
        </w:tc>
        <w:tc>
          <w:tcPr>
            <w:tcW w:w="1191" w:type="dxa"/>
            <w:shd w:val="clear" w:color="auto" w:fill="auto"/>
            <w:noWrap/>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97.8</w:t>
            </w:r>
          </w:p>
        </w:tc>
        <w:tc>
          <w:tcPr>
            <w:tcW w:w="1192" w:type="dxa"/>
            <w:shd w:val="clear" w:color="auto" w:fill="auto"/>
            <w:noWrap/>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98.6</w:t>
            </w:r>
          </w:p>
        </w:tc>
      </w:tr>
      <w:tr w:rsidR="00D86A11" w:rsidRPr="002E3D5C">
        <w:trPr>
          <w:trHeight w:val="287"/>
        </w:trPr>
        <w:tc>
          <w:tcPr>
            <w:tcW w:w="3072" w:type="dxa"/>
            <w:shd w:val="clear" w:color="auto" w:fill="DBE5F1"/>
            <w:noWrap/>
          </w:tcPr>
          <w:p w:rsidR="00D86A11" w:rsidRPr="002B0606" w:rsidRDefault="00D86A11" w:rsidP="00D86A11">
            <w:pPr>
              <w:spacing w:after="0" w:line="240" w:lineRule="auto"/>
              <w:rPr>
                <w:rFonts w:ascii="Calibri" w:eastAsia="Times New Roman" w:hAnsi="Calibri" w:cs="Arial"/>
                <w:b/>
                <w:color w:val="013161"/>
                <w:sz w:val="18"/>
              </w:rPr>
            </w:pPr>
            <w:r w:rsidRPr="002B0606">
              <w:rPr>
                <w:rFonts w:ascii="Calibri" w:eastAsia="Times New Roman" w:hAnsi="Calibri" w:cs="Arial"/>
                <w:b/>
                <w:color w:val="013161"/>
                <w:sz w:val="18"/>
              </w:rPr>
              <w:t>Seen by social worker w/in 24 hrs. (n)</w:t>
            </w:r>
          </w:p>
        </w:tc>
        <w:tc>
          <w:tcPr>
            <w:tcW w:w="1191" w:type="dxa"/>
            <w:shd w:val="clear" w:color="auto" w:fill="DBE5F1"/>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1,558</w:t>
            </w:r>
          </w:p>
        </w:tc>
        <w:tc>
          <w:tcPr>
            <w:tcW w:w="1191" w:type="dxa"/>
            <w:shd w:val="clear" w:color="auto" w:fill="DBE5F1"/>
            <w:noWrap/>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1,473</w:t>
            </w:r>
          </w:p>
        </w:tc>
        <w:tc>
          <w:tcPr>
            <w:tcW w:w="1191" w:type="dxa"/>
            <w:shd w:val="clear" w:color="auto" w:fill="DBE5F1"/>
            <w:noWrap/>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1,277</w:t>
            </w:r>
          </w:p>
        </w:tc>
        <w:tc>
          <w:tcPr>
            <w:tcW w:w="1191" w:type="dxa"/>
            <w:shd w:val="clear" w:color="auto" w:fill="DBE5F1"/>
            <w:noWrap/>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1,339</w:t>
            </w:r>
          </w:p>
        </w:tc>
        <w:tc>
          <w:tcPr>
            <w:tcW w:w="1191" w:type="dxa"/>
            <w:shd w:val="clear" w:color="auto" w:fill="DBE5F1"/>
            <w:noWrap/>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1,428</w:t>
            </w:r>
          </w:p>
        </w:tc>
        <w:tc>
          <w:tcPr>
            <w:tcW w:w="1192" w:type="dxa"/>
            <w:shd w:val="clear" w:color="auto" w:fill="DBE5F1"/>
            <w:noWrap/>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1,656</w:t>
            </w:r>
          </w:p>
        </w:tc>
      </w:tr>
      <w:tr w:rsidR="00D86A11" w:rsidRPr="00E13FA5">
        <w:trPr>
          <w:trHeight w:val="287"/>
        </w:trPr>
        <w:tc>
          <w:tcPr>
            <w:tcW w:w="3072" w:type="dxa"/>
            <w:shd w:val="clear" w:color="auto" w:fill="auto"/>
            <w:noWrap/>
          </w:tcPr>
          <w:p w:rsidR="00D86A11" w:rsidRPr="002B0606" w:rsidRDefault="00D86A11" w:rsidP="00D86A11">
            <w:pPr>
              <w:spacing w:after="0" w:line="240" w:lineRule="auto"/>
              <w:rPr>
                <w:rFonts w:ascii="Calibri" w:eastAsia="Times New Roman" w:hAnsi="Calibri" w:cs="Arial"/>
                <w:b/>
                <w:color w:val="013161"/>
                <w:sz w:val="18"/>
              </w:rPr>
            </w:pPr>
            <w:r w:rsidRPr="002B0606">
              <w:rPr>
                <w:rFonts w:ascii="Calibri" w:eastAsia="Times New Roman" w:hAnsi="Calibri" w:cs="Arial"/>
                <w:b/>
                <w:color w:val="013161"/>
                <w:sz w:val="18"/>
              </w:rPr>
              <w:t>Timely response -- 10-day response compliance (%)</w:t>
            </w:r>
          </w:p>
        </w:tc>
        <w:tc>
          <w:tcPr>
            <w:tcW w:w="1191" w:type="dxa"/>
            <w:shd w:val="clear" w:color="auto" w:fill="auto"/>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93.6</w:t>
            </w:r>
          </w:p>
        </w:tc>
        <w:tc>
          <w:tcPr>
            <w:tcW w:w="1191" w:type="dxa"/>
            <w:shd w:val="clear" w:color="auto" w:fill="auto"/>
            <w:noWrap/>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94.2</w:t>
            </w:r>
          </w:p>
        </w:tc>
        <w:tc>
          <w:tcPr>
            <w:tcW w:w="1191" w:type="dxa"/>
            <w:shd w:val="clear" w:color="auto" w:fill="auto"/>
            <w:noWrap/>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93.6</w:t>
            </w:r>
          </w:p>
        </w:tc>
        <w:tc>
          <w:tcPr>
            <w:tcW w:w="1191" w:type="dxa"/>
            <w:shd w:val="clear" w:color="auto" w:fill="auto"/>
            <w:noWrap/>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97.1</w:t>
            </w:r>
          </w:p>
        </w:tc>
        <w:tc>
          <w:tcPr>
            <w:tcW w:w="1191" w:type="dxa"/>
            <w:shd w:val="clear" w:color="auto" w:fill="auto"/>
            <w:noWrap/>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97.1</w:t>
            </w:r>
          </w:p>
        </w:tc>
        <w:tc>
          <w:tcPr>
            <w:tcW w:w="1192" w:type="dxa"/>
            <w:shd w:val="clear" w:color="auto" w:fill="auto"/>
            <w:noWrap/>
          </w:tcPr>
          <w:p w:rsidR="00D86A11" w:rsidRPr="002B0606" w:rsidRDefault="00D86A11" w:rsidP="00D86A11">
            <w:pPr>
              <w:spacing w:after="0" w:line="240" w:lineRule="auto"/>
              <w:jc w:val="center"/>
              <w:rPr>
                <w:rFonts w:ascii="Calibri" w:eastAsia="Times New Roman" w:hAnsi="Calibri" w:cs="Arial"/>
                <w:b/>
                <w:color w:val="013161"/>
                <w:sz w:val="18"/>
              </w:rPr>
            </w:pPr>
            <w:r w:rsidRPr="002B0606">
              <w:rPr>
                <w:rFonts w:ascii="Calibri" w:eastAsia="Times New Roman" w:hAnsi="Calibri" w:cs="Arial"/>
                <w:b/>
                <w:color w:val="013161"/>
                <w:sz w:val="18"/>
              </w:rPr>
              <w:t>96.7</w:t>
            </w:r>
          </w:p>
        </w:tc>
      </w:tr>
      <w:tr w:rsidR="00D86A11" w:rsidRPr="00E13FA5">
        <w:trPr>
          <w:trHeight w:val="287"/>
        </w:trPr>
        <w:tc>
          <w:tcPr>
            <w:tcW w:w="3072" w:type="dxa"/>
            <w:shd w:val="clear" w:color="auto" w:fill="DBE5F1"/>
            <w:noWrap/>
          </w:tcPr>
          <w:p w:rsidR="00D86A11" w:rsidRPr="004C6FE7" w:rsidRDefault="00D86A11" w:rsidP="00D86A11">
            <w:pPr>
              <w:spacing w:after="0" w:line="240" w:lineRule="auto"/>
              <w:rPr>
                <w:rFonts w:ascii="Calibri" w:eastAsia="Times New Roman" w:hAnsi="Calibri" w:cs="Arial"/>
                <w:b/>
                <w:color w:val="013161"/>
                <w:sz w:val="20"/>
              </w:rPr>
            </w:pPr>
            <w:r w:rsidRPr="004C6FE7">
              <w:rPr>
                <w:rFonts w:ascii="Calibri" w:eastAsia="Times New Roman" w:hAnsi="Calibri" w:cs="Arial"/>
                <w:b/>
                <w:color w:val="013161"/>
                <w:sz w:val="20"/>
              </w:rPr>
              <w:t>Seen by social worker w/in 10 days (n)</w:t>
            </w:r>
          </w:p>
        </w:tc>
        <w:tc>
          <w:tcPr>
            <w:tcW w:w="1191" w:type="dxa"/>
            <w:shd w:val="clear" w:color="auto" w:fill="DBE5F1"/>
          </w:tcPr>
          <w:p w:rsidR="00D86A11" w:rsidRPr="000055D1" w:rsidRDefault="00D86A11" w:rsidP="00D86A11">
            <w:pPr>
              <w:spacing w:after="0" w:line="240" w:lineRule="auto"/>
              <w:jc w:val="center"/>
              <w:rPr>
                <w:rFonts w:ascii="Calibri" w:eastAsia="Times New Roman" w:hAnsi="Calibri" w:cs="Arial"/>
                <w:b/>
                <w:color w:val="013161"/>
                <w:sz w:val="20"/>
              </w:rPr>
            </w:pPr>
            <w:r w:rsidRPr="000055D1">
              <w:rPr>
                <w:rFonts w:ascii="Calibri" w:eastAsia="Times New Roman" w:hAnsi="Calibri" w:cs="Arial"/>
                <w:b/>
                <w:color w:val="013161"/>
                <w:sz w:val="20"/>
              </w:rPr>
              <w:t>3,638</w:t>
            </w:r>
          </w:p>
        </w:tc>
        <w:tc>
          <w:tcPr>
            <w:tcW w:w="1191" w:type="dxa"/>
            <w:shd w:val="clear" w:color="auto" w:fill="DBE5F1"/>
            <w:noWrap/>
          </w:tcPr>
          <w:p w:rsidR="00D86A11" w:rsidRPr="000055D1" w:rsidRDefault="00D86A11" w:rsidP="00D86A11">
            <w:pPr>
              <w:spacing w:after="0" w:line="240" w:lineRule="auto"/>
              <w:jc w:val="center"/>
              <w:rPr>
                <w:rFonts w:ascii="Calibri" w:eastAsia="Times New Roman" w:hAnsi="Calibri" w:cs="Arial"/>
                <w:b/>
                <w:color w:val="013161"/>
                <w:sz w:val="20"/>
              </w:rPr>
            </w:pPr>
            <w:r w:rsidRPr="000055D1">
              <w:rPr>
                <w:rFonts w:ascii="Calibri" w:eastAsia="Times New Roman" w:hAnsi="Calibri" w:cs="Arial"/>
                <w:b/>
                <w:color w:val="013161"/>
                <w:sz w:val="20"/>
              </w:rPr>
              <w:t>3,657</w:t>
            </w:r>
          </w:p>
        </w:tc>
        <w:tc>
          <w:tcPr>
            <w:tcW w:w="1191" w:type="dxa"/>
            <w:shd w:val="clear" w:color="auto" w:fill="DBE5F1"/>
            <w:noWrap/>
          </w:tcPr>
          <w:p w:rsidR="00D86A11" w:rsidRPr="000055D1" w:rsidRDefault="00D86A11" w:rsidP="00D86A11">
            <w:pPr>
              <w:spacing w:after="0" w:line="240" w:lineRule="auto"/>
              <w:jc w:val="center"/>
              <w:rPr>
                <w:rFonts w:ascii="Calibri" w:eastAsia="Times New Roman" w:hAnsi="Calibri" w:cs="Arial"/>
                <w:b/>
                <w:color w:val="013161"/>
                <w:sz w:val="20"/>
              </w:rPr>
            </w:pPr>
            <w:r w:rsidRPr="000055D1">
              <w:rPr>
                <w:rFonts w:ascii="Calibri" w:eastAsia="Times New Roman" w:hAnsi="Calibri" w:cs="Arial"/>
                <w:b/>
                <w:color w:val="013161"/>
                <w:sz w:val="20"/>
              </w:rPr>
              <w:t>3,530</w:t>
            </w:r>
          </w:p>
        </w:tc>
        <w:tc>
          <w:tcPr>
            <w:tcW w:w="1191" w:type="dxa"/>
            <w:shd w:val="clear" w:color="auto" w:fill="DBE5F1"/>
            <w:noWrap/>
          </w:tcPr>
          <w:p w:rsidR="00D86A11" w:rsidRPr="000055D1" w:rsidRDefault="00D86A11" w:rsidP="00D86A11">
            <w:pPr>
              <w:spacing w:after="0" w:line="240" w:lineRule="auto"/>
              <w:jc w:val="center"/>
              <w:rPr>
                <w:rFonts w:ascii="Calibri" w:eastAsia="Times New Roman" w:hAnsi="Calibri" w:cs="Arial"/>
                <w:b/>
                <w:color w:val="013161"/>
                <w:sz w:val="20"/>
              </w:rPr>
            </w:pPr>
            <w:r w:rsidRPr="000055D1">
              <w:rPr>
                <w:rFonts w:ascii="Calibri" w:eastAsia="Times New Roman" w:hAnsi="Calibri" w:cs="Arial"/>
                <w:b/>
                <w:color w:val="013161"/>
                <w:sz w:val="20"/>
              </w:rPr>
              <w:t>3,647</w:t>
            </w:r>
          </w:p>
        </w:tc>
        <w:tc>
          <w:tcPr>
            <w:tcW w:w="1191" w:type="dxa"/>
            <w:shd w:val="clear" w:color="auto" w:fill="DBE5F1"/>
            <w:noWrap/>
          </w:tcPr>
          <w:p w:rsidR="00D86A11" w:rsidRPr="000055D1" w:rsidRDefault="00D86A11" w:rsidP="00D86A11">
            <w:pPr>
              <w:spacing w:after="0" w:line="240" w:lineRule="auto"/>
              <w:jc w:val="center"/>
              <w:rPr>
                <w:rFonts w:ascii="Calibri" w:eastAsia="Times New Roman" w:hAnsi="Calibri" w:cs="Arial"/>
                <w:b/>
                <w:color w:val="013161"/>
                <w:sz w:val="20"/>
              </w:rPr>
            </w:pPr>
            <w:r w:rsidRPr="000055D1">
              <w:rPr>
                <w:rFonts w:ascii="Calibri" w:eastAsia="Times New Roman" w:hAnsi="Calibri" w:cs="Arial"/>
                <w:b/>
                <w:color w:val="013161"/>
                <w:sz w:val="20"/>
              </w:rPr>
              <w:t>4,040</w:t>
            </w:r>
          </w:p>
        </w:tc>
        <w:tc>
          <w:tcPr>
            <w:tcW w:w="1192" w:type="dxa"/>
            <w:shd w:val="clear" w:color="auto" w:fill="DBE5F1"/>
            <w:noWrap/>
          </w:tcPr>
          <w:p w:rsidR="00D86A11" w:rsidRPr="000055D1" w:rsidRDefault="00D86A11" w:rsidP="00D86A11">
            <w:pPr>
              <w:spacing w:after="0" w:line="240" w:lineRule="auto"/>
              <w:jc w:val="center"/>
              <w:rPr>
                <w:rFonts w:ascii="Calibri" w:eastAsia="Times New Roman" w:hAnsi="Calibri" w:cs="Arial"/>
                <w:b/>
                <w:color w:val="013161"/>
                <w:sz w:val="20"/>
              </w:rPr>
            </w:pPr>
            <w:r w:rsidRPr="000055D1">
              <w:rPr>
                <w:rFonts w:ascii="Calibri" w:eastAsia="Times New Roman" w:hAnsi="Calibri" w:cs="Arial"/>
                <w:b/>
                <w:color w:val="013161"/>
                <w:sz w:val="20"/>
              </w:rPr>
              <w:t>3,736</w:t>
            </w:r>
          </w:p>
        </w:tc>
      </w:tr>
    </w:tbl>
    <w:p w:rsidR="00D86A11" w:rsidRPr="00712EA6" w:rsidRDefault="00D86A11" w:rsidP="00D86A11">
      <w:pPr>
        <w:pStyle w:val="Heading1"/>
        <w:rPr>
          <w:color w:val="2E7029"/>
          <w:sz w:val="24"/>
        </w:rPr>
      </w:pPr>
      <w:r w:rsidRPr="00712EA6">
        <w:rPr>
          <w:color w:val="2E7029"/>
          <w:sz w:val="24"/>
        </w:rPr>
        <w:t>Analysis</w:t>
      </w:r>
    </w:p>
    <w:p w:rsidR="00D86A11" w:rsidRPr="00E40649" w:rsidRDefault="00D86A11" w:rsidP="00D86A11">
      <w:pPr>
        <w:rPr>
          <w:rFonts w:ascii="Franklin Gothic Book" w:hAnsi="Franklin Gothic Book"/>
          <w:color w:val="auto"/>
          <w:spacing w:val="20"/>
          <w:szCs w:val="28"/>
        </w:rPr>
      </w:pPr>
      <w:r w:rsidRPr="00E40649">
        <w:rPr>
          <w:rFonts w:ascii="Franklin Gothic Book" w:hAnsi="Franklin Gothic Book"/>
          <w:color w:val="auto"/>
          <w:spacing w:val="20"/>
          <w:szCs w:val="28"/>
        </w:rPr>
        <w:lastRenderedPageBreak/>
        <w:t>This measure provides the percentage of child abuse and neglect referrals that require, and then receive, an in-person investigation within the specified time frame. Referrals with a status of attempted or completed are included.</w:t>
      </w:r>
    </w:p>
    <w:p w:rsidR="00D86A11" w:rsidRPr="00E40649" w:rsidRDefault="00D86A11" w:rsidP="00D86A11">
      <w:pPr>
        <w:rPr>
          <w:rFonts w:ascii="Franklin Gothic Book" w:hAnsi="Franklin Gothic Book"/>
          <w:color w:val="auto"/>
          <w:spacing w:val="20"/>
          <w:szCs w:val="28"/>
        </w:rPr>
      </w:pPr>
      <w:r w:rsidRPr="00E40649">
        <w:rPr>
          <w:rFonts w:ascii="Franklin Gothic Book" w:hAnsi="Franklin Gothic Book"/>
          <w:b/>
          <w:color w:val="auto"/>
          <w:spacing w:val="20"/>
          <w:szCs w:val="28"/>
        </w:rPr>
        <w:t>Trends:</w:t>
      </w:r>
      <w:r w:rsidRPr="00E40649">
        <w:rPr>
          <w:rFonts w:ascii="Franklin Gothic Book" w:hAnsi="Franklin Gothic Book"/>
          <w:color w:val="auto"/>
          <w:spacing w:val="20"/>
          <w:szCs w:val="28"/>
        </w:rPr>
        <w:t xml:space="preserve">  Over the last six years, the County has improved its Timely Response rate for both Immediate and 10-day referrals and is also performing better than the State overall, particularly for the 10-day response referrals. </w:t>
      </w:r>
    </w:p>
    <w:p w:rsidR="00D86A11" w:rsidRPr="00E40649" w:rsidRDefault="00D86A11" w:rsidP="00D86A11">
      <w:pPr>
        <w:rPr>
          <w:rFonts w:ascii="Franklin Gothic Book" w:hAnsi="Franklin Gothic Book"/>
          <w:color w:val="auto"/>
          <w:spacing w:val="20"/>
          <w:szCs w:val="28"/>
        </w:rPr>
      </w:pPr>
      <w:r w:rsidRPr="00E40649">
        <w:rPr>
          <w:rFonts w:ascii="Franklin Gothic Book" w:hAnsi="Franklin Gothic Book"/>
          <w:b/>
          <w:color w:val="auto"/>
          <w:spacing w:val="20"/>
          <w:szCs w:val="28"/>
        </w:rPr>
        <w:t>Race/Ethnicity:</w:t>
      </w:r>
      <w:r w:rsidRPr="00E40649">
        <w:rPr>
          <w:rFonts w:ascii="Franklin Gothic Book" w:hAnsi="Franklin Gothic Book"/>
          <w:color w:val="auto"/>
          <w:spacing w:val="20"/>
          <w:szCs w:val="28"/>
        </w:rPr>
        <w:t xml:space="preserve"> In Quarter 4, 2015, all race/ethnic groups experienced timely responses to immediate response and 10-day referrals at percentages that were well above the statewide goals. The percent of timely responses to immediate referrals ranged from 95.8% for Native American children to 99.0% for Latino children. The percent of timely responses to 10-day referrals ranged from 96.5% for White and Latino children to 100% for Native American children. </w:t>
      </w:r>
    </w:p>
    <w:p w:rsidR="00D86A11" w:rsidRPr="00E40649" w:rsidRDefault="00D86A11" w:rsidP="00D86A11">
      <w:pPr>
        <w:spacing w:after="0"/>
        <w:rPr>
          <w:rFonts w:ascii="Franklin Gothic Book" w:hAnsi="Franklin Gothic Book"/>
          <w:color w:val="auto"/>
          <w:spacing w:val="20"/>
          <w:szCs w:val="28"/>
        </w:rPr>
      </w:pPr>
      <w:r w:rsidRPr="00E40649">
        <w:rPr>
          <w:rFonts w:ascii="Franklin Gothic Book" w:hAnsi="Franklin Gothic Book"/>
          <w:b/>
          <w:color w:val="auto"/>
          <w:spacing w:val="20"/>
          <w:szCs w:val="28"/>
        </w:rPr>
        <w:t>Age:</w:t>
      </w:r>
      <w:r w:rsidRPr="00E40649">
        <w:rPr>
          <w:rFonts w:ascii="Franklin Gothic Book" w:hAnsi="Franklin Gothic Book"/>
          <w:color w:val="auto"/>
          <w:spacing w:val="20"/>
          <w:szCs w:val="28"/>
        </w:rPr>
        <w:t xml:space="preserve"> All age groups experienced timely responses to immediate response and 10-day referrals at percentages that were well above the statewide goals. The percent of timely responses to immediate referrals ranged from 96.6% for 16-17 year olds to 99.4% for 11-15 year olds. The percent of timely responses to 10-day referrals ranged from 94.0% for 16-17 year olds to 98.2% for children under one. There was also one referral for an 18-20 year old (the 10-day requirement was met). </w:t>
      </w:r>
    </w:p>
    <w:p w:rsidR="00D86A11" w:rsidRPr="00E40649" w:rsidRDefault="00D86A11" w:rsidP="00D86A11">
      <w:pPr>
        <w:pStyle w:val="Heading3"/>
        <w:spacing w:line="276" w:lineRule="auto"/>
        <w:rPr>
          <w:b w:val="0"/>
          <w:color w:val="auto"/>
          <w:sz w:val="22"/>
        </w:rPr>
      </w:pPr>
      <w:r w:rsidRPr="00E40649">
        <w:rPr>
          <w:b w:val="0"/>
          <w:color w:val="auto"/>
          <w:sz w:val="22"/>
        </w:rPr>
        <w:t>Meeting and exceeding these goals has been a long-time focus for CWS. Monthly CQI reports provide performance on this measure to management staff in all the regions. Supervisors also use Safe Measures to track and discuss performance with their workers. The new State measure 2D, which requires completed in-person contacts, has also helped to focus more attention on this measure.</w:t>
      </w:r>
    </w:p>
    <w:p w:rsidR="00D86A11" w:rsidRDefault="00D86A11" w:rsidP="00D86A11">
      <w:pPr>
        <w:pStyle w:val="Heading1"/>
        <w:rPr>
          <w:color w:val="F6872B"/>
          <w:sz w:val="24"/>
        </w:rPr>
      </w:pPr>
      <w:r w:rsidRPr="00712EA6">
        <w:rPr>
          <w:color w:val="F6872B"/>
          <w:sz w:val="24"/>
        </w:rPr>
        <w:t>2D Timely Response – Completed (immediate &amp; 10-day response compliance)</w:t>
      </w:r>
    </w:p>
    <w:tbl>
      <w:tblPr>
        <w:tblW w:w="9828" w:type="dxa"/>
        <w:tblBorders>
          <w:top w:val="single" w:sz="18" w:space="0" w:color="F6872B"/>
          <w:bottom w:val="single" w:sz="18" w:space="0" w:color="F6872B"/>
        </w:tblBorders>
        <w:tblLook w:val="04A0" w:firstRow="1" w:lastRow="0" w:firstColumn="1" w:lastColumn="0" w:noHBand="0" w:noVBand="1"/>
      </w:tblPr>
      <w:tblGrid>
        <w:gridCol w:w="3168"/>
        <w:gridCol w:w="1080"/>
        <w:gridCol w:w="1080"/>
        <w:gridCol w:w="1080"/>
        <w:gridCol w:w="1080"/>
        <w:gridCol w:w="1080"/>
        <w:gridCol w:w="1260"/>
      </w:tblGrid>
      <w:tr w:rsidR="00D86A11" w:rsidRPr="002E3D5C">
        <w:trPr>
          <w:trHeight w:val="657"/>
        </w:trPr>
        <w:tc>
          <w:tcPr>
            <w:tcW w:w="9828" w:type="dxa"/>
            <w:gridSpan w:val="7"/>
            <w:shd w:val="clear" w:color="auto" w:fill="013161"/>
            <w:noWrap/>
          </w:tcPr>
          <w:p w:rsidR="00D86A11" w:rsidRPr="000055D1" w:rsidRDefault="00D86A11" w:rsidP="00D86A11">
            <w:pPr>
              <w:spacing w:after="0"/>
              <w:jc w:val="center"/>
              <w:rPr>
                <w:rFonts w:ascii="Calibri" w:hAnsi="Calibri" w:cs="Calibri"/>
                <w:smallCaps/>
                <w:color w:val="FFFFFF"/>
                <w:sz w:val="20"/>
              </w:rPr>
            </w:pPr>
            <w:r w:rsidRPr="00E40649">
              <w:rPr>
                <w:rFonts w:ascii="Calibri" w:hAnsi="Calibri" w:cs="Calibri"/>
                <w:b/>
                <w:color w:val="FFFFFF"/>
                <w:sz w:val="24"/>
              </w:rPr>
              <w:t>Exhibit 63. County of San Diego Timely Response Completed: Immediate &amp; 10-Day Response Referrals</w:t>
            </w:r>
            <w:r w:rsidRPr="004C6FE7">
              <w:rPr>
                <w:rFonts w:ascii="Calibri" w:hAnsi="Calibri" w:cs="Calibri"/>
                <w:color w:val="FFFFFF"/>
              </w:rPr>
              <w:br/>
            </w:r>
            <w:r w:rsidRPr="000055D1">
              <w:rPr>
                <w:rFonts w:ascii="Calibri" w:hAnsi="Calibri" w:cs="Calibri"/>
                <w:color w:val="FFFFFF"/>
                <w:sz w:val="20"/>
              </w:rPr>
              <w:t>Immediate Response CA Performance 89.4%; 10-Day Response CA Performance 66.4%</w:t>
            </w:r>
          </w:p>
        </w:tc>
      </w:tr>
      <w:tr w:rsidR="00D86A11" w:rsidRPr="004C6FE7">
        <w:trPr>
          <w:trHeight w:val="255"/>
        </w:trPr>
        <w:tc>
          <w:tcPr>
            <w:tcW w:w="3168" w:type="dxa"/>
            <w:shd w:val="clear" w:color="auto" w:fill="013161"/>
            <w:noWrap/>
          </w:tcPr>
          <w:p w:rsidR="00D86A11" w:rsidRPr="00721EF1" w:rsidRDefault="00D86A11" w:rsidP="00D86A11">
            <w:pPr>
              <w:spacing w:after="0"/>
              <w:rPr>
                <w:rFonts w:ascii="Calibri" w:hAnsi="Calibri" w:cs="Calibri"/>
                <w:smallCaps/>
                <w:color w:val="FFFFFF"/>
                <w:sz w:val="20"/>
              </w:rPr>
            </w:pPr>
          </w:p>
        </w:tc>
        <w:tc>
          <w:tcPr>
            <w:tcW w:w="108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Calendar Yr</w:t>
            </w:r>
          </w:p>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Q4 2010</w:t>
            </w:r>
          </w:p>
        </w:tc>
        <w:tc>
          <w:tcPr>
            <w:tcW w:w="108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Calendar Yr</w:t>
            </w:r>
          </w:p>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Q4 2011</w:t>
            </w:r>
          </w:p>
        </w:tc>
        <w:tc>
          <w:tcPr>
            <w:tcW w:w="108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Calendar Yr</w:t>
            </w:r>
          </w:p>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Q4 2012</w:t>
            </w:r>
          </w:p>
        </w:tc>
        <w:tc>
          <w:tcPr>
            <w:tcW w:w="108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Calendar Yr</w:t>
            </w:r>
          </w:p>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Q4 2013</w:t>
            </w:r>
          </w:p>
        </w:tc>
        <w:tc>
          <w:tcPr>
            <w:tcW w:w="108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Calendar Yr</w:t>
            </w:r>
          </w:p>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Q4 2014</w:t>
            </w:r>
          </w:p>
        </w:tc>
        <w:tc>
          <w:tcPr>
            <w:tcW w:w="126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Calendar Yr</w:t>
            </w:r>
          </w:p>
          <w:p w:rsidR="00D86A11" w:rsidRPr="00721EF1" w:rsidRDefault="00D86A11" w:rsidP="00D86A11">
            <w:pPr>
              <w:spacing w:after="0" w:line="240" w:lineRule="auto"/>
              <w:jc w:val="center"/>
              <w:rPr>
                <w:rFonts w:ascii="Calibri" w:eastAsia="Times New Roman" w:hAnsi="Calibri" w:cs="Arial"/>
                <w:b/>
                <w:color w:val="FFFFFF"/>
                <w:sz w:val="20"/>
                <w:szCs w:val="18"/>
              </w:rPr>
            </w:pPr>
            <w:r w:rsidRPr="00721EF1">
              <w:rPr>
                <w:rFonts w:ascii="Calibri" w:eastAsia="Times New Roman" w:hAnsi="Calibri" w:cs="Arial"/>
                <w:b/>
                <w:color w:val="FFFFFF"/>
                <w:sz w:val="20"/>
                <w:szCs w:val="18"/>
              </w:rPr>
              <w:t>Q4 2015</w:t>
            </w:r>
          </w:p>
        </w:tc>
      </w:tr>
      <w:tr w:rsidR="00D86A11" w:rsidRPr="002E3D5C" w:rsidTr="00F604B6">
        <w:trPr>
          <w:trHeight w:val="255"/>
        </w:trPr>
        <w:tc>
          <w:tcPr>
            <w:tcW w:w="3168" w:type="dxa"/>
            <w:shd w:val="clear" w:color="auto" w:fill="auto"/>
            <w:noWrap/>
          </w:tcPr>
          <w:p w:rsidR="00D86A11" w:rsidRPr="004C6FE7" w:rsidRDefault="00D86A11" w:rsidP="00D86A11">
            <w:pPr>
              <w:spacing w:after="0" w:line="240" w:lineRule="auto"/>
              <w:rPr>
                <w:rFonts w:ascii="Calibri" w:eastAsia="Times New Roman" w:hAnsi="Calibri" w:cs="Arial"/>
                <w:b/>
                <w:color w:val="013161"/>
                <w:sz w:val="20"/>
              </w:rPr>
            </w:pPr>
            <w:r w:rsidRPr="004C6FE7">
              <w:rPr>
                <w:rFonts w:ascii="Calibri" w:eastAsia="Times New Roman" w:hAnsi="Calibri" w:cs="Arial"/>
                <w:b/>
                <w:color w:val="013161"/>
                <w:sz w:val="20"/>
              </w:rPr>
              <w:t>Timely response completed -- immediate response compliance (%)</w:t>
            </w:r>
          </w:p>
        </w:tc>
        <w:tc>
          <w:tcPr>
            <w:tcW w:w="1080" w:type="dxa"/>
            <w:shd w:val="clear" w:color="auto" w:fill="auto"/>
            <w:noWrap/>
            <w:vAlign w:val="center"/>
          </w:tcPr>
          <w:p w:rsidR="00D86A11" w:rsidRPr="000055D1" w:rsidRDefault="00D86A11" w:rsidP="00F604B6">
            <w:pPr>
              <w:spacing w:after="0"/>
              <w:jc w:val="center"/>
              <w:rPr>
                <w:rFonts w:ascii="Calibri" w:hAnsi="Calibri" w:cs="Calibri"/>
                <w:b/>
                <w:smallCaps/>
                <w:color w:val="013161"/>
                <w:sz w:val="20"/>
              </w:rPr>
            </w:pPr>
            <w:r w:rsidRPr="000055D1">
              <w:rPr>
                <w:rFonts w:ascii="Calibri" w:hAnsi="Calibri" w:cs="Calibri"/>
                <w:b/>
                <w:smallCaps/>
                <w:color w:val="013161"/>
                <w:sz w:val="20"/>
              </w:rPr>
              <w:t>88.2</w:t>
            </w:r>
          </w:p>
        </w:tc>
        <w:tc>
          <w:tcPr>
            <w:tcW w:w="1080" w:type="dxa"/>
            <w:shd w:val="clear" w:color="auto" w:fill="auto"/>
            <w:noWrap/>
            <w:vAlign w:val="center"/>
          </w:tcPr>
          <w:p w:rsidR="00D86A11" w:rsidRPr="000055D1" w:rsidRDefault="00D86A11" w:rsidP="00F604B6">
            <w:pPr>
              <w:spacing w:after="0"/>
              <w:jc w:val="center"/>
              <w:rPr>
                <w:rFonts w:ascii="Calibri" w:hAnsi="Calibri" w:cs="Calibri"/>
                <w:b/>
                <w:smallCaps/>
                <w:color w:val="013161"/>
                <w:sz w:val="20"/>
              </w:rPr>
            </w:pPr>
            <w:r w:rsidRPr="000055D1">
              <w:rPr>
                <w:rFonts w:ascii="Calibri" w:hAnsi="Calibri" w:cs="Calibri"/>
                <w:b/>
                <w:smallCaps/>
                <w:color w:val="013161"/>
                <w:sz w:val="20"/>
              </w:rPr>
              <w:t>88.4</w:t>
            </w:r>
          </w:p>
        </w:tc>
        <w:tc>
          <w:tcPr>
            <w:tcW w:w="1080" w:type="dxa"/>
            <w:shd w:val="clear" w:color="auto" w:fill="auto"/>
            <w:noWrap/>
            <w:vAlign w:val="center"/>
          </w:tcPr>
          <w:p w:rsidR="00D86A11" w:rsidRPr="000055D1" w:rsidRDefault="00D86A11" w:rsidP="00F604B6">
            <w:pPr>
              <w:spacing w:after="0"/>
              <w:jc w:val="center"/>
              <w:rPr>
                <w:rFonts w:ascii="Calibri" w:hAnsi="Calibri" w:cs="Calibri"/>
                <w:b/>
                <w:smallCaps/>
                <w:color w:val="013161"/>
                <w:sz w:val="20"/>
              </w:rPr>
            </w:pPr>
            <w:r w:rsidRPr="000055D1">
              <w:rPr>
                <w:rFonts w:ascii="Calibri" w:hAnsi="Calibri" w:cs="Calibri"/>
                <w:b/>
                <w:smallCaps/>
                <w:color w:val="013161"/>
                <w:sz w:val="20"/>
              </w:rPr>
              <w:t>89.4</w:t>
            </w:r>
          </w:p>
        </w:tc>
        <w:tc>
          <w:tcPr>
            <w:tcW w:w="1080" w:type="dxa"/>
            <w:shd w:val="clear" w:color="auto" w:fill="auto"/>
            <w:noWrap/>
            <w:vAlign w:val="center"/>
          </w:tcPr>
          <w:p w:rsidR="00D86A11" w:rsidRPr="000055D1" w:rsidRDefault="00D86A11" w:rsidP="00F604B6">
            <w:pPr>
              <w:spacing w:after="0"/>
              <w:jc w:val="center"/>
              <w:rPr>
                <w:rFonts w:ascii="Calibri" w:hAnsi="Calibri" w:cs="Calibri"/>
                <w:b/>
                <w:smallCaps/>
                <w:color w:val="013161"/>
                <w:sz w:val="20"/>
              </w:rPr>
            </w:pPr>
            <w:r w:rsidRPr="000055D1">
              <w:rPr>
                <w:rFonts w:ascii="Calibri" w:hAnsi="Calibri" w:cs="Calibri"/>
                <w:b/>
                <w:smallCaps/>
                <w:color w:val="013161"/>
                <w:sz w:val="20"/>
              </w:rPr>
              <w:t>91.2</w:t>
            </w:r>
          </w:p>
        </w:tc>
        <w:tc>
          <w:tcPr>
            <w:tcW w:w="1080" w:type="dxa"/>
            <w:shd w:val="clear" w:color="auto" w:fill="auto"/>
            <w:noWrap/>
            <w:vAlign w:val="center"/>
          </w:tcPr>
          <w:p w:rsidR="00D86A11" w:rsidRPr="000055D1" w:rsidRDefault="00D86A11" w:rsidP="00F604B6">
            <w:pPr>
              <w:spacing w:after="0"/>
              <w:jc w:val="center"/>
              <w:rPr>
                <w:rFonts w:ascii="Calibri" w:hAnsi="Calibri" w:cs="Calibri"/>
                <w:b/>
                <w:smallCaps/>
                <w:color w:val="013161"/>
                <w:sz w:val="20"/>
              </w:rPr>
            </w:pPr>
            <w:r w:rsidRPr="000055D1">
              <w:rPr>
                <w:rFonts w:ascii="Calibri" w:hAnsi="Calibri" w:cs="Calibri"/>
                <w:b/>
                <w:smallCaps/>
                <w:color w:val="013161"/>
                <w:sz w:val="20"/>
              </w:rPr>
              <w:t>89.2</w:t>
            </w:r>
          </w:p>
        </w:tc>
        <w:tc>
          <w:tcPr>
            <w:tcW w:w="1260" w:type="dxa"/>
            <w:shd w:val="clear" w:color="auto" w:fill="auto"/>
            <w:noWrap/>
            <w:vAlign w:val="center"/>
          </w:tcPr>
          <w:p w:rsidR="00D86A11" w:rsidRPr="000055D1" w:rsidRDefault="00D86A11" w:rsidP="00F604B6">
            <w:pPr>
              <w:spacing w:after="0"/>
              <w:jc w:val="center"/>
              <w:rPr>
                <w:rFonts w:ascii="Calibri" w:hAnsi="Calibri" w:cs="Calibri"/>
                <w:b/>
                <w:smallCaps/>
                <w:color w:val="013161"/>
                <w:sz w:val="20"/>
              </w:rPr>
            </w:pPr>
            <w:r w:rsidRPr="000055D1">
              <w:rPr>
                <w:rFonts w:ascii="Calibri" w:hAnsi="Calibri" w:cs="Calibri"/>
                <w:b/>
                <w:smallCaps/>
                <w:color w:val="013161"/>
                <w:sz w:val="20"/>
              </w:rPr>
              <w:t>91.8</w:t>
            </w:r>
          </w:p>
        </w:tc>
      </w:tr>
      <w:tr w:rsidR="00D86A11" w:rsidRPr="002E3D5C" w:rsidTr="00F604B6">
        <w:trPr>
          <w:trHeight w:val="255"/>
        </w:trPr>
        <w:tc>
          <w:tcPr>
            <w:tcW w:w="3168" w:type="dxa"/>
            <w:shd w:val="clear" w:color="auto" w:fill="DBE5F1"/>
            <w:noWrap/>
          </w:tcPr>
          <w:p w:rsidR="00D86A11" w:rsidRPr="004C6FE7" w:rsidRDefault="00D86A11" w:rsidP="00D86A11">
            <w:pPr>
              <w:spacing w:after="0" w:line="240" w:lineRule="auto"/>
              <w:rPr>
                <w:rFonts w:ascii="Calibri" w:eastAsia="Times New Roman" w:hAnsi="Calibri" w:cs="Arial"/>
                <w:b/>
                <w:color w:val="013161"/>
                <w:sz w:val="20"/>
              </w:rPr>
            </w:pPr>
            <w:r w:rsidRPr="004C6FE7">
              <w:rPr>
                <w:rFonts w:ascii="Calibri" w:eastAsia="Times New Roman" w:hAnsi="Calibri" w:cs="Arial"/>
                <w:b/>
                <w:color w:val="013161"/>
                <w:sz w:val="20"/>
              </w:rPr>
              <w:t>Seen by social worker w/in 24 hrs. (n)</w:t>
            </w:r>
          </w:p>
        </w:tc>
        <w:tc>
          <w:tcPr>
            <w:tcW w:w="1080" w:type="dxa"/>
            <w:shd w:val="clear" w:color="auto" w:fill="DBE5F1"/>
            <w:noWrap/>
            <w:vAlign w:val="center"/>
          </w:tcPr>
          <w:p w:rsidR="00D86A11" w:rsidRPr="000055D1" w:rsidRDefault="00D86A11" w:rsidP="00F604B6">
            <w:pPr>
              <w:spacing w:after="0"/>
              <w:jc w:val="center"/>
              <w:rPr>
                <w:rFonts w:ascii="Calibri" w:hAnsi="Calibri" w:cs="Calibri"/>
                <w:b/>
                <w:smallCaps/>
                <w:color w:val="013161"/>
                <w:sz w:val="20"/>
              </w:rPr>
            </w:pPr>
            <w:r w:rsidRPr="000055D1">
              <w:rPr>
                <w:rFonts w:ascii="Calibri" w:hAnsi="Calibri" w:cs="Calibri"/>
                <w:b/>
                <w:smallCaps/>
                <w:color w:val="013161"/>
                <w:sz w:val="20"/>
              </w:rPr>
              <w:t>1,410</w:t>
            </w:r>
          </w:p>
        </w:tc>
        <w:tc>
          <w:tcPr>
            <w:tcW w:w="1080" w:type="dxa"/>
            <w:shd w:val="clear" w:color="auto" w:fill="DBE5F1"/>
            <w:noWrap/>
            <w:vAlign w:val="center"/>
          </w:tcPr>
          <w:p w:rsidR="00D86A11" w:rsidRPr="000055D1" w:rsidRDefault="00D86A11" w:rsidP="00F604B6">
            <w:pPr>
              <w:spacing w:after="0"/>
              <w:jc w:val="center"/>
              <w:rPr>
                <w:rFonts w:ascii="Calibri" w:hAnsi="Calibri" w:cs="Calibri"/>
                <w:b/>
                <w:smallCaps/>
                <w:color w:val="013161"/>
                <w:sz w:val="20"/>
              </w:rPr>
            </w:pPr>
            <w:r w:rsidRPr="000055D1">
              <w:rPr>
                <w:rFonts w:ascii="Calibri" w:hAnsi="Calibri" w:cs="Calibri"/>
                <w:b/>
                <w:smallCaps/>
                <w:color w:val="013161"/>
                <w:sz w:val="20"/>
              </w:rPr>
              <w:t>1,344</w:t>
            </w:r>
          </w:p>
        </w:tc>
        <w:tc>
          <w:tcPr>
            <w:tcW w:w="1080" w:type="dxa"/>
            <w:shd w:val="clear" w:color="auto" w:fill="DBE5F1"/>
            <w:noWrap/>
            <w:vAlign w:val="center"/>
          </w:tcPr>
          <w:p w:rsidR="00D86A11" w:rsidRPr="000055D1" w:rsidRDefault="00D86A11" w:rsidP="00F604B6">
            <w:pPr>
              <w:spacing w:after="0"/>
              <w:jc w:val="center"/>
              <w:rPr>
                <w:rFonts w:ascii="Calibri" w:hAnsi="Calibri" w:cs="Calibri"/>
                <w:b/>
                <w:smallCaps/>
                <w:color w:val="013161"/>
                <w:sz w:val="20"/>
              </w:rPr>
            </w:pPr>
            <w:r w:rsidRPr="000055D1">
              <w:rPr>
                <w:rFonts w:ascii="Calibri" w:hAnsi="Calibri" w:cs="Calibri"/>
                <w:b/>
                <w:smallCaps/>
                <w:color w:val="013161"/>
                <w:sz w:val="20"/>
              </w:rPr>
              <w:t>1,176</w:t>
            </w:r>
          </w:p>
        </w:tc>
        <w:tc>
          <w:tcPr>
            <w:tcW w:w="1080" w:type="dxa"/>
            <w:shd w:val="clear" w:color="auto" w:fill="DBE5F1"/>
            <w:noWrap/>
            <w:vAlign w:val="center"/>
          </w:tcPr>
          <w:p w:rsidR="00D86A11" w:rsidRPr="000055D1" w:rsidRDefault="00D86A11" w:rsidP="00F604B6">
            <w:pPr>
              <w:spacing w:after="0"/>
              <w:jc w:val="center"/>
              <w:rPr>
                <w:rFonts w:ascii="Calibri" w:hAnsi="Calibri" w:cs="Calibri"/>
                <w:b/>
                <w:smallCaps/>
                <w:color w:val="013161"/>
                <w:sz w:val="20"/>
              </w:rPr>
            </w:pPr>
            <w:r w:rsidRPr="000055D1">
              <w:rPr>
                <w:rFonts w:ascii="Calibri" w:hAnsi="Calibri" w:cs="Calibri"/>
                <w:b/>
                <w:smallCaps/>
                <w:color w:val="013161"/>
                <w:sz w:val="20"/>
              </w:rPr>
              <w:t>1,249</w:t>
            </w:r>
          </w:p>
        </w:tc>
        <w:tc>
          <w:tcPr>
            <w:tcW w:w="1080" w:type="dxa"/>
            <w:shd w:val="clear" w:color="auto" w:fill="DBE5F1"/>
            <w:noWrap/>
            <w:vAlign w:val="center"/>
          </w:tcPr>
          <w:p w:rsidR="00D86A11" w:rsidRPr="000055D1" w:rsidRDefault="00D86A11" w:rsidP="00F604B6">
            <w:pPr>
              <w:spacing w:after="0"/>
              <w:jc w:val="center"/>
              <w:rPr>
                <w:rFonts w:ascii="Calibri" w:hAnsi="Calibri" w:cs="Calibri"/>
                <w:b/>
                <w:smallCaps/>
                <w:color w:val="013161"/>
                <w:sz w:val="20"/>
              </w:rPr>
            </w:pPr>
            <w:r w:rsidRPr="000055D1">
              <w:rPr>
                <w:rFonts w:ascii="Calibri" w:hAnsi="Calibri" w:cs="Calibri"/>
                <w:b/>
                <w:smallCaps/>
                <w:color w:val="013161"/>
                <w:sz w:val="20"/>
              </w:rPr>
              <w:t>1,302</w:t>
            </w:r>
          </w:p>
        </w:tc>
        <w:tc>
          <w:tcPr>
            <w:tcW w:w="1260" w:type="dxa"/>
            <w:shd w:val="clear" w:color="auto" w:fill="DBE5F1"/>
            <w:noWrap/>
            <w:vAlign w:val="center"/>
          </w:tcPr>
          <w:p w:rsidR="00D86A11" w:rsidRPr="000055D1" w:rsidRDefault="00D86A11" w:rsidP="00F604B6">
            <w:pPr>
              <w:spacing w:after="0"/>
              <w:jc w:val="center"/>
              <w:rPr>
                <w:rFonts w:ascii="Calibri" w:hAnsi="Calibri" w:cs="Calibri"/>
                <w:b/>
                <w:smallCaps/>
                <w:color w:val="013161"/>
                <w:sz w:val="20"/>
              </w:rPr>
            </w:pPr>
            <w:r w:rsidRPr="000055D1">
              <w:rPr>
                <w:rFonts w:ascii="Calibri" w:hAnsi="Calibri" w:cs="Calibri"/>
                <w:b/>
                <w:smallCaps/>
                <w:color w:val="013161"/>
                <w:sz w:val="20"/>
              </w:rPr>
              <w:t>1,543</w:t>
            </w:r>
          </w:p>
        </w:tc>
      </w:tr>
      <w:tr w:rsidR="00D86A11" w:rsidRPr="002E3D5C" w:rsidTr="00F604B6">
        <w:trPr>
          <w:trHeight w:val="255"/>
        </w:trPr>
        <w:tc>
          <w:tcPr>
            <w:tcW w:w="3168" w:type="dxa"/>
            <w:shd w:val="clear" w:color="auto" w:fill="auto"/>
            <w:noWrap/>
          </w:tcPr>
          <w:p w:rsidR="00D86A11" w:rsidRPr="004C6FE7" w:rsidRDefault="00D86A11" w:rsidP="00D86A11">
            <w:pPr>
              <w:spacing w:after="0" w:line="240" w:lineRule="auto"/>
              <w:rPr>
                <w:rFonts w:ascii="Calibri" w:eastAsia="Times New Roman" w:hAnsi="Calibri" w:cs="Arial"/>
                <w:b/>
                <w:color w:val="013161"/>
                <w:sz w:val="20"/>
              </w:rPr>
            </w:pPr>
            <w:r w:rsidRPr="004C6FE7">
              <w:rPr>
                <w:rFonts w:ascii="Calibri" w:eastAsia="Times New Roman" w:hAnsi="Calibri" w:cs="Arial"/>
                <w:b/>
                <w:color w:val="013161"/>
                <w:sz w:val="20"/>
              </w:rPr>
              <w:t>Timely response completed -- 10-day response compliance (%)</w:t>
            </w:r>
          </w:p>
        </w:tc>
        <w:tc>
          <w:tcPr>
            <w:tcW w:w="1080" w:type="dxa"/>
            <w:shd w:val="clear" w:color="auto" w:fill="auto"/>
            <w:noWrap/>
            <w:vAlign w:val="center"/>
          </w:tcPr>
          <w:p w:rsidR="00D86A11" w:rsidRPr="000055D1" w:rsidRDefault="00D86A11" w:rsidP="00F604B6">
            <w:pPr>
              <w:spacing w:after="0" w:line="240" w:lineRule="auto"/>
              <w:jc w:val="center"/>
              <w:rPr>
                <w:rFonts w:ascii="Calibri" w:hAnsi="Calibri" w:cs="Arial"/>
                <w:b/>
                <w:color w:val="013161"/>
                <w:sz w:val="20"/>
              </w:rPr>
            </w:pPr>
            <w:r w:rsidRPr="000055D1">
              <w:rPr>
                <w:rFonts w:ascii="Calibri" w:hAnsi="Calibri" w:cs="Arial"/>
                <w:b/>
                <w:color w:val="013161"/>
                <w:sz w:val="20"/>
              </w:rPr>
              <w:t>66.1</w:t>
            </w:r>
          </w:p>
        </w:tc>
        <w:tc>
          <w:tcPr>
            <w:tcW w:w="1080" w:type="dxa"/>
            <w:shd w:val="clear" w:color="auto" w:fill="auto"/>
            <w:noWrap/>
            <w:vAlign w:val="center"/>
          </w:tcPr>
          <w:p w:rsidR="00D86A11" w:rsidRPr="000055D1" w:rsidRDefault="00D86A11" w:rsidP="00F604B6">
            <w:pPr>
              <w:spacing w:after="0" w:line="240" w:lineRule="auto"/>
              <w:jc w:val="center"/>
              <w:rPr>
                <w:rFonts w:ascii="Calibri" w:hAnsi="Calibri" w:cs="Arial"/>
                <w:b/>
                <w:color w:val="013161"/>
                <w:sz w:val="20"/>
              </w:rPr>
            </w:pPr>
            <w:r w:rsidRPr="000055D1">
              <w:rPr>
                <w:rFonts w:ascii="Calibri" w:hAnsi="Calibri" w:cs="Arial"/>
                <w:b/>
                <w:color w:val="013161"/>
                <w:sz w:val="20"/>
              </w:rPr>
              <w:t>67.4</w:t>
            </w:r>
          </w:p>
        </w:tc>
        <w:tc>
          <w:tcPr>
            <w:tcW w:w="1080" w:type="dxa"/>
            <w:shd w:val="clear" w:color="auto" w:fill="auto"/>
            <w:noWrap/>
            <w:vAlign w:val="center"/>
          </w:tcPr>
          <w:p w:rsidR="00D86A11" w:rsidRPr="000055D1" w:rsidRDefault="00D86A11" w:rsidP="00F604B6">
            <w:pPr>
              <w:spacing w:after="0" w:line="240" w:lineRule="auto"/>
              <w:jc w:val="center"/>
              <w:rPr>
                <w:rFonts w:ascii="Calibri" w:hAnsi="Calibri" w:cs="Arial"/>
                <w:b/>
                <w:color w:val="013161"/>
                <w:sz w:val="20"/>
              </w:rPr>
            </w:pPr>
            <w:r w:rsidRPr="000055D1">
              <w:rPr>
                <w:rFonts w:ascii="Calibri" w:hAnsi="Calibri" w:cs="Arial"/>
                <w:b/>
                <w:color w:val="013161"/>
                <w:sz w:val="20"/>
              </w:rPr>
              <w:t>68.2</w:t>
            </w:r>
          </w:p>
        </w:tc>
        <w:tc>
          <w:tcPr>
            <w:tcW w:w="1080" w:type="dxa"/>
            <w:shd w:val="clear" w:color="auto" w:fill="auto"/>
            <w:noWrap/>
            <w:vAlign w:val="center"/>
          </w:tcPr>
          <w:p w:rsidR="00D86A11" w:rsidRPr="000055D1" w:rsidRDefault="00D86A11" w:rsidP="00F604B6">
            <w:pPr>
              <w:spacing w:after="0" w:line="240" w:lineRule="auto"/>
              <w:jc w:val="center"/>
              <w:rPr>
                <w:rFonts w:ascii="Calibri" w:hAnsi="Calibri" w:cs="Arial"/>
                <w:b/>
                <w:color w:val="013161"/>
                <w:sz w:val="20"/>
              </w:rPr>
            </w:pPr>
            <w:r w:rsidRPr="000055D1">
              <w:rPr>
                <w:rFonts w:ascii="Calibri" w:hAnsi="Calibri" w:cs="Arial"/>
                <w:b/>
                <w:color w:val="013161"/>
                <w:sz w:val="20"/>
              </w:rPr>
              <w:t>73.3</w:t>
            </w:r>
          </w:p>
        </w:tc>
        <w:tc>
          <w:tcPr>
            <w:tcW w:w="1080" w:type="dxa"/>
            <w:shd w:val="clear" w:color="auto" w:fill="auto"/>
            <w:noWrap/>
            <w:vAlign w:val="center"/>
          </w:tcPr>
          <w:p w:rsidR="00D86A11" w:rsidRPr="000055D1" w:rsidRDefault="00D86A11" w:rsidP="00F604B6">
            <w:pPr>
              <w:spacing w:after="0" w:line="240" w:lineRule="auto"/>
              <w:jc w:val="center"/>
              <w:rPr>
                <w:rFonts w:ascii="Calibri" w:hAnsi="Calibri" w:cs="Arial"/>
                <w:b/>
                <w:color w:val="013161"/>
                <w:sz w:val="20"/>
              </w:rPr>
            </w:pPr>
            <w:r w:rsidRPr="000055D1">
              <w:rPr>
                <w:rFonts w:ascii="Calibri" w:hAnsi="Calibri" w:cs="Arial"/>
                <w:b/>
                <w:color w:val="013161"/>
                <w:sz w:val="20"/>
              </w:rPr>
              <w:t>70.4</w:t>
            </w:r>
          </w:p>
        </w:tc>
        <w:tc>
          <w:tcPr>
            <w:tcW w:w="1260" w:type="dxa"/>
            <w:shd w:val="clear" w:color="auto" w:fill="auto"/>
            <w:noWrap/>
            <w:vAlign w:val="center"/>
          </w:tcPr>
          <w:p w:rsidR="00D86A11" w:rsidRPr="000055D1" w:rsidRDefault="00D86A11" w:rsidP="00F604B6">
            <w:pPr>
              <w:spacing w:after="0" w:line="240" w:lineRule="auto"/>
              <w:jc w:val="center"/>
              <w:rPr>
                <w:rFonts w:ascii="Calibri" w:hAnsi="Calibri" w:cs="Arial"/>
                <w:b/>
                <w:color w:val="013161"/>
                <w:sz w:val="20"/>
              </w:rPr>
            </w:pPr>
            <w:r w:rsidRPr="000055D1">
              <w:rPr>
                <w:rFonts w:ascii="Calibri" w:hAnsi="Calibri" w:cs="Arial"/>
                <w:b/>
                <w:color w:val="013161"/>
                <w:sz w:val="20"/>
              </w:rPr>
              <w:t>69.2</w:t>
            </w:r>
          </w:p>
        </w:tc>
      </w:tr>
      <w:tr w:rsidR="00D86A11" w:rsidRPr="002E3D5C" w:rsidTr="00F604B6">
        <w:trPr>
          <w:trHeight w:val="255"/>
        </w:trPr>
        <w:tc>
          <w:tcPr>
            <w:tcW w:w="3168" w:type="dxa"/>
            <w:shd w:val="clear" w:color="auto" w:fill="DBE5F1"/>
            <w:noWrap/>
          </w:tcPr>
          <w:p w:rsidR="00D86A11" w:rsidRPr="004C6FE7" w:rsidRDefault="00D86A11" w:rsidP="00D86A11">
            <w:pPr>
              <w:spacing w:after="0" w:line="240" w:lineRule="auto"/>
              <w:rPr>
                <w:rFonts w:ascii="Calibri" w:eastAsia="Times New Roman" w:hAnsi="Calibri" w:cs="Arial"/>
                <w:b/>
                <w:color w:val="013161"/>
                <w:sz w:val="20"/>
              </w:rPr>
            </w:pPr>
            <w:r w:rsidRPr="004C6FE7">
              <w:rPr>
                <w:rFonts w:ascii="Calibri" w:eastAsia="Times New Roman" w:hAnsi="Calibri" w:cs="Arial"/>
                <w:b/>
                <w:color w:val="013161"/>
                <w:sz w:val="20"/>
              </w:rPr>
              <w:t>Seen by social worker w/in 10 days (n)</w:t>
            </w:r>
          </w:p>
        </w:tc>
        <w:tc>
          <w:tcPr>
            <w:tcW w:w="1080" w:type="dxa"/>
            <w:shd w:val="clear" w:color="auto" w:fill="DBE5F1"/>
            <w:noWrap/>
            <w:vAlign w:val="center"/>
          </w:tcPr>
          <w:p w:rsidR="00D86A11" w:rsidRPr="000055D1" w:rsidRDefault="00D86A11" w:rsidP="00F604B6">
            <w:pPr>
              <w:spacing w:after="0" w:line="240" w:lineRule="auto"/>
              <w:jc w:val="center"/>
              <w:rPr>
                <w:rFonts w:ascii="Calibri" w:hAnsi="Calibri" w:cs="Arial"/>
                <w:b/>
                <w:color w:val="013161"/>
                <w:sz w:val="20"/>
              </w:rPr>
            </w:pPr>
            <w:r w:rsidRPr="000055D1">
              <w:rPr>
                <w:rFonts w:ascii="Calibri" w:hAnsi="Calibri" w:cs="Arial"/>
                <w:b/>
                <w:color w:val="013161"/>
                <w:sz w:val="20"/>
              </w:rPr>
              <w:t>2,571</w:t>
            </w:r>
          </w:p>
        </w:tc>
        <w:tc>
          <w:tcPr>
            <w:tcW w:w="1080" w:type="dxa"/>
            <w:shd w:val="clear" w:color="auto" w:fill="DBE5F1"/>
            <w:noWrap/>
            <w:vAlign w:val="center"/>
          </w:tcPr>
          <w:p w:rsidR="00D86A11" w:rsidRPr="000055D1" w:rsidRDefault="00D86A11" w:rsidP="00F604B6">
            <w:pPr>
              <w:spacing w:after="0" w:line="240" w:lineRule="auto"/>
              <w:jc w:val="center"/>
              <w:rPr>
                <w:rFonts w:ascii="Calibri" w:hAnsi="Calibri" w:cs="Arial"/>
                <w:b/>
                <w:color w:val="013161"/>
                <w:sz w:val="20"/>
              </w:rPr>
            </w:pPr>
            <w:r w:rsidRPr="000055D1">
              <w:rPr>
                <w:rFonts w:ascii="Calibri" w:hAnsi="Calibri" w:cs="Arial"/>
                <w:b/>
                <w:color w:val="013161"/>
                <w:sz w:val="20"/>
              </w:rPr>
              <w:t>2,617</w:t>
            </w:r>
          </w:p>
        </w:tc>
        <w:tc>
          <w:tcPr>
            <w:tcW w:w="1080" w:type="dxa"/>
            <w:shd w:val="clear" w:color="auto" w:fill="DBE5F1"/>
            <w:noWrap/>
            <w:vAlign w:val="center"/>
          </w:tcPr>
          <w:p w:rsidR="00D86A11" w:rsidRPr="000055D1" w:rsidRDefault="00D86A11" w:rsidP="00F604B6">
            <w:pPr>
              <w:spacing w:after="0" w:line="240" w:lineRule="auto"/>
              <w:jc w:val="center"/>
              <w:rPr>
                <w:rFonts w:ascii="Calibri" w:hAnsi="Calibri" w:cs="Arial"/>
                <w:b/>
                <w:color w:val="013161"/>
                <w:sz w:val="20"/>
              </w:rPr>
            </w:pPr>
            <w:r w:rsidRPr="000055D1">
              <w:rPr>
                <w:rFonts w:ascii="Calibri" w:hAnsi="Calibri" w:cs="Arial"/>
                <w:b/>
                <w:color w:val="013161"/>
                <w:sz w:val="20"/>
              </w:rPr>
              <w:t>2,572</w:t>
            </w:r>
          </w:p>
        </w:tc>
        <w:tc>
          <w:tcPr>
            <w:tcW w:w="1080" w:type="dxa"/>
            <w:shd w:val="clear" w:color="auto" w:fill="DBE5F1"/>
            <w:noWrap/>
            <w:vAlign w:val="center"/>
          </w:tcPr>
          <w:p w:rsidR="00D86A11" w:rsidRPr="000055D1" w:rsidRDefault="00D86A11" w:rsidP="00F604B6">
            <w:pPr>
              <w:spacing w:after="0" w:line="240" w:lineRule="auto"/>
              <w:jc w:val="center"/>
              <w:rPr>
                <w:rFonts w:ascii="Calibri" w:hAnsi="Calibri" w:cs="Arial"/>
                <w:b/>
                <w:color w:val="013161"/>
                <w:sz w:val="20"/>
              </w:rPr>
            </w:pPr>
            <w:r w:rsidRPr="000055D1">
              <w:rPr>
                <w:rFonts w:ascii="Calibri" w:hAnsi="Calibri" w:cs="Arial"/>
                <w:b/>
                <w:color w:val="013161"/>
                <w:sz w:val="20"/>
              </w:rPr>
              <w:t>2,755</w:t>
            </w:r>
          </w:p>
        </w:tc>
        <w:tc>
          <w:tcPr>
            <w:tcW w:w="1080" w:type="dxa"/>
            <w:shd w:val="clear" w:color="auto" w:fill="DBE5F1"/>
            <w:noWrap/>
            <w:vAlign w:val="center"/>
          </w:tcPr>
          <w:p w:rsidR="00D86A11" w:rsidRPr="000055D1" w:rsidRDefault="00D86A11" w:rsidP="00F604B6">
            <w:pPr>
              <w:spacing w:after="0" w:line="240" w:lineRule="auto"/>
              <w:jc w:val="center"/>
              <w:rPr>
                <w:rFonts w:ascii="Calibri" w:hAnsi="Calibri" w:cs="Arial"/>
                <w:b/>
                <w:color w:val="013161"/>
                <w:sz w:val="20"/>
              </w:rPr>
            </w:pPr>
            <w:r w:rsidRPr="000055D1">
              <w:rPr>
                <w:rFonts w:ascii="Calibri" w:hAnsi="Calibri" w:cs="Arial"/>
                <w:b/>
                <w:color w:val="013161"/>
                <w:sz w:val="20"/>
              </w:rPr>
              <w:t>2,928</w:t>
            </w:r>
          </w:p>
        </w:tc>
        <w:tc>
          <w:tcPr>
            <w:tcW w:w="1260" w:type="dxa"/>
            <w:shd w:val="clear" w:color="auto" w:fill="DBE5F1"/>
            <w:noWrap/>
            <w:vAlign w:val="center"/>
          </w:tcPr>
          <w:p w:rsidR="00D86A11" w:rsidRPr="000055D1" w:rsidRDefault="00D86A11" w:rsidP="00F604B6">
            <w:pPr>
              <w:spacing w:after="0" w:line="240" w:lineRule="auto"/>
              <w:jc w:val="center"/>
              <w:rPr>
                <w:rFonts w:ascii="Calibri" w:hAnsi="Calibri" w:cs="Arial"/>
                <w:b/>
                <w:color w:val="013161"/>
                <w:sz w:val="20"/>
              </w:rPr>
            </w:pPr>
            <w:r w:rsidRPr="000055D1">
              <w:rPr>
                <w:rFonts w:ascii="Calibri" w:hAnsi="Calibri" w:cs="Arial"/>
                <w:b/>
                <w:color w:val="013161"/>
                <w:sz w:val="20"/>
              </w:rPr>
              <w:t>2,672</w:t>
            </w:r>
          </w:p>
        </w:tc>
      </w:tr>
    </w:tbl>
    <w:p w:rsidR="00D86A11" w:rsidRPr="00712EA6" w:rsidRDefault="00D86A11" w:rsidP="00D86A11">
      <w:pPr>
        <w:pStyle w:val="Heading1"/>
        <w:rPr>
          <w:color w:val="2E7029"/>
          <w:sz w:val="24"/>
        </w:rPr>
      </w:pPr>
      <w:r w:rsidRPr="00712EA6">
        <w:rPr>
          <w:color w:val="2E7029"/>
          <w:sz w:val="24"/>
        </w:rPr>
        <w:t>Analysis</w:t>
      </w:r>
    </w:p>
    <w:p w:rsidR="00D86A11" w:rsidRPr="00393E92" w:rsidRDefault="00D86A11" w:rsidP="00D86A11">
      <w:pPr>
        <w:spacing w:after="0"/>
        <w:rPr>
          <w:rFonts w:ascii="Franklin Gothic Book" w:hAnsi="Franklin Gothic Book"/>
          <w:color w:val="auto"/>
          <w:spacing w:val="20"/>
          <w:szCs w:val="28"/>
        </w:rPr>
      </w:pPr>
      <w:r w:rsidRPr="00393E92">
        <w:rPr>
          <w:rFonts w:ascii="Franklin Gothic Book" w:hAnsi="Franklin Gothic Book"/>
          <w:color w:val="auto"/>
          <w:spacing w:val="20"/>
          <w:szCs w:val="28"/>
        </w:rPr>
        <w:lastRenderedPageBreak/>
        <w:t xml:space="preserve">These reports provide the percentage of child abuse and neglect referrals that require, and then receive, an in-person investigation within the specified time frame. Only referrals with a status of completed are included. </w:t>
      </w:r>
    </w:p>
    <w:p w:rsidR="00D86A11" w:rsidRPr="00393E92" w:rsidRDefault="00D86A11" w:rsidP="00D86A11">
      <w:pPr>
        <w:spacing w:before="240" w:after="0"/>
        <w:rPr>
          <w:rFonts w:ascii="Franklin Gothic Book" w:hAnsi="Franklin Gothic Book"/>
          <w:color w:val="auto"/>
          <w:spacing w:val="20"/>
          <w:szCs w:val="28"/>
        </w:rPr>
      </w:pPr>
      <w:r w:rsidRPr="00393E92">
        <w:rPr>
          <w:rFonts w:ascii="Franklin Gothic Book" w:hAnsi="Franklin Gothic Book"/>
          <w:b/>
          <w:color w:val="auto"/>
          <w:spacing w:val="20"/>
          <w:szCs w:val="28"/>
        </w:rPr>
        <w:t>Trends:</w:t>
      </w:r>
      <w:r w:rsidRPr="00393E92">
        <w:rPr>
          <w:rFonts w:ascii="Franklin Gothic Book" w:hAnsi="Franklin Gothic Book"/>
          <w:color w:val="auto"/>
          <w:spacing w:val="20"/>
          <w:szCs w:val="28"/>
        </w:rPr>
        <w:t xml:space="preserve">  The County’s investigation completion performance improved for both referral response types between Quarter 4 2010 and Quarter 4 2015. In addition, the county’s current performance exceeds that of the State overall for both measures. </w:t>
      </w:r>
    </w:p>
    <w:p w:rsidR="00D86A11" w:rsidRPr="00393E92" w:rsidRDefault="00D86A11" w:rsidP="00D86A11">
      <w:pPr>
        <w:spacing w:before="240" w:after="0"/>
        <w:rPr>
          <w:rFonts w:ascii="Franklin Gothic Book" w:hAnsi="Franklin Gothic Book"/>
          <w:color w:val="auto"/>
          <w:spacing w:val="20"/>
          <w:szCs w:val="28"/>
        </w:rPr>
      </w:pPr>
      <w:r w:rsidRPr="00393E92">
        <w:rPr>
          <w:rFonts w:ascii="Franklin Gothic Book" w:hAnsi="Franklin Gothic Book"/>
          <w:b/>
          <w:color w:val="auto"/>
          <w:spacing w:val="20"/>
          <w:szCs w:val="28"/>
        </w:rPr>
        <w:t>Race/Ethnicity:</w:t>
      </w:r>
      <w:r w:rsidRPr="00393E92">
        <w:rPr>
          <w:rFonts w:ascii="Franklin Gothic Book" w:hAnsi="Franklin Gothic Book"/>
          <w:color w:val="auto"/>
          <w:spacing w:val="20"/>
          <w:szCs w:val="28"/>
        </w:rPr>
        <w:t xml:space="preserve"> In Q4 2015, the percent of immediate response investigations completed timely ranged from 90.6% for Black children to 96.8% for Asian/PI children. The percent of 10-day response investigations completed timely ranged from 65.4% for Black children to 86.1% for Native American children. </w:t>
      </w:r>
    </w:p>
    <w:p w:rsidR="00D86A11" w:rsidRPr="00393E92" w:rsidRDefault="00D86A11" w:rsidP="00D86A11">
      <w:pPr>
        <w:spacing w:before="240" w:after="0"/>
        <w:rPr>
          <w:rFonts w:ascii="Franklin Gothic Book" w:hAnsi="Franklin Gothic Book"/>
          <w:color w:val="auto"/>
          <w:spacing w:val="20"/>
          <w:szCs w:val="28"/>
        </w:rPr>
      </w:pPr>
      <w:r w:rsidRPr="00393E92">
        <w:rPr>
          <w:rFonts w:ascii="Franklin Gothic Book" w:hAnsi="Franklin Gothic Book"/>
          <w:b/>
          <w:color w:val="auto"/>
          <w:spacing w:val="20"/>
          <w:szCs w:val="28"/>
        </w:rPr>
        <w:t>Age:</w:t>
      </w:r>
      <w:r w:rsidRPr="00393E92">
        <w:rPr>
          <w:rFonts w:ascii="Franklin Gothic Book" w:hAnsi="Franklin Gothic Book"/>
          <w:color w:val="auto"/>
          <w:spacing w:val="20"/>
          <w:szCs w:val="28"/>
        </w:rPr>
        <w:t xml:space="preserve"> The percent of 10-day response investigations completed timely ranged from 88.1% for 3-5 year olds to 95.5% for 11-15 year olds. </w:t>
      </w:r>
    </w:p>
    <w:p w:rsidR="00D86A11" w:rsidRPr="00393E92" w:rsidRDefault="00D86A11" w:rsidP="00D86A11">
      <w:pPr>
        <w:pStyle w:val="Heading3"/>
        <w:spacing w:line="276" w:lineRule="auto"/>
        <w:rPr>
          <w:b w:val="0"/>
          <w:color w:val="auto"/>
          <w:sz w:val="22"/>
        </w:rPr>
      </w:pPr>
      <w:r w:rsidRPr="00393E92">
        <w:rPr>
          <w:b w:val="0"/>
          <w:color w:val="auto"/>
          <w:sz w:val="22"/>
        </w:rPr>
        <w:t xml:space="preserve">As noted in measure 2B above, CWS has had a long-time focus on meeting and exceeding the timely response performance measures. The statewide adoption of this new measure 2D helped to strengthen this focus even further. </w:t>
      </w:r>
    </w:p>
    <w:p w:rsidR="00D86A11" w:rsidRDefault="00D86A11" w:rsidP="00D86A11">
      <w:pPr>
        <w:pStyle w:val="Heading1"/>
        <w:rPr>
          <w:color w:val="F6872B"/>
          <w:sz w:val="24"/>
        </w:rPr>
      </w:pPr>
      <w:r w:rsidRPr="00102AA6">
        <w:rPr>
          <w:color w:val="F6872B"/>
          <w:sz w:val="24"/>
        </w:rPr>
        <w:t>2F Monthly Visits (out of home)</w:t>
      </w:r>
    </w:p>
    <w:tbl>
      <w:tblPr>
        <w:tblW w:w="0" w:type="auto"/>
        <w:tblBorders>
          <w:top w:val="single" w:sz="18" w:space="0" w:color="F6872B"/>
          <w:bottom w:val="single" w:sz="18" w:space="0" w:color="F6872B"/>
        </w:tblBorders>
        <w:tblLook w:val="04A0" w:firstRow="1" w:lastRow="0" w:firstColumn="1" w:lastColumn="0" w:noHBand="0" w:noVBand="1"/>
      </w:tblPr>
      <w:tblGrid>
        <w:gridCol w:w="2268"/>
        <w:gridCol w:w="1080"/>
        <w:gridCol w:w="1080"/>
        <w:gridCol w:w="1260"/>
        <w:gridCol w:w="1080"/>
        <w:gridCol w:w="1092"/>
        <w:gridCol w:w="1240"/>
      </w:tblGrid>
      <w:tr w:rsidR="00D86A11" w:rsidRPr="002E3D5C">
        <w:trPr>
          <w:trHeight w:val="738"/>
        </w:trPr>
        <w:tc>
          <w:tcPr>
            <w:tcW w:w="9100" w:type="dxa"/>
            <w:gridSpan w:val="7"/>
            <w:shd w:val="clear" w:color="auto" w:fill="013161"/>
            <w:noWrap/>
          </w:tcPr>
          <w:p w:rsidR="00D86A11" w:rsidRPr="000055D1" w:rsidRDefault="00D86A11" w:rsidP="00D86A11">
            <w:pPr>
              <w:spacing w:after="0"/>
              <w:jc w:val="center"/>
              <w:rPr>
                <w:rFonts w:ascii="Calibri" w:hAnsi="Calibri" w:cs="Calibri"/>
                <w:color w:val="FFFFFF"/>
              </w:rPr>
            </w:pPr>
            <w:r>
              <w:rPr>
                <w:rFonts w:ascii="Calibri" w:hAnsi="Calibri" w:cs="Calibri"/>
                <w:b/>
                <w:color w:val="FFFFFF"/>
                <w:sz w:val="24"/>
              </w:rPr>
              <w:t xml:space="preserve">Exhibit 64. County of </w:t>
            </w:r>
            <w:r w:rsidRPr="004C6FE7">
              <w:rPr>
                <w:rFonts w:ascii="Calibri" w:hAnsi="Calibri" w:cs="Calibri"/>
                <w:b/>
                <w:color w:val="FFFFFF"/>
                <w:sz w:val="24"/>
              </w:rPr>
              <w:t>San Diego  Monthly Visits by Year (out of home)</w:t>
            </w:r>
            <w:r w:rsidRPr="004C6FE7">
              <w:rPr>
                <w:rFonts w:ascii="Calibri" w:hAnsi="Calibri" w:cs="Calibri"/>
                <w:b/>
                <w:color w:val="FFFFFF"/>
                <w:sz w:val="24"/>
              </w:rPr>
              <w:br/>
            </w:r>
            <w:r w:rsidRPr="000055D1">
              <w:rPr>
                <w:rFonts w:ascii="Calibri" w:hAnsi="Calibri" w:cs="Calibri"/>
                <w:color w:val="FFFFFF"/>
              </w:rPr>
              <w:t>Statewide Goal 95%; California at 94.6%</w:t>
            </w:r>
          </w:p>
        </w:tc>
      </w:tr>
      <w:tr w:rsidR="00D86A11" w:rsidRPr="002E3D5C">
        <w:trPr>
          <w:trHeight w:val="255"/>
        </w:trPr>
        <w:tc>
          <w:tcPr>
            <w:tcW w:w="2268" w:type="dxa"/>
            <w:shd w:val="clear" w:color="auto" w:fill="013161"/>
            <w:noWrap/>
          </w:tcPr>
          <w:p w:rsidR="00D86A11" w:rsidRPr="00721EF1" w:rsidRDefault="00D86A11" w:rsidP="00D86A11">
            <w:pPr>
              <w:spacing w:after="0"/>
              <w:rPr>
                <w:rFonts w:ascii="Calibri" w:hAnsi="Calibri" w:cs="Calibri"/>
                <w:b/>
                <w:color w:val="FFFFFF"/>
              </w:rPr>
            </w:pPr>
          </w:p>
        </w:tc>
        <w:tc>
          <w:tcPr>
            <w:tcW w:w="108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2010</w:t>
            </w:r>
          </w:p>
        </w:tc>
        <w:tc>
          <w:tcPr>
            <w:tcW w:w="108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2011</w:t>
            </w:r>
          </w:p>
        </w:tc>
        <w:tc>
          <w:tcPr>
            <w:tcW w:w="126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2012</w:t>
            </w:r>
          </w:p>
        </w:tc>
        <w:tc>
          <w:tcPr>
            <w:tcW w:w="108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2013</w:t>
            </w:r>
          </w:p>
        </w:tc>
        <w:tc>
          <w:tcPr>
            <w:tcW w:w="1092"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2014</w:t>
            </w:r>
          </w:p>
        </w:tc>
        <w:tc>
          <w:tcPr>
            <w:tcW w:w="124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2015</w:t>
            </w:r>
          </w:p>
        </w:tc>
      </w:tr>
      <w:tr w:rsidR="00D86A11" w:rsidRPr="002E3D5C">
        <w:trPr>
          <w:trHeight w:val="255"/>
        </w:trPr>
        <w:tc>
          <w:tcPr>
            <w:tcW w:w="2268" w:type="dxa"/>
            <w:shd w:val="clear" w:color="auto" w:fill="auto"/>
            <w:noWrap/>
          </w:tcPr>
          <w:p w:rsidR="00D86A11" w:rsidRPr="004C6FE7" w:rsidRDefault="00D86A11" w:rsidP="00D86A11">
            <w:pPr>
              <w:spacing w:after="0"/>
              <w:rPr>
                <w:rFonts w:ascii="Calibri" w:hAnsi="Calibri" w:cs="Calibri"/>
                <w:b/>
                <w:color w:val="013161"/>
              </w:rPr>
            </w:pPr>
            <w:r w:rsidRPr="004C6FE7">
              <w:rPr>
                <w:rFonts w:ascii="Calibri" w:hAnsi="Calibri" w:cs="Calibri"/>
                <w:b/>
                <w:color w:val="013161"/>
              </w:rPr>
              <w:t>Months with visits (%)</w:t>
            </w:r>
          </w:p>
        </w:tc>
        <w:tc>
          <w:tcPr>
            <w:tcW w:w="1080" w:type="dxa"/>
            <w:shd w:val="clear" w:color="auto" w:fill="auto"/>
            <w:noWrap/>
          </w:tcPr>
          <w:p w:rsidR="00D86A11" w:rsidRPr="000055D1" w:rsidRDefault="00D86A11" w:rsidP="00D86A11">
            <w:pPr>
              <w:spacing w:after="0"/>
              <w:jc w:val="center"/>
              <w:rPr>
                <w:rFonts w:ascii="Calibri" w:hAnsi="Calibri" w:cs="Calibri"/>
                <w:b/>
                <w:color w:val="013161"/>
              </w:rPr>
            </w:pPr>
            <w:r w:rsidRPr="000055D1">
              <w:rPr>
                <w:rFonts w:ascii="Calibri" w:hAnsi="Calibri" w:cs="Calibri"/>
                <w:b/>
                <w:color w:val="013161"/>
              </w:rPr>
              <w:t>86.8</w:t>
            </w:r>
          </w:p>
        </w:tc>
        <w:tc>
          <w:tcPr>
            <w:tcW w:w="1080" w:type="dxa"/>
            <w:shd w:val="clear" w:color="auto" w:fill="auto"/>
            <w:noWrap/>
          </w:tcPr>
          <w:p w:rsidR="00D86A11" w:rsidRPr="000055D1" w:rsidRDefault="00D86A11" w:rsidP="00D86A11">
            <w:pPr>
              <w:spacing w:after="0"/>
              <w:jc w:val="center"/>
              <w:rPr>
                <w:rFonts w:ascii="Calibri" w:hAnsi="Calibri" w:cs="Calibri"/>
                <w:b/>
                <w:color w:val="013161"/>
              </w:rPr>
            </w:pPr>
            <w:r w:rsidRPr="000055D1">
              <w:rPr>
                <w:rFonts w:ascii="Calibri" w:hAnsi="Calibri" w:cs="Calibri"/>
                <w:b/>
                <w:color w:val="013161"/>
              </w:rPr>
              <w:t>89.5</w:t>
            </w:r>
          </w:p>
        </w:tc>
        <w:tc>
          <w:tcPr>
            <w:tcW w:w="1260" w:type="dxa"/>
            <w:shd w:val="clear" w:color="auto" w:fill="auto"/>
            <w:noWrap/>
          </w:tcPr>
          <w:p w:rsidR="00D86A11" w:rsidRPr="000055D1" w:rsidRDefault="00D86A11" w:rsidP="00D86A11">
            <w:pPr>
              <w:spacing w:after="0"/>
              <w:jc w:val="center"/>
              <w:rPr>
                <w:rFonts w:ascii="Calibri" w:hAnsi="Calibri" w:cs="Calibri"/>
                <w:b/>
                <w:color w:val="013161"/>
              </w:rPr>
            </w:pPr>
            <w:r w:rsidRPr="000055D1">
              <w:rPr>
                <w:rFonts w:ascii="Calibri" w:hAnsi="Calibri" w:cs="Calibri"/>
                <w:b/>
                <w:color w:val="013161"/>
              </w:rPr>
              <w:t>93.6</w:t>
            </w:r>
          </w:p>
        </w:tc>
        <w:tc>
          <w:tcPr>
            <w:tcW w:w="1080" w:type="dxa"/>
            <w:shd w:val="clear" w:color="auto" w:fill="auto"/>
            <w:noWrap/>
          </w:tcPr>
          <w:p w:rsidR="00D86A11" w:rsidRPr="000055D1" w:rsidRDefault="00D86A11" w:rsidP="00D86A11">
            <w:pPr>
              <w:spacing w:after="0"/>
              <w:jc w:val="center"/>
              <w:rPr>
                <w:rFonts w:ascii="Calibri" w:hAnsi="Calibri" w:cs="Calibri"/>
                <w:b/>
                <w:color w:val="013161"/>
              </w:rPr>
            </w:pPr>
            <w:r w:rsidRPr="000055D1">
              <w:rPr>
                <w:rFonts w:ascii="Calibri" w:hAnsi="Calibri" w:cs="Calibri"/>
                <w:b/>
                <w:color w:val="013161"/>
              </w:rPr>
              <w:t>94.8</w:t>
            </w:r>
          </w:p>
        </w:tc>
        <w:tc>
          <w:tcPr>
            <w:tcW w:w="1092" w:type="dxa"/>
            <w:shd w:val="clear" w:color="auto" w:fill="auto"/>
            <w:noWrap/>
          </w:tcPr>
          <w:p w:rsidR="00D86A11" w:rsidRPr="000055D1" w:rsidRDefault="00D86A11" w:rsidP="00D86A11">
            <w:pPr>
              <w:spacing w:after="0"/>
              <w:jc w:val="center"/>
              <w:rPr>
                <w:rFonts w:ascii="Calibri" w:hAnsi="Calibri" w:cs="Calibri"/>
                <w:b/>
                <w:color w:val="013161"/>
              </w:rPr>
            </w:pPr>
            <w:r w:rsidRPr="000055D1">
              <w:rPr>
                <w:rFonts w:ascii="Calibri" w:hAnsi="Calibri" w:cs="Calibri"/>
                <w:b/>
                <w:color w:val="013161"/>
              </w:rPr>
              <w:t>95.7</w:t>
            </w:r>
          </w:p>
        </w:tc>
        <w:tc>
          <w:tcPr>
            <w:tcW w:w="1240" w:type="dxa"/>
            <w:shd w:val="clear" w:color="auto" w:fill="auto"/>
            <w:noWrap/>
          </w:tcPr>
          <w:p w:rsidR="00D86A11" w:rsidRPr="000055D1" w:rsidRDefault="00D86A11" w:rsidP="00D86A11">
            <w:pPr>
              <w:tabs>
                <w:tab w:val="center" w:pos="512"/>
                <w:tab w:val="right" w:pos="1024"/>
              </w:tabs>
              <w:spacing w:after="0"/>
              <w:jc w:val="center"/>
              <w:rPr>
                <w:rFonts w:ascii="Calibri" w:hAnsi="Calibri" w:cs="Calibri"/>
                <w:b/>
                <w:color w:val="013161"/>
              </w:rPr>
            </w:pPr>
            <w:r w:rsidRPr="000055D1">
              <w:rPr>
                <w:rFonts w:ascii="Calibri" w:hAnsi="Calibri" w:cs="Calibri"/>
                <w:b/>
                <w:color w:val="013161"/>
              </w:rPr>
              <w:t>96.9</w:t>
            </w:r>
          </w:p>
        </w:tc>
      </w:tr>
    </w:tbl>
    <w:p w:rsidR="00D86A11" w:rsidRPr="00102AA6" w:rsidRDefault="00D86A11" w:rsidP="00D86A11">
      <w:pPr>
        <w:pStyle w:val="Heading1"/>
        <w:rPr>
          <w:color w:val="2E7029"/>
          <w:sz w:val="24"/>
        </w:rPr>
      </w:pPr>
      <w:r w:rsidRPr="00102AA6">
        <w:rPr>
          <w:color w:val="2E7029"/>
          <w:sz w:val="24"/>
        </w:rPr>
        <w:t xml:space="preserve">Analysis </w:t>
      </w:r>
    </w:p>
    <w:p w:rsidR="00D86A11" w:rsidRDefault="00D86A11" w:rsidP="00D86A11">
      <w:pPr>
        <w:pStyle w:val="Title"/>
        <w:pBdr>
          <w:bottom w:val="none" w:sz="0" w:space="0" w:color="auto"/>
        </w:pBdr>
        <w:spacing w:after="0" w:line="276" w:lineRule="auto"/>
        <w:jc w:val="left"/>
        <w:rPr>
          <w:b w:val="0"/>
          <w:smallCaps w:val="0"/>
          <w:color w:val="auto"/>
          <w:spacing w:val="20"/>
          <w:sz w:val="22"/>
        </w:rPr>
      </w:pPr>
      <w:r w:rsidRPr="00EC4C3C">
        <w:rPr>
          <w:b w:val="0"/>
          <w:smallCaps w:val="0"/>
          <w:color w:val="auto"/>
          <w:spacing w:val="20"/>
          <w:sz w:val="22"/>
        </w:rPr>
        <w:t>This measure calculates the percent of children in out-of-home care, who were required to have an in-person contact with a social worker, and who had at least one in-person contact during the month.</w:t>
      </w:r>
    </w:p>
    <w:p w:rsidR="00EF6408" w:rsidRPr="00EC4C3C" w:rsidRDefault="00EF6408" w:rsidP="00D86A11">
      <w:pPr>
        <w:pStyle w:val="Title"/>
        <w:pBdr>
          <w:bottom w:val="none" w:sz="0" w:space="0" w:color="auto"/>
        </w:pBdr>
        <w:spacing w:after="0" w:line="276" w:lineRule="auto"/>
        <w:jc w:val="left"/>
        <w:rPr>
          <w:b w:val="0"/>
          <w:smallCaps w:val="0"/>
          <w:color w:val="auto"/>
          <w:spacing w:val="20"/>
          <w:sz w:val="22"/>
        </w:rPr>
      </w:pPr>
    </w:p>
    <w:p w:rsidR="00D86A11" w:rsidRPr="00EC4C3C" w:rsidRDefault="00D86A11" w:rsidP="00D86A11">
      <w:pPr>
        <w:spacing w:after="0"/>
        <w:rPr>
          <w:rFonts w:ascii="Franklin Gothic Book" w:hAnsi="Franklin Gothic Book"/>
          <w:color w:val="auto"/>
          <w:spacing w:val="20"/>
          <w:szCs w:val="28"/>
        </w:rPr>
      </w:pPr>
      <w:r w:rsidRPr="00EF6408">
        <w:rPr>
          <w:rFonts w:ascii="Franklin Gothic Book" w:hAnsi="Franklin Gothic Book"/>
          <w:b/>
          <w:color w:val="auto"/>
          <w:spacing w:val="20"/>
          <w:szCs w:val="28"/>
        </w:rPr>
        <w:t>Trends:</w:t>
      </w:r>
      <w:r w:rsidR="006F7BFF">
        <w:rPr>
          <w:rFonts w:ascii="Franklin Gothic Book" w:hAnsi="Franklin Gothic Book"/>
          <w:color w:val="auto"/>
          <w:spacing w:val="20"/>
          <w:szCs w:val="28"/>
        </w:rPr>
        <w:t xml:space="preserve"> </w:t>
      </w:r>
      <w:r w:rsidRPr="00EC4C3C">
        <w:rPr>
          <w:rFonts w:ascii="Franklin Gothic Book" w:hAnsi="Franklin Gothic Book"/>
          <w:color w:val="auto"/>
          <w:spacing w:val="20"/>
          <w:szCs w:val="28"/>
        </w:rPr>
        <w:t xml:space="preserve">The County’s performance on this measure has increased from 86.8% in 2010 to 96.9% in 2015, exceeding the statewide goal. </w:t>
      </w:r>
    </w:p>
    <w:p w:rsidR="00D86A11" w:rsidRPr="00EC4C3C" w:rsidRDefault="00D86A11" w:rsidP="00D86A11">
      <w:pPr>
        <w:spacing w:before="240" w:after="0"/>
        <w:rPr>
          <w:rFonts w:ascii="Franklin Gothic Book" w:hAnsi="Franklin Gothic Book"/>
          <w:color w:val="auto"/>
          <w:spacing w:val="20"/>
          <w:szCs w:val="28"/>
        </w:rPr>
      </w:pPr>
      <w:r w:rsidRPr="00EC4C3C">
        <w:rPr>
          <w:rFonts w:ascii="Franklin Gothic Book" w:hAnsi="Franklin Gothic Book"/>
          <w:b/>
          <w:color w:val="auto"/>
          <w:spacing w:val="20"/>
          <w:szCs w:val="28"/>
        </w:rPr>
        <w:t>Race/Ethnicity:</w:t>
      </w:r>
      <w:r w:rsidRPr="00EC4C3C">
        <w:rPr>
          <w:rFonts w:ascii="Franklin Gothic Book" w:hAnsi="Franklin Gothic Book"/>
          <w:color w:val="auto"/>
          <w:spacing w:val="20"/>
          <w:szCs w:val="28"/>
        </w:rPr>
        <w:t xml:space="preserve"> In 2015, the percent of children with monthly caseworker visits ranged from 96.0% for Native American children to 97.1% for Black children. </w:t>
      </w:r>
    </w:p>
    <w:p w:rsidR="00D86A11" w:rsidRPr="00EC4C3C" w:rsidRDefault="00D86A11" w:rsidP="00D86A11">
      <w:pPr>
        <w:spacing w:before="240" w:after="0"/>
        <w:rPr>
          <w:rFonts w:ascii="Franklin Gothic Book" w:hAnsi="Franklin Gothic Book"/>
          <w:color w:val="auto"/>
          <w:spacing w:val="20"/>
          <w:szCs w:val="28"/>
        </w:rPr>
      </w:pPr>
      <w:r w:rsidRPr="00EC4C3C">
        <w:rPr>
          <w:rFonts w:ascii="Franklin Gothic Book" w:hAnsi="Franklin Gothic Book"/>
          <w:b/>
          <w:color w:val="auto"/>
          <w:spacing w:val="20"/>
          <w:szCs w:val="28"/>
        </w:rPr>
        <w:t>Age:</w:t>
      </w:r>
      <w:r w:rsidRPr="00EC4C3C">
        <w:rPr>
          <w:rFonts w:ascii="Franklin Gothic Book" w:hAnsi="Franklin Gothic Book"/>
          <w:color w:val="auto"/>
          <w:spacing w:val="20"/>
          <w:szCs w:val="28"/>
        </w:rPr>
        <w:t xml:space="preserve"> The percent of children with monthly caseworker visits ranged from 93.7% for 16-17 year olds to 98.5% for children under the age of one. </w:t>
      </w:r>
    </w:p>
    <w:p w:rsidR="00D86A11" w:rsidRDefault="00D86A11" w:rsidP="00D86A11">
      <w:pPr>
        <w:pStyle w:val="Heading3"/>
        <w:spacing w:line="276" w:lineRule="auto"/>
        <w:rPr>
          <w:b w:val="0"/>
          <w:color w:val="auto"/>
          <w:sz w:val="22"/>
        </w:rPr>
      </w:pPr>
      <w:r w:rsidRPr="00EC4C3C">
        <w:rPr>
          <w:b w:val="0"/>
          <w:color w:val="auto"/>
          <w:sz w:val="22"/>
        </w:rPr>
        <w:t xml:space="preserve">Similar to Measure 2B, the County has had a long-time focus on meeting and exceeding this measure through the monitoring of performance using Safe Measures, CQI reports, and CQI meetings. </w:t>
      </w:r>
      <w:r>
        <w:rPr>
          <w:b w:val="0"/>
          <w:color w:val="auto"/>
          <w:sz w:val="22"/>
        </w:rPr>
        <w:t xml:space="preserve">The </w:t>
      </w:r>
      <w:r w:rsidRPr="00EC4C3C">
        <w:rPr>
          <w:b w:val="0"/>
          <w:color w:val="auto"/>
          <w:sz w:val="22"/>
        </w:rPr>
        <w:t xml:space="preserve">Key </w:t>
      </w:r>
      <w:r>
        <w:rPr>
          <w:b w:val="0"/>
          <w:color w:val="auto"/>
          <w:sz w:val="22"/>
        </w:rPr>
        <w:t>D</w:t>
      </w:r>
      <w:r w:rsidRPr="00EC4C3C">
        <w:rPr>
          <w:b w:val="0"/>
          <w:color w:val="auto"/>
          <w:sz w:val="22"/>
        </w:rPr>
        <w:t xml:space="preserve">ata </w:t>
      </w:r>
      <w:r>
        <w:rPr>
          <w:b w:val="0"/>
          <w:color w:val="auto"/>
          <w:sz w:val="22"/>
        </w:rPr>
        <w:t>R</w:t>
      </w:r>
      <w:r w:rsidRPr="00EC4C3C">
        <w:rPr>
          <w:b w:val="0"/>
          <w:color w:val="auto"/>
          <w:sz w:val="22"/>
        </w:rPr>
        <w:t xml:space="preserve">eport (KDR), </w:t>
      </w:r>
      <w:r>
        <w:rPr>
          <w:b w:val="0"/>
          <w:color w:val="auto"/>
          <w:sz w:val="22"/>
        </w:rPr>
        <w:t xml:space="preserve">which </w:t>
      </w:r>
      <w:r w:rsidRPr="00EC4C3C">
        <w:rPr>
          <w:b w:val="0"/>
          <w:color w:val="auto"/>
          <w:sz w:val="22"/>
        </w:rPr>
        <w:t>includ</w:t>
      </w:r>
      <w:r>
        <w:rPr>
          <w:b w:val="0"/>
          <w:color w:val="auto"/>
          <w:sz w:val="22"/>
        </w:rPr>
        <w:t>e</w:t>
      </w:r>
      <w:r w:rsidRPr="00EC4C3C">
        <w:rPr>
          <w:b w:val="0"/>
          <w:color w:val="auto"/>
          <w:sz w:val="22"/>
        </w:rPr>
        <w:t xml:space="preserve">s this and other measures, </w:t>
      </w:r>
      <w:r>
        <w:rPr>
          <w:b w:val="0"/>
          <w:color w:val="auto"/>
          <w:sz w:val="22"/>
        </w:rPr>
        <w:t>is</w:t>
      </w:r>
      <w:r w:rsidRPr="00EC4C3C">
        <w:rPr>
          <w:b w:val="0"/>
          <w:color w:val="auto"/>
          <w:sz w:val="22"/>
        </w:rPr>
        <w:t xml:space="preserve"> created and distributed monthly by the Data </w:t>
      </w:r>
      <w:r w:rsidRPr="00EC4C3C">
        <w:rPr>
          <w:b w:val="0"/>
          <w:color w:val="auto"/>
          <w:sz w:val="22"/>
        </w:rPr>
        <w:lastRenderedPageBreak/>
        <w:t xml:space="preserve">Unit to managers, CQI analysts, deputy directors, regional directors and the CWS director. </w:t>
      </w:r>
    </w:p>
    <w:p w:rsidR="00EF6408" w:rsidRDefault="00EF6408" w:rsidP="00EF6408"/>
    <w:p w:rsidR="00EF6408" w:rsidRDefault="00EF6408" w:rsidP="00EF6408"/>
    <w:p w:rsidR="00EF6408" w:rsidRPr="00EF6408" w:rsidRDefault="00EF6408" w:rsidP="00EF6408"/>
    <w:p w:rsidR="00D86A11" w:rsidRPr="00936DFD" w:rsidRDefault="00D86A11" w:rsidP="00D86A11">
      <w:pPr>
        <w:pStyle w:val="Heading1"/>
        <w:rPr>
          <w:color w:val="F6872B"/>
          <w:sz w:val="24"/>
        </w:rPr>
      </w:pPr>
      <w:r w:rsidRPr="00936DFD">
        <w:rPr>
          <w:color w:val="F6872B"/>
          <w:sz w:val="24"/>
        </w:rPr>
        <w:t>2F Monthly Visits in Residence (out of home)</w:t>
      </w:r>
    </w:p>
    <w:tbl>
      <w:tblPr>
        <w:tblW w:w="10010" w:type="dxa"/>
        <w:tblBorders>
          <w:top w:val="single" w:sz="18" w:space="0" w:color="F6872B"/>
          <w:bottom w:val="single" w:sz="18" w:space="0" w:color="F6872B"/>
        </w:tblBorders>
        <w:tblLook w:val="04A0" w:firstRow="1" w:lastRow="0" w:firstColumn="1" w:lastColumn="0" w:noHBand="0" w:noVBand="1"/>
      </w:tblPr>
      <w:tblGrid>
        <w:gridCol w:w="3258"/>
        <w:gridCol w:w="990"/>
        <w:gridCol w:w="1170"/>
        <w:gridCol w:w="1080"/>
        <w:gridCol w:w="1170"/>
        <w:gridCol w:w="1170"/>
        <w:gridCol w:w="1172"/>
      </w:tblGrid>
      <w:tr w:rsidR="00D86A11" w:rsidRPr="002E3D5C">
        <w:trPr>
          <w:trHeight w:val="666"/>
        </w:trPr>
        <w:tc>
          <w:tcPr>
            <w:tcW w:w="10010" w:type="dxa"/>
            <w:gridSpan w:val="7"/>
            <w:shd w:val="clear" w:color="auto" w:fill="013161"/>
            <w:noWrap/>
          </w:tcPr>
          <w:p w:rsidR="00D86A11" w:rsidRPr="000055D1" w:rsidRDefault="00D86A11" w:rsidP="00D86A11">
            <w:pPr>
              <w:spacing w:after="0" w:line="240" w:lineRule="auto"/>
              <w:jc w:val="center"/>
              <w:rPr>
                <w:rFonts w:ascii="Calibri" w:eastAsia="Times New Roman" w:hAnsi="Calibri" w:cs="Arial"/>
                <w:color w:val="FFFFFF"/>
              </w:rPr>
            </w:pPr>
            <w:r>
              <w:rPr>
                <w:rFonts w:ascii="Calibri" w:hAnsi="Calibri" w:cs="Calibri"/>
                <w:b/>
                <w:color w:val="FFFFFF"/>
                <w:sz w:val="24"/>
              </w:rPr>
              <w:t xml:space="preserve">Exhibit 65. County of </w:t>
            </w:r>
            <w:r w:rsidRPr="004C6FE7">
              <w:rPr>
                <w:rFonts w:ascii="Calibri" w:hAnsi="Calibri" w:cs="Calibri"/>
                <w:b/>
                <w:color w:val="FFFFFF"/>
                <w:sz w:val="24"/>
              </w:rPr>
              <w:t>San Diego Monthly Visits in Residence by Year (out of home)</w:t>
            </w:r>
            <w:r w:rsidRPr="000055D1">
              <w:rPr>
                <w:rFonts w:ascii="Calibri" w:hAnsi="Calibri" w:cs="Calibri"/>
                <w:b/>
                <w:color w:val="FFFFFF"/>
              </w:rPr>
              <w:br/>
            </w:r>
            <w:r w:rsidRPr="000055D1">
              <w:rPr>
                <w:rFonts w:ascii="Calibri" w:hAnsi="Calibri" w:cs="Calibri"/>
                <w:color w:val="FFFFFF"/>
              </w:rPr>
              <w:t>Statewide Goal 50%; California at 79.3%</w:t>
            </w:r>
          </w:p>
        </w:tc>
      </w:tr>
      <w:tr w:rsidR="00D86A11" w:rsidRPr="002E3D5C">
        <w:trPr>
          <w:trHeight w:val="255"/>
        </w:trPr>
        <w:tc>
          <w:tcPr>
            <w:tcW w:w="3258" w:type="dxa"/>
            <w:shd w:val="clear" w:color="auto" w:fill="013161"/>
            <w:noWrap/>
          </w:tcPr>
          <w:p w:rsidR="00D86A11" w:rsidRPr="00721EF1" w:rsidRDefault="00D86A11" w:rsidP="00D86A11">
            <w:pPr>
              <w:spacing w:after="0" w:line="240" w:lineRule="auto"/>
              <w:jc w:val="right"/>
              <w:rPr>
                <w:rFonts w:ascii="Calibri" w:eastAsia="Times New Roman" w:hAnsi="Calibri" w:cs="Arial"/>
                <w:b/>
                <w:color w:val="FFFFFF"/>
              </w:rPr>
            </w:pPr>
          </w:p>
        </w:tc>
        <w:tc>
          <w:tcPr>
            <w:tcW w:w="99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2010</w:t>
            </w:r>
          </w:p>
        </w:tc>
        <w:tc>
          <w:tcPr>
            <w:tcW w:w="117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2011</w:t>
            </w:r>
          </w:p>
        </w:tc>
        <w:tc>
          <w:tcPr>
            <w:tcW w:w="108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2012</w:t>
            </w:r>
          </w:p>
        </w:tc>
        <w:tc>
          <w:tcPr>
            <w:tcW w:w="117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2013</w:t>
            </w:r>
          </w:p>
        </w:tc>
        <w:tc>
          <w:tcPr>
            <w:tcW w:w="117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2014</w:t>
            </w:r>
          </w:p>
        </w:tc>
        <w:tc>
          <w:tcPr>
            <w:tcW w:w="1172"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2015</w:t>
            </w:r>
          </w:p>
        </w:tc>
      </w:tr>
      <w:tr w:rsidR="00D86A11" w:rsidRPr="002E3D5C">
        <w:trPr>
          <w:trHeight w:val="255"/>
        </w:trPr>
        <w:tc>
          <w:tcPr>
            <w:tcW w:w="3258" w:type="dxa"/>
            <w:shd w:val="clear" w:color="auto" w:fill="auto"/>
            <w:noWrap/>
          </w:tcPr>
          <w:p w:rsidR="00D86A11" w:rsidRPr="006B72F9" w:rsidRDefault="00D86A11" w:rsidP="00D86A11">
            <w:pPr>
              <w:spacing w:after="0" w:line="240" w:lineRule="auto"/>
              <w:rPr>
                <w:rFonts w:ascii="Calibri" w:eastAsia="Times New Roman" w:hAnsi="Calibri" w:cs="Arial"/>
                <w:color w:val="013161"/>
                <w:sz w:val="20"/>
              </w:rPr>
            </w:pPr>
            <w:r w:rsidRPr="006B72F9">
              <w:rPr>
                <w:rFonts w:ascii="Calibri" w:eastAsia="Times New Roman" w:hAnsi="Calibri" w:cs="Arial"/>
                <w:color w:val="013161"/>
                <w:sz w:val="20"/>
              </w:rPr>
              <w:t>Months with visits in residence (%)</w:t>
            </w:r>
          </w:p>
        </w:tc>
        <w:tc>
          <w:tcPr>
            <w:tcW w:w="990" w:type="dxa"/>
            <w:shd w:val="clear" w:color="auto" w:fill="auto"/>
            <w:noWrap/>
          </w:tcPr>
          <w:p w:rsidR="00D86A11" w:rsidRPr="006B72F9" w:rsidRDefault="00D86A11" w:rsidP="00D86A11">
            <w:pPr>
              <w:spacing w:after="0" w:line="240" w:lineRule="auto"/>
              <w:jc w:val="center"/>
              <w:rPr>
                <w:rFonts w:ascii="Calibri" w:eastAsia="Times New Roman" w:hAnsi="Calibri" w:cs="Arial"/>
                <w:b/>
                <w:color w:val="013161"/>
                <w:sz w:val="20"/>
              </w:rPr>
            </w:pPr>
            <w:r w:rsidRPr="006B72F9">
              <w:rPr>
                <w:rFonts w:ascii="Calibri" w:eastAsia="Times New Roman" w:hAnsi="Calibri" w:cs="Arial"/>
                <w:b/>
                <w:color w:val="013161"/>
                <w:sz w:val="20"/>
              </w:rPr>
              <w:t>69.5</w:t>
            </w:r>
          </w:p>
        </w:tc>
        <w:tc>
          <w:tcPr>
            <w:tcW w:w="1170" w:type="dxa"/>
            <w:shd w:val="clear" w:color="auto" w:fill="auto"/>
            <w:noWrap/>
          </w:tcPr>
          <w:p w:rsidR="00D86A11" w:rsidRPr="006B72F9" w:rsidRDefault="00D86A11" w:rsidP="00D86A11">
            <w:pPr>
              <w:spacing w:after="0" w:line="240" w:lineRule="auto"/>
              <w:jc w:val="center"/>
              <w:rPr>
                <w:rFonts w:ascii="Calibri" w:eastAsia="Times New Roman" w:hAnsi="Calibri" w:cs="Arial"/>
                <w:b/>
                <w:color w:val="013161"/>
                <w:sz w:val="20"/>
              </w:rPr>
            </w:pPr>
            <w:r w:rsidRPr="006B72F9">
              <w:rPr>
                <w:rFonts w:ascii="Calibri" w:eastAsia="Times New Roman" w:hAnsi="Calibri" w:cs="Arial"/>
                <w:b/>
                <w:color w:val="013161"/>
                <w:sz w:val="20"/>
              </w:rPr>
              <w:t>70.2</w:t>
            </w:r>
          </w:p>
        </w:tc>
        <w:tc>
          <w:tcPr>
            <w:tcW w:w="1080" w:type="dxa"/>
            <w:shd w:val="clear" w:color="auto" w:fill="auto"/>
            <w:noWrap/>
          </w:tcPr>
          <w:p w:rsidR="00D86A11" w:rsidRPr="006B72F9" w:rsidRDefault="00D86A11" w:rsidP="00D86A11">
            <w:pPr>
              <w:spacing w:after="0" w:line="240" w:lineRule="auto"/>
              <w:jc w:val="center"/>
              <w:rPr>
                <w:rFonts w:ascii="Calibri" w:eastAsia="Times New Roman" w:hAnsi="Calibri" w:cs="Arial"/>
                <w:b/>
                <w:color w:val="013161"/>
                <w:sz w:val="20"/>
              </w:rPr>
            </w:pPr>
            <w:r w:rsidRPr="006B72F9">
              <w:rPr>
                <w:rFonts w:ascii="Calibri" w:eastAsia="Times New Roman" w:hAnsi="Calibri" w:cs="Arial"/>
                <w:b/>
                <w:color w:val="013161"/>
                <w:sz w:val="20"/>
              </w:rPr>
              <w:t>69.1</w:t>
            </w:r>
          </w:p>
        </w:tc>
        <w:tc>
          <w:tcPr>
            <w:tcW w:w="1170" w:type="dxa"/>
            <w:shd w:val="clear" w:color="auto" w:fill="auto"/>
            <w:noWrap/>
          </w:tcPr>
          <w:p w:rsidR="00D86A11" w:rsidRPr="006B72F9" w:rsidRDefault="00D86A11" w:rsidP="00D86A11">
            <w:pPr>
              <w:spacing w:after="0" w:line="240" w:lineRule="auto"/>
              <w:jc w:val="center"/>
              <w:rPr>
                <w:rFonts w:ascii="Calibri" w:eastAsia="Times New Roman" w:hAnsi="Calibri" w:cs="Arial"/>
                <w:b/>
                <w:color w:val="013161"/>
                <w:sz w:val="20"/>
              </w:rPr>
            </w:pPr>
            <w:r w:rsidRPr="006B72F9">
              <w:rPr>
                <w:rFonts w:ascii="Calibri" w:eastAsia="Times New Roman" w:hAnsi="Calibri" w:cs="Arial"/>
                <w:b/>
                <w:color w:val="013161"/>
                <w:sz w:val="20"/>
              </w:rPr>
              <w:t>67.7</w:t>
            </w:r>
          </w:p>
        </w:tc>
        <w:tc>
          <w:tcPr>
            <w:tcW w:w="1170" w:type="dxa"/>
            <w:shd w:val="clear" w:color="auto" w:fill="auto"/>
            <w:noWrap/>
          </w:tcPr>
          <w:p w:rsidR="00D86A11" w:rsidRPr="006B72F9" w:rsidRDefault="00D86A11" w:rsidP="00D86A11">
            <w:pPr>
              <w:spacing w:after="0" w:line="240" w:lineRule="auto"/>
              <w:jc w:val="center"/>
              <w:rPr>
                <w:rFonts w:ascii="Calibri" w:eastAsia="Times New Roman" w:hAnsi="Calibri" w:cs="Arial"/>
                <w:b/>
                <w:color w:val="013161"/>
                <w:sz w:val="20"/>
              </w:rPr>
            </w:pPr>
            <w:r w:rsidRPr="006B72F9">
              <w:rPr>
                <w:rFonts w:ascii="Calibri" w:eastAsia="Times New Roman" w:hAnsi="Calibri" w:cs="Arial"/>
                <w:b/>
                <w:color w:val="013161"/>
                <w:sz w:val="20"/>
              </w:rPr>
              <w:t>69.7</w:t>
            </w:r>
          </w:p>
        </w:tc>
        <w:tc>
          <w:tcPr>
            <w:tcW w:w="1172" w:type="dxa"/>
            <w:shd w:val="clear" w:color="auto" w:fill="auto"/>
            <w:noWrap/>
          </w:tcPr>
          <w:p w:rsidR="00D86A11" w:rsidRPr="006B72F9" w:rsidRDefault="00D86A11" w:rsidP="00D86A11">
            <w:pPr>
              <w:spacing w:after="0" w:line="240" w:lineRule="auto"/>
              <w:jc w:val="center"/>
              <w:rPr>
                <w:rFonts w:ascii="Calibri" w:eastAsia="Times New Roman" w:hAnsi="Calibri" w:cs="Arial"/>
                <w:b/>
                <w:color w:val="013161"/>
                <w:sz w:val="20"/>
              </w:rPr>
            </w:pPr>
            <w:r w:rsidRPr="006B72F9">
              <w:rPr>
                <w:rFonts w:ascii="Calibri" w:eastAsia="Times New Roman" w:hAnsi="Calibri" w:cs="Arial"/>
                <w:b/>
                <w:color w:val="013161"/>
                <w:sz w:val="20"/>
              </w:rPr>
              <w:t>68.2</w:t>
            </w:r>
          </w:p>
        </w:tc>
      </w:tr>
    </w:tbl>
    <w:p w:rsidR="00D86A11" w:rsidRPr="00936DFD" w:rsidRDefault="00D86A11" w:rsidP="00D86A11">
      <w:pPr>
        <w:pStyle w:val="Heading1"/>
        <w:rPr>
          <w:color w:val="2E7029"/>
          <w:sz w:val="24"/>
        </w:rPr>
      </w:pPr>
      <w:r w:rsidRPr="00936DFD">
        <w:rPr>
          <w:color w:val="2E7029"/>
          <w:sz w:val="24"/>
        </w:rPr>
        <w:t xml:space="preserve">Analysis </w:t>
      </w:r>
    </w:p>
    <w:p w:rsidR="00D86A11" w:rsidRPr="00FE7D08" w:rsidRDefault="00D86A11" w:rsidP="00D86A11">
      <w:pPr>
        <w:pStyle w:val="Title"/>
        <w:pBdr>
          <w:bottom w:val="none" w:sz="0" w:space="0" w:color="auto"/>
        </w:pBdr>
        <w:spacing w:after="0" w:line="276" w:lineRule="auto"/>
        <w:jc w:val="left"/>
        <w:rPr>
          <w:b w:val="0"/>
          <w:smallCaps w:val="0"/>
          <w:color w:val="auto"/>
          <w:spacing w:val="20"/>
          <w:sz w:val="22"/>
        </w:rPr>
      </w:pPr>
      <w:r w:rsidRPr="00FE7D08">
        <w:rPr>
          <w:b w:val="0"/>
          <w:smallCaps w:val="0"/>
          <w:color w:val="auto"/>
          <w:spacing w:val="20"/>
          <w:sz w:val="22"/>
        </w:rPr>
        <w:t>This measure calculates the percent of children in out-of-home care, who were required to have an in-person contact with a social worker, and who had at least one in-person contact during the month and where at least one of the contacts was in the placement facility.</w:t>
      </w:r>
    </w:p>
    <w:p w:rsidR="00D86A11" w:rsidRPr="00FE7D08" w:rsidRDefault="00D86A11" w:rsidP="00D86A11">
      <w:pPr>
        <w:spacing w:before="240" w:after="0"/>
        <w:rPr>
          <w:rFonts w:ascii="Franklin Gothic Book" w:hAnsi="Franklin Gothic Book"/>
          <w:color w:val="auto"/>
          <w:spacing w:val="20"/>
          <w:szCs w:val="28"/>
        </w:rPr>
      </w:pPr>
      <w:r w:rsidRPr="00FE7D08">
        <w:rPr>
          <w:rFonts w:ascii="Franklin Gothic Book" w:hAnsi="Franklin Gothic Book"/>
          <w:b/>
          <w:color w:val="auto"/>
          <w:spacing w:val="20"/>
          <w:szCs w:val="28"/>
        </w:rPr>
        <w:t>Trends:</w:t>
      </w:r>
      <w:r w:rsidRPr="00FE7D08">
        <w:rPr>
          <w:rFonts w:ascii="Franklin Gothic Book" w:hAnsi="Franklin Gothic Book"/>
          <w:color w:val="auto"/>
          <w:spacing w:val="20"/>
          <w:szCs w:val="28"/>
        </w:rPr>
        <w:t xml:space="preserve"> The County is exceeding the statewide goal of 50% of visits but has a lower percentage than the overall State rate of 79.3%. </w:t>
      </w:r>
    </w:p>
    <w:p w:rsidR="00D86A11" w:rsidRPr="00FE7D08" w:rsidRDefault="00D86A11" w:rsidP="00D86A11">
      <w:pPr>
        <w:spacing w:before="240" w:after="0"/>
        <w:rPr>
          <w:rFonts w:ascii="Franklin Gothic Book" w:hAnsi="Franklin Gothic Book"/>
          <w:color w:val="auto"/>
          <w:spacing w:val="20"/>
          <w:szCs w:val="28"/>
        </w:rPr>
      </w:pPr>
      <w:r w:rsidRPr="00FE7D08">
        <w:rPr>
          <w:rFonts w:ascii="Franklin Gothic Book" w:hAnsi="Franklin Gothic Book"/>
          <w:b/>
          <w:color w:val="auto"/>
          <w:spacing w:val="20"/>
          <w:szCs w:val="28"/>
        </w:rPr>
        <w:t>Race/Ethnicity:</w:t>
      </w:r>
      <w:r w:rsidRPr="00FE7D08">
        <w:rPr>
          <w:rFonts w:ascii="Franklin Gothic Book" w:hAnsi="Franklin Gothic Book"/>
          <w:color w:val="auto"/>
          <w:spacing w:val="20"/>
          <w:szCs w:val="28"/>
        </w:rPr>
        <w:t xml:space="preserve"> In 2015, the percent of children with monthly caseworker visits in the child’s placement residence ranged from 61.0% for Native American children to 69.1% for Black children. </w:t>
      </w:r>
    </w:p>
    <w:p w:rsidR="00D86A11" w:rsidRPr="00FE7D08" w:rsidRDefault="00D86A11" w:rsidP="00D86A11">
      <w:pPr>
        <w:spacing w:before="240" w:after="0"/>
        <w:rPr>
          <w:rFonts w:ascii="Franklin Gothic Book" w:hAnsi="Franklin Gothic Book"/>
          <w:color w:val="auto"/>
          <w:spacing w:val="20"/>
          <w:szCs w:val="28"/>
        </w:rPr>
      </w:pPr>
      <w:r w:rsidRPr="00FE7D08">
        <w:rPr>
          <w:rFonts w:ascii="Franklin Gothic Book" w:hAnsi="Franklin Gothic Book"/>
          <w:b/>
          <w:color w:val="auto"/>
          <w:spacing w:val="20"/>
          <w:szCs w:val="28"/>
        </w:rPr>
        <w:t>Age:</w:t>
      </w:r>
      <w:r w:rsidRPr="00FE7D08">
        <w:rPr>
          <w:rFonts w:ascii="Franklin Gothic Book" w:hAnsi="Franklin Gothic Book"/>
          <w:color w:val="auto"/>
          <w:spacing w:val="20"/>
          <w:szCs w:val="28"/>
        </w:rPr>
        <w:t xml:space="preserve"> The percent of children with monthly caseworker visits in the child’s placement residence ranged from 64.0% for 11-15 year olds to 73.3% for 1-2 year olds.</w:t>
      </w:r>
    </w:p>
    <w:p w:rsidR="00D86A11" w:rsidRPr="00D919B6" w:rsidRDefault="00D86A11" w:rsidP="00D86A11">
      <w:pPr>
        <w:pStyle w:val="Heading3"/>
        <w:spacing w:line="276" w:lineRule="auto"/>
        <w:rPr>
          <w:b w:val="0"/>
          <w:color w:val="auto"/>
          <w:sz w:val="22"/>
        </w:rPr>
      </w:pPr>
      <w:r w:rsidRPr="00D919B6">
        <w:rPr>
          <w:b w:val="0"/>
          <w:color w:val="auto"/>
          <w:sz w:val="22"/>
        </w:rPr>
        <w:t xml:space="preserve">One reason why </w:t>
      </w:r>
      <w:r>
        <w:rPr>
          <w:b w:val="0"/>
          <w:color w:val="auto"/>
          <w:sz w:val="22"/>
        </w:rPr>
        <w:t>the County of San Diego</w:t>
      </w:r>
      <w:r w:rsidRPr="00D919B6">
        <w:rPr>
          <w:b w:val="0"/>
          <w:color w:val="auto"/>
          <w:sz w:val="22"/>
        </w:rPr>
        <w:t>’s rate is lower than the State’s is that the County’s practice framework, SET, encourages workers to visit families in a variety of settings and to use their time effectively. Therefore, expansion of programs like Incredible Families, that combine parenting education (Incredible Years) with a parent-child visit, provide an excellent opportunity for the social worker to visit with all family members outside of the home.</w:t>
      </w:r>
    </w:p>
    <w:p w:rsidR="00D86A11" w:rsidRDefault="00D86A11" w:rsidP="00D86A11">
      <w:pPr>
        <w:spacing w:after="0"/>
        <w:rPr>
          <w:rFonts w:ascii="Calibri" w:hAnsi="Calibri" w:cs="Calibri"/>
          <w:b/>
          <w:smallCaps/>
          <w:sz w:val="24"/>
          <w:szCs w:val="24"/>
        </w:rPr>
      </w:pPr>
    </w:p>
    <w:p w:rsidR="00D86A11" w:rsidRPr="007B207E" w:rsidRDefault="00D86A11" w:rsidP="00D86A11">
      <w:pPr>
        <w:pStyle w:val="Title"/>
        <w:pBdr>
          <w:bottom w:val="none" w:sz="0" w:space="0" w:color="auto"/>
        </w:pBdr>
        <w:spacing w:after="0" w:line="276" w:lineRule="auto"/>
        <w:jc w:val="left"/>
        <w:rPr>
          <w:smallCaps w:val="0"/>
          <w:color w:val="F6872B"/>
          <w:spacing w:val="20"/>
          <w:sz w:val="24"/>
        </w:rPr>
      </w:pPr>
      <w:r w:rsidRPr="007B207E">
        <w:rPr>
          <w:smallCaps w:val="0"/>
          <w:color w:val="F6872B"/>
          <w:spacing w:val="20"/>
          <w:sz w:val="24"/>
        </w:rPr>
        <w:t>2S Monthly Visits (in home)</w:t>
      </w:r>
    </w:p>
    <w:tbl>
      <w:tblPr>
        <w:tblW w:w="9900" w:type="dxa"/>
        <w:tblBorders>
          <w:top w:val="single" w:sz="18" w:space="0" w:color="F6872B"/>
          <w:bottom w:val="single" w:sz="18" w:space="0" w:color="F6872B"/>
        </w:tblBorders>
        <w:tblLook w:val="04A0" w:firstRow="1" w:lastRow="0" w:firstColumn="1" w:lastColumn="0" w:noHBand="0" w:noVBand="1"/>
      </w:tblPr>
      <w:tblGrid>
        <w:gridCol w:w="2430"/>
        <w:gridCol w:w="1350"/>
        <w:gridCol w:w="1098"/>
        <w:gridCol w:w="1332"/>
        <w:gridCol w:w="1260"/>
        <w:gridCol w:w="1170"/>
        <w:gridCol w:w="1260"/>
      </w:tblGrid>
      <w:tr w:rsidR="00D86A11" w:rsidRPr="008E12C3">
        <w:trPr>
          <w:trHeight w:val="603"/>
        </w:trPr>
        <w:tc>
          <w:tcPr>
            <w:tcW w:w="9900" w:type="dxa"/>
            <w:gridSpan w:val="7"/>
            <w:shd w:val="clear" w:color="auto" w:fill="013161"/>
            <w:noWrap/>
          </w:tcPr>
          <w:p w:rsidR="00D86A11" w:rsidRPr="000055D1" w:rsidRDefault="00D86A11" w:rsidP="00D86A11">
            <w:pPr>
              <w:spacing w:after="0" w:line="240" w:lineRule="auto"/>
              <w:jc w:val="center"/>
              <w:rPr>
                <w:rFonts w:ascii="Calibri" w:eastAsia="Times New Roman" w:hAnsi="Calibri" w:cs="Arial"/>
                <w:color w:val="FFFFFF"/>
              </w:rPr>
            </w:pPr>
            <w:r>
              <w:rPr>
                <w:rFonts w:ascii="Calibri" w:hAnsi="Calibri" w:cs="Calibri"/>
                <w:b/>
                <w:color w:val="FFFFFF"/>
                <w:sz w:val="24"/>
              </w:rPr>
              <w:t>Exhibit 66. County of San Diego</w:t>
            </w:r>
            <w:r w:rsidRPr="004C6FE7">
              <w:rPr>
                <w:rFonts w:ascii="Calibri" w:hAnsi="Calibri" w:cs="Calibri"/>
                <w:b/>
                <w:color w:val="FFFFFF"/>
                <w:sz w:val="24"/>
              </w:rPr>
              <w:t xml:space="preserve"> Monthly Visits by Year (in home)</w:t>
            </w:r>
            <w:r w:rsidRPr="000055D1">
              <w:rPr>
                <w:rFonts w:ascii="Calibri" w:hAnsi="Calibri" w:cs="Calibri"/>
                <w:color w:val="FFFFFF"/>
              </w:rPr>
              <w:br/>
              <w:t>California at 81.9%</w:t>
            </w:r>
          </w:p>
        </w:tc>
      </w:tr>
      <w:tr w:rsidR="00D86A11" w:rsidRPr="008E12C3">
        <w:trPr>
          <w:trHeight w:val="255"/>
        </w:trPr>
        <w:tc>
          <w:tcPr>
            <w:tcW w:w="2430" w:type="dxa"/>
            <w:shd w:val="clear" w:color="auto" w:fill="013161"/>
            <w:noWrap/>
          </w:tcPr>
          <w:p w:rsidR="00D86A11" w:rsidRPr="00721EF1" w:rsidRDefault="00D86A11" w:rsidP="00D86A11">
            <w:pPr>
              <w:spacing w:after="0" w:line="240" w:lineRule="auto"/>
              <w:jc w:val="right"/>
              <w:rPr>
                <w:rFonts w:ascii="Calibri" w:eastAsia="Times New Roman" w:hAnsi="Calibri" w:cs="Arial"/>
                <w:b/>
                <w:color w:val="FFFFFF"/>
              </w:rPr>
            </w:pPr>
          </w:p>
        </w:tc>
        <w:tc>
          <w:tcPr>
            <w:tcW w:w="135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2010</w:t>
            </w:r>
          </w:p>
        </w:tc>
        <w:tc>
          <w:tcPr>
            <w:tcW w:w="1098"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2011</w:t>
            </w:r>
          </w:p>
        </w:tc>
        <w:tc>
          <w:tcPr>
            <w:tcW w:w="1332"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2012</w:t>
            </w:r>
          </w:p>
        </w:tc>
        <w:tc>
          <w:tcPr>
            <w:tcW w:w="126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2013</w:t>
            </w:r>
          </w:p>
        </w:tc>
        <w:tc>
          <w:tcPr>
            <w:tcW w:w="117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2014</w:t>
            </w:r>
          </w:p>
        </w:tc>
        <w:tc>
          <w:tcPr>
            <w:tcW w:w="126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2015</w:t>
            </w:r>
          </w:p>
        </w:tc>
      </w:tr>
      <w:tr w:rsidR="00D86A11" w:rsidRPr="008E12C3">
        <w:trPr>
          <w:trHeight w:val="255"/>
        </w:trPr>
        <w:tc>
          <w:tcPr>
            <w:tcW w:w="2430" w:type="dxa"/>
            <w:shd w:val="clear" w:color="auto" w:fill="auto"/>
            <w:noWrap/>
          </w:tcPr>
          <w:p w:rsidR="00D86A11" w:rsidRPr="004C6FE7" w:rsidRDefault="00D86A11" w:rsidP="00D86A11">
            <w:pPr>
              <w:spacing w:after="0" w:line="240" w:lineRule="auto"/>
              <w:rPr>
                <w:rFonts w:ascii="Calibri" w:eastAsia="Times New Roman" w:hAnsi="Calibri" w:cs="Arial"/>
                <w:b/>
                <w:color w:val="013161"/>
              </w:rPr>
            </w:pPr>
            <w:r w:rsidRPr="004C6FE7">
              <w:rPr>
                <w:rFonts w:ascii="Calibri" w:eastAsia="Times New Roman" w:hAnsi="Calibri" w:cs="Arial"/>
                <w:b/>
                <w:color w:val="013161"/>
              </w:rPr>
              <w:t>Months with visits (%)</w:t>
            </w:r>
          </w:p>
        </w:tc>
        <w:tc>
          <w:tcPr>
            <w:tcW w:w="1350" w:type="dxa"/>
            <w:shd w:val="clear" w:color="auto" w:fill="auto"/>
            <w:noWrap/>
          </w:tcPr>
          <w:p w:rsidR="00D86A11" w:rsidRPr="000055D1" w:rsidRDefault="00D86A11" w:rsidP="00D86A11">
            <w:pPr>
              <w:spacing w:after="0" w:line="240" w:lineRule="auto"/>
              <w:jc w:val="center"/>
              <w:rPr>
                <w:rFonts w:ascii="Calibri" w:eastAsia="Times New Roman" w:hAnsi="Calibri" w:cs="Arial"/>
                <w:b/>
                <w:color w:val="013161"/>
              </w:rPr>
            </w:pPr>
            <w:r w:rsidRPr="000055D1">
              <w:rPr>
                <w:rFonts w:ascii="Calibri" w:eastAsia="Times New Roman" w:hAnsi="Calibri" w:cs="Arial"/>
                <w:b/>
                <w:color w:val="013161"/>
              </w:rPr>
              <w:t>81.9</w:t>
            </w:r>
          </w:p>
        </w:tc>
        <w:tc>
          <w:tcPr>
            <w:tcW w:w="1098" w:type="dxa"/>
            <w:shd w:val="clear" w:color="auto" w:fill="auto"/>
            <w:noWrap/>
          </w:tcPr>
          <w:p w:rsidR="00D86A11" w:rsidRPr="000055D1" w:rsidRDefault="00D86A11" w:rsidP="00D86A11">
            <w:pPr>
              <w:spacing w:after="0" w:line="240" w:lineRule="auto"/>
              <w:jc w:val="center"/>
              <w:rPr>
                <w:rFonts w:ascii="Calibri" w:eastAsia="Times New Roman" w:hAnsi="Calibri" w:cs="Arial"/>
                <w:b/>
                <w:color w:val="013161"/>
              </w:rPr>
            </w:pPr>
            <w:r w:rsidRPr="000055D1">
              <w:rPr>
                <w:rFonts w:ascii="Calibri" w:eastAsia="Times New Roman" w:hAnsi="Calibri" w:cs="Arial"/>
                <w:b/>
                <w:color w:val="013161"/>
              </w:rPr>
              <w:t>81.1</w:t>
            </w:r>
          </w:p>
        </w:tc>
        <w:tc>
          <w:tcPr>
            <w:tcW w:w="1332" w:type="dxa"/>
            <w:shd w:val="clear" w:color="auto" w:fill="auto"/>
            <w:noWrap/>
          </w:tcPr>
          <w:p w:rsidR="00D86A11" w:rsidRPr="000055D1" w:rsidRDefault="00D86A11" w:rsidP="00D86A11">
            <w:pPr>
              <w:spacing w:after="0" w:line="240" w:lineRule="auto"/>
              <w:jc w:val="center"/>
              <w:rPr>
                <w:rFonts w:ascii="Calibri" w:eastAsia="Times New Roman" w:hAnsi="Calibri" w:cs="Arial"/>
                <w:b/>
                <w:color w:val="013161"/>
              </w:rPr>
            </w:pPr>
            <w:r w:rsidRPr="000055D1">
              <w:rPr>
                <w:rFonts w:ascii="Calibri" w:eastAsia="Times New Roman" w:hAnsi="Calibri" w:cs="Arial"/>
                <w:b/>
                <w:color w:val="013161"/>
              </w:rPr>
              <w:t>81.9</w:t>
            </w:r>
          </w:p>
        </w:tc>
        <w:tc>
          <w:tcPr>
            <w:tcW w:w="1260" w:type="dxa"/>
            <w:shd w:val="clear" w:color="auto" w:fill="auto"/>
            <w:noWrap/>
          </w:tcPr>
          <w:p w:rsidR="00D86A11" w:rsidRPr="000055D1" w:rsidRDefault="00D86A11" w:rsidP="00D86A11">
            <w:pPr>
              <w:spacing w:after="0" w:line="240" w:lineRule="auto"/>
              <w:jc w:val="center"/>
              <w:rPr>
                <w:rFonts w:ascii="Calibri" w:eastAsia="Times New Roman" w:hAnsi="Calibri" w:cs="Arial"/>
                <w:b/>
                <w:color w:val="013161"/>
              </w:rPr>
            </w:pPr>
            <w:r w:rsidRPr="000055D1">
              <w:rPr>
                <w:rFonts w:ascii="Calibri" w:eastAsia="Times New Roman" w:hAnsi="Calibri" w:cs="Arial"/>
                <w:b/>
                <w:color w:val="013161"/>
              </w:rPr>
              <w:t>81.9</w:t>
            </w:r>
          </w:p>
        </w:tc>
        <w:tc>
          <w:tcPr>
            <w:tcW w:w="1170" w:type="dxa"/>
            <w:shd w:val="clear" w:color="auto" w:fill="auto"/>
            <w:noWrap/>
          </w:tcPr>
          <w:p w:rsidR="00D86A11" w:rsidRPr="000055D1" w:rsidRDefault="00D86A11" w:rsidP="00D86A11">
            <w:pPr>
              <w:spacing w:after="0" w:line="240" w:lineRule="auto"/>
              <w:jc w:val="center"/>
              <w:rPr>
                <w:rFonts w:ascii="Calibri" w:eastAsia="Times New Roman" w:hAnsi="Calibri" w:cs="Arial"/>
                <w:b/>
                <w:color w:val="013161"/>
              </w:rPr>
            </w:pPr>
            <w:r w:rsidRPr="000055D1">
              <w:rPr>
                <w:rFonts w:ascii="Calibri" w:eastAsia="Times New Roman" w:hAnsi="Calibri" w:cs="Arial"/>
                <w:b/>
                <w:color w:val="013161"/>
              </w:rPr>
              <w:t>80.6</w:t>
            </w:r>
          </w:p>
        </w:tc>
        <w:tc>
          <w:tcPr>
            <w:tcW w:w="1260" w:type="dxa"/>
            <w:shd w:val="clear" w:color="auto" w:fill="auto"/>
            <w:noWrap/>
          </w:tcPr>
          <w:p w:rsidR="00D86A11" w:rsidRPr="000055D1" w:rsidRDefault="00D86A11" w:rsidP="00D86A11">
            <w:pPr>
              <w:spacing w:after="0" w:line="240" w:lineRule="auto"/>
              <w:jc w:val="center"/>
              <w:rPr>
                <w:rFonts w:ascii="Calibri" w:eastAsia="Times New Roman" w:hAnsi="Calibri" w:cs="Arial"/>
                <w:b/>
                <w:color w:val="013161"/>
              </w:rPr>
            </w:pPr>
            <w:r w:rsidRPr="000055D1">
              <w:rPr>
                <w:rFonts w:ascii="Calibri" w:eastAsia="Times New Roman" w:hAnsi="Calibri" w:cs="Arial"/>
                <w:b/>
                <w:color w:val="013161"/>
              </w:rPr>
              <w:t>80.2</w:t>
            </w:r>
          </w:p>
        </w:tc>
      </w:tr>
    </w:tbl>
    <w:p w:rsidR="00D86A11" w:rsidRPr="007B207E" w:rsidRDefault="00D86A11" w:rsidP="00D86A11">
      <w:pPr>
        <w:pStyle w:val="Heading1"/>
        <w:rPr>
          <w:color w:val="2E7029"/>
          <w:sz w:val="24"/>
        </w:rPr>
      </w:pPr>
      <w:r w:rsidRPr="007B207E">
        <w:rPr>
          <w:color w:val="2E7029"/>
          <w:sz w:val="24"/>
        </w:rPr>
        <w:t xml:space="preserve">Analysis </w:t>
      </w:r>
    </w:p>
    <w:p w:rsidR="00D86A11" w:rsidRPr="00D919B6" w:rsidRDefault="00D86A11" w:rsidP="00D86A11">
      <w:pPr>
        <w:pStyle w:val="Title"/>
        <w:pBdr>
          <w:bottom w:val="none" w:sz="0" w:space="0" w:color="auto"/>
        </w:pBdr>
        <w:spacing w:after="0" w:line="276" w:lineRule="auto"/>
        <w:jc w:val="left"/>
        <w:rPr>
          <w:b w:val="0"/>
          <w:smallCaps w:val="0"/>
          <w:color w:val="auto"/>
          <w:spacing w:val="20"/>
          <w:sz w:val="22"/>
        </w:rPr>
      </w:pPr>
      <w:r w:rsidRPr="00D919B6">
        <w:rPr>
          <w:b w:val="0"/>
          <w:smallCaps w:val="0"/>
          <w:color w:val="auto"/>
          <w:spacing w:val="20"/>
          <w:sz w:val="22"/>
        </w:rPr>
        <w:lastRenderedPageBreak/>
        <w:t>This measure calculates the percent of children receiving in-home services, who were required to have an in-person contact with a social worker, and who had at least one in-person contact during the month.</w:t>
      </w:r>
    </w:p>
    <w:p w:rsidR="00D86A11" w:rsidRPr="00D919B6" w:rsidRDefault="00D86A11" w:rsidP="00D86A11">
      <w:pPr>
        <w:spacing w:before="240" w:after="0"/>
        <w:rPr>
          <w:rFonts w:ascii="Franklin Gothic Book" w:hAnsi="Franklin Gothic Book"/>
          <w:color w:val="auto"/>
          <w:spacing w:val="20"/>
          <w:szCs w:val="28"/>
        </w:rPr>
      </w:pPr>
      <w:r w:rsidRPr="00D919B6">
        <w:rPr>
          <w:rFonts w:ascii="Franklin Gothic Book" w:hAnsi="Franklin Gothic Book"/>
          <w:b/>
          <w:color w:val="auto"/>
          <w:spacing w:val="20"/>
          <w:szCs w:val="28"/>
        </w:rPr>
        <w:t>Trends:</w:t>
      </w:r>
      <w:r w:rsidRPr="00D919B6">
        <w:rPr>
          <w:rFonts w:ascii="Franklin Gothic Book" w:hAnsi="Franklin Gothic Book"/>
          <w:color w:val="auto"/>
          <w:spacing w:val="20"/>
          <w:szCs w:val="28"/>
        </w:rPr>
        <w:t xml:space="preserve"> The County’s performance has been between 80.2% and 81.9% over the last six years and was slightly lower in 2015 than it was during the baseline year of 2010. The County’s rate in 2015 was also slightly less than the State’s rate. </w:t>
      </w:r>
    </w:p>
    <w:p w:rsidR="00D86A11" w:rsidRPr="00D919B6" w:rsidRDefault="00D86A11" w:rsidP="00D86A11">
      <w:pPr>
        <w:spacing w:before="240" w:after="0"/>
        <w:rPr>
          <w:rFonts w:ascii="Franklin Gothic Book" w:hAnsi="Franklin Gothic Book"/>
          <w:color w:val="auto"/>
          <w:spacing w:val="20"/>
          <w:szCs w:val="28"/>
        </w:rPr>
      </w:pPr>
      <w:r w:rsidRPr="00D919B6">
        <w:rPr>
          <w:rFonts w:ascii="Franklin Gothic Book" w:hAnsi="Franklin Gothic Book"/>
          <w:b/>
          <w:color w:val="auto"/>
          <w:spacing w:val="20"/>
          <w:szCs w:val="28"/>
        </w:rPr>
        <w:t>Race/Ethnicity:</w:t>
      </w:r>
      <w:r w:rsidRPr="00D919B6">
        <w:rPr>
          <w:rFonts w:ascii="Franklin Gothic Book" w:hAnsi="Franklin Gothic Book"/>
          <w:color w:val="auto"/>
          <w:spacing w:val="20"/>
          <w:szCs w:val="28"/>
        </w:rPr>
        <w:t xml:space="preserve"> In 2015, the percent of children receiving in-home services who received a monthly caseworker visit ranged from 69.6% for Native American children to 82.8% for Latino children. </w:t>
      </w:r>
    </w:p>
    <w:p w:rsidR="00D86A11" w:rsidRPr="00D919B6" w:rsidRDefault="00D86A11" w:rsidP="00D86A11">
      <w:pPr>
        <w:spacing w:before="240" w:after="0"/>
        <w:rPr>
          <w:rFonts w:ascii="Franklin Gothic Book" w:hAnsi="Franklin Gothic Book"/>
          <w:color w:val="auto"/>
          <w:spacing w:val="20"/>
          <w:szCs w:val="28"/>
        </w:rPr>
      </w:pPr>
      <w:r w:rsidRPr="00D919B6">
        <w:rPr>
          <w:rFonts w:ascii="Franklin Gothic Book" w:hAnsi="Franklin Gothic Book"/>
          <w:b/>
          <w:color w:val="auto"/>
          <w:spacing w:val="20"/>
          <w:szCs w:val="28"/>
        </w:rPr>
        <w:t>Age:</w:t>
      </w:r>
      <w:r w:rsidRPr="00D919B6">
        <w:rPr>
          <w:rFonts w:ascii="Franklin Gothic Book" w:hAnsi="Franklin Gothic Book"/>
          <w:color w:val="auto"/>
          <w:spacing w:val="20"/>
          <w:szCs w:val="28"/>
        </w:rPr>
        <w:t xml:space="preserve"> The percent of children who received a monthly caseworker visit ranged from 55.2% for 16-17 year olds to 95.4% for children under the age of one. </w:t>
      </w:r>
    </w:p>
    <w:p w:rsidR="00D86A11" w:rsidRPr="00D919B6" w:rsidRDefault="00D86A11" w:rsidP="00D86A11">
      <w:pPr>
        <w:pStyle w:val="Heading3"/>
        <w:spacing w:line="276" w:lineRule="auto"/>
        <w:rPr>
          <w:b w:val="0"/>
          <w:color w:val="auto"/>
          <w:sz w:val="22"/>
        </w:rPr>
      </w:pPr>
      <w:r w:rsidRPr="00D919B6">
        <w:rPr>
          <w:b w:val="0"/>
          <w:color w:val="auto"/>
          <w:sz w:val="22"/>
        </w:rPr>
        <w:t xml:space="preserve">Performance on this measure may be impacted by the Voluntary cases that are included in the data. Because there is no court involvement, families with Voluntary cases sometimes are less engaged. Without court intervention, there is less incentive for them to participate fully in their case plan and it is sometimes hard to schedule monthly visits. </w:t>
      </w:r>
    </w:p>
    <w:p w:rsidR="00D86A11" w:rsidRPr="00AB72B0" w:rsidRDefault="00D86A11" w:rsidP="00D86A11">
      <w:pPr>
        <w:pStyle w:val="Title"/>
        <w:pBdr>
          <w:bottom w:val="none" w:sz="0" w:space="0" w:color="auto"/>
        </w:pBdr>
        <w:spacing w:after="0" w:line="276" w:lineRule="auto"/>
        <w:jc w:val="left"/>
        <w:rPr>
          <w:rFonts w:ascii="Calibri" w:hAnsi="Calibri" w:cs="Calibri"/>
          <w:b w:val="0"/>
          <w:color w:val="auto"/>
          <w:sz w:val="24"/>
          <w:szCs w:val="24"/>
        </w:rPr>
      </w:pPr>
    </w:p>
    <w:p w:rsidR="00D86A11" w:rsidRPr="009506A8" w:rsidRDefault="00D86A11" w:rsidP="00D86A11">
      <w:pPr>
        <w:pStyle w:val="Title"/>
        <w:pBdr>
          <w:bottom w:val="none" w:sz="0" w:space="0" w:color="auto"/>
        </w:pBdr>
        <w:spacing w:after="0" w:line="276" w:lineRule="auto"/>
        <w:jc w:val="left"/>
        <w:rPr>
          <w:smallCaps w:val="0"/>
          <w:color w:val="F6872B"/>
          <w:spacing w:val="20"/>
          <w:sz w:val="24"/>
        </w:rPr>
      </w:pPr>
      <w:r w:rsidRPr="009506A8">
        <w:rPr>
          <w:smallCaps w:val="0"/>
          <w:color w:val="F6872B"/>
          <w:spacing w:val="20"/>
          <w:sz w:val="24"/>
        </w:rPr>
        <w:t>2S Monthly Visits in Residence (in home)</w:t>
      </w:r>
    </w:p>
    <w:tbl>
      <w:tblPr>
        <w:tblW w:w="9920" w:type="dxa"/>
        <w:tblBorders>
          <w:top w:val="single" w:sz="18" w:space="0" w:color="F6872B"/>
          <w:bottom w:val="single" w:sz="18" w:space="0" w:color="F6872B"/>
        </w:tblBorders>
        <w:tblLook w:val="04A0" w:firstRow="1" w:lastRow="0" w:firstColumn="1" w:lastColumn="0" w:noHBand="0" w:noVBand="1"/>
      </w:tblPr>
      <w:tblGrid>
        <w:gridCol w:w="3438"/>
        <w:gridCol w:w="990"/>
        <w:gridCol w:w="900"/>
        <w:gridCol w:w="1170"/>
        <w:gridCol w:w="1170"/>
        <w:gridCol w:w="1260"/>
        <w:gridCol w:w="992"/>
      </w:tblGrid>
      <w:tr w:rsidR="00D86A11" w:rsidRPr="002E3D5C">
        <w:trPr>
          <w:trHeight w:val="603"/>
        </w:trPr>
        <w:tc>
          <w:tcPr>
            <w:tcW w:w="9920" w:type="dxa"/>
            <w:gridSpan w:val="7"/>
            <w:shd w:val="clear" w:color="auto" w:fill="013161"/>
            <w:noWrap/>
          </w:tcPr>
          <w:p w:rsidR="00D86A11" w:rsidRPr="000055D1" w:rsidRDefault="00D86A11" w:rsidP="00D86A11">
            <w:pPr>
              <w:spacing w:after="0" w:line="240" w:lineRule="auto"/>
              <w:jc w:val="center"/>
              <w:rPr>
                <w:rFonts w:ascii="Calibri" w:eastAsia="Times New Roman" w:hAnsi="Calibri" w:cs="Arial"/>
                <w:color w:val="FFFFFF"/>
                <w:sz w:val="24"/>
              </w:rPr>
            </w:pPr>
            <w:r>
              <w:rPr>
                <w:rFonts w:ascii="Calibri" w:hAnsi="Calibri" w:cs="Calibri"/>
                <w:b/>
                <w:color w:val="FFFFFF"/>
                <w:sz w:val="24"/>
              </w:rPr>
              <w:t>Exhibit 67. County of San Diego</w:t>
            </w:r>
            <w:r w:rsidRPr="000055D1">
              <w:rPr>
                <w:rFonts w:ascii="Calibri" w:hAnsi="Calibri" w:cs="Calibri"/>
                <w:b/>
                <w:color w:val="FFFFFF"/>
                <w:sz w:val="24"/>
              </w:rPr>
              <w:t xml:space="preserve"> Monthly Visits in Residence by Year (in home)</w:t>
            </w:r>
            <w:r w:rsidRPr="000055D1">
              <w:rPr>
                <w:rFonts w:ascii="Calibri" w:hAnsi="Calibri" w:cs="Calibri"/>
                <w:color w:val="FFFFFF"/>
                <w:sz w:val="24"/>
              </w:rPr>
              <w:br/>
            </w:r>
            <w:r w:rsidRPr="004C6FE7">
              <w:rPr>
                <w:rFonts w:ascii="Calibri" w:hAnsi="Calibri" w:cs="Calibri"/>
                <w:color w:val="FFFFFF"/>
              </w:rPr>
              <w:t>California at 76.1%</w:t>
            </w:r>
          </w:p>
        </w:tc>
      </w:tr>
      <w:tr w:rsidR="00D86A11" w:rsidRPr="002E3D5C">
        <w:trPr>
          <w:trHeight w:val="255"/>
        </w:trPr>
        <w:tc>
          <w:tcPr>
            <w:tcW w:w="3438" w:type="dxa"/>
            <w:shd w:val="clear" w:color="auto" w:fill="DBE5F1"/>
            <w:noWrap/>
          </w:tcPr>
          <w:p w:rsidR="00D86A11" w:rsidRPr="00E415BF" w:rsidRDefault="00D86A11" w:rsidP="00D86A11">
            <w:pPr>
              <w:spacing w:after="0" w:line="240" w:lineRule="auto"/>
              <w:jc w:val="right"/>
              <w:rPr>
                <w:rFonts w:ascii="Calibri" w:eastAsia="Times New Roman" w:hAnsi="Calibri" w:cs="Arial"/>
                <w:b/>
                <w:color w:val="013161"/>
              </w:rPr>
            </w:pPr>
          </w:p>
        </w:tc>
        <w:tc>
          <w:tcPr>
            <w:tcW w:w="990" w:type="dxa"/>
            <w:shd w:val="clear" w:color="auto" w:fill="DBE5F1"/>
            <w:noWrap/>
          </w:tcPr>
          <w:p w:rsidR="00D86A11" w:rsidRPr="00E415BF" w:rsidRDefault="00D86A11" w:rsidP="00D86A11">
            <w:pPr>
              <w:spacing w:after="0" w:line="240" w:lineRule="auto"/>
              <w:jc w:val="center"/>
              <w:rPr>
                <w:rFonts w:ascii="Calibri" w:eastAsia="Times New Roman" w:hAnsi="Calibri" w:cs="Arial"/>
                <w:b/>
                <w:color w:val="013161"/>
              </w:rPr>
            </w:pPr>
            <w:r w:rsidRPr="00E415BF">
              <w:rPr>
                <w:rFonts w:ascii="Calibri" w:eastAsia="Times New Roman" w:hAnsi="Calibri" w:cs="Arial"/>
                <w:b/>
                <w:color w:val="013161"/>
              </w:rPr>
              <w:t>2010</w:t>
            </w:r>
          </w:p>
        </w:tc>
        <w:tc>
          <w:tcPr>
            <w:tcW w:w="900" w:type="dxa"/>
            <w:shd w:val="clear" w:color="auto" w:fill="DBE5F1"/>
            <w:noWrap/>
          </w:tcPr>
          <w:p w:rsidR="00D86A11" w:rsidRPr="00E415BF" w:rsidRDefault="00D86A11" w:rsidP="00D86A11">
            <w:pPr>
              <w:spacing w:after="0" w:line="240" w:lineRule="auto"/>
              <w:jc w:val="center"/>
              <w:rPr>
                <w:rFonts w:ascii="Calibri" w:eastAsia="Times New Roman" w:hAnsi="Calibri" w:cs="Arial"/>
                <w:b/>
                <w:color w:val="013161"/>
              </w:rPr>
            </w:pPr>
            <w:r w:rsidRPr="00E415BF">
              <w:rPr>
                <w:rFonts w:ascii="Calibri" w:eastAsia="Times New Roman" w:hAnsi="Calibri" w:cs="Arial"/>
                <w:b/>
                <w:color w:val="013161"/>
              </w:rPr>
              <w:t>2011</w:t>
            </w:r>
          </w:p>
        </w:tc>
        <w:tc>
          <w:tcPr>
            <w:tcW w:w="1170" w:type="dxa"/>
            <w:shd w:val="clear" w:color="auto" w:fill="DBE5F1"/>
            <w:noWrap/>
          </w:tcPr>
          <w:p w:rsidR="00D86A11" w:rsidRPr="00E415BF" w:rsidRDefault="00D86A11" w:rsidP="00D86A11">
            <w:pPr>
              <w:spacing w:after="0" w:line="240" w:lineRule="auto"/>
              <w:jc w:val="center"/>
              <w:rPr>
                <w:rFonts w:ascii="Calibri" w:eastAsia="Times New Roman" w:hAnsi="Calibri" w:cs="Arial"/>
                <w:b/>
                <w:color w:val="013161"/>
              </w:rPr>
            </w:pPr>
            <w:r w:rsidRPr="00E415BF">
              <w:rPr>
                <w:rFonts w:ascii="Calibri" w:eastAsia="Times New Roman" w:hAnsi="Calibri" w:cs="Arial"/>
                <w:b/>
                <w:color w:val="013161"/>
              </w:rPr>
              <w:t>2012</w:t>
            </w:r>
          </w:p>
        </w:tc>
        <w:tc>
          <w:tcPr>
            <w:tcW w:w="1170" w:type="dxa"/>
            <w:shd w:val="clear" w:color="auto" w:fill="DBE5F1"/>
            <w:noWrap/>
          </w:tcPr>
          <w:p w:rsidR="00D86A11" w:rsidRPr="00E415BF" w:rsidRDefault="00D86A11" w:rsidP="00D86A11">
            <w:pPr>
              <w:spacing w:after="0" w:line="240" w:lineRule="auto"/>
              <w:jc w:val="center"/>
              <w:rPr>
                <w:rFonts w:ascii="Calibri" w:eastAsia="Times New Roman" w:hAnsi="Calibri" w:cs="Arial"/>
                <w:b/>
                <w:color w:val="013161"/>
              </w:rPr>
            </w:pPr>
            <w:r w:rsidRPr="00E415BF">
              <w:rPr>
                <w:rFonts w:ascii="Calibri" w:eastAsia="Times New Roman" w:hAnsi="Calibri" w:cs="Arial"/>
                <w:b/>
                <w:color w:val="013161"/>
              </w:rPr>
              <w:t>2013</w:t>
            </w:r>
          </w:p>
        </w:tc>
        <w:tc>
          <w:tcPr>
            <w:tcW w:w="1260" w:type="dxa"/>
            <w:shd w:val="clear" w:color="auto" w:fill="DBE5F1"/>
            <w:noWrap/>
          </w:tcPr>
          <w:p w:rsidR="00D86A11" w:rsidRPr="00E415BF" w:rsidRDefault="00D86A11" w:rsidP="00D86A11">
            <w:pPr>
              <w:spacing w:after="0" w:line="240" w:lineRule="auto"/>
              <w:jc w:val="center"/>
              <w:rPr>
                <w:rFonts w:ascii="Calibri" w:eastAsia="Times New Roman" w:hAnsi="Calibri" w:cs="Arial"/>
                <w:b/>
                <w:color w:val="013161"/>
              </w:rPr>
            </w:pPr>
            <w:r w:rsidRPr="00E415BF">
              <w:rPr>
                <w:rFonts w:ascii="Calibri" w:eastAsia="Times New Roman" w:hAnsi="Calibri" w:cs="Arial"/>
                <w:b/>
                <w:color w:val="013161"/>
              </w:rPr>
              <w:t>2014</w:t>
            </w:r>
          </w:p>
        </w:tc>
        <w:tc>
          <w:tcPr>
            <w:tcW w:w="992" w:type="dxa"/>
            <w:shd w:val="clear" w:color="auto" w:fill="DBE5F1"/>
            <w:noWrap/>
          </w:tcPr>
          <w:p w:rsidR="00D86A11" w:rsidRPr="00E415BF" w:rsidRDefault="00D86A11" w:rsidP="00D86A11">
            <w:pPr>
              <w:spacing w:after="0" w:line="240" w:lineRule="auto"/>
              <w:jc w:val="center"/>
              <w:rPr>
                <w:rFonts w:ascii="Calibri" w:eastAsia="Times New Roman" w:hAnsi="Calibri" w:cs="Arial"/>
                <w:b/>
                <w:color w:val="013161"/>
                <w:sz w:val="24"/>
              </w:rPr>
            </w:pPr>
            <w:r w:rsidRPr="00E415BF">
              <w:rPr>
                <w:rFonts w:ascii="Calibri" w:eastAsia="Times New Roman" w:hAnsi="Calibri" w:cs="Arial"/>
                <w:b/>
                <w:color w:val="013161"/>
              </w:rPr>
              <w:t>2015</w:t>
            </w:r>
          </w:p>
        </w:tc>
      </w:tr>
      <w:tr w:rsidR="00D86A11" w:rsidRPr="002E3D5C">
        <w:trPr>
          <w:trHeight w:val="255"/>
        </w:trPr>
        <w:tc>
          <w:tcPr>
            <w:tcW w:w="3438" w:type="dxa"/>
            <w:shd w:val="clear" w:color="auto" w:fill="auto"/>
            <w:noWrap/>
          </w:tcPr>
          <w:p w:rsidR="00D86A11" w:rsidRPr="00E415BF" w:rsidRDefault="00D86A11" w:rsidP="00D86A11">
            <w:pPr>
              <w:spacing w:after="0" w:line="240" w:lineRule="auto"/>
              <w:rPr>
                <w:rFonts w:ascii="Calibri" w:eastAsia="Times New Roman" w:hAnsi="Calibri" w:cs="Arial"/>
                <w:b/>
                <w:color w:val="013161"/>
              </w:rPr>
            </w:pPr>
            <w:r w:rsidRPr="00E415BF">
              <w:rPr>
                <w:rFonts w:ascii="Calibri" w:eastAsia="Times New Roman" w:hAnsi="Calibri" w:cs="Arial"/>
                <w:b/>
                <w:color w:val="013161"/>
              </w:rPr>
              <w:t>Months with visits in residence (%)</w:t>
            </w:r>
          </w:p>
        </w:tc>
        <w:tc>
          <w:tcPr>
            <w:tcW w:w="990" w:type="dxa"/>
            <w:shd w:val="clear" w:color="auto" w:fill="auto"/>
            <w:noWrap/>
          </w:tcPr>
          <w:p w:rsidR="00D86A11" w:rsidRPr="000055D1" w:rsidRDefault="00D86A11" w:rsidP="00D86A11">
            <w:pPr>
              <w:spacing w:after="0" w:line="240" w:lineRule="auto"/>
              <w:jc w:val="center"/>
              <w:rPr>
                <w:rFonts w:ascii="Calibri" w:eastAsia="Times New Roman" w:hAnsi="Calibri" w:cs="Arial"/>
                <w:b/>
                <w:color w:val="013161"/>
              </w:rPr>
            </w:pPr>
            <w:r w:rsidRPr="000055D1">
              <w:rPr>
                <w:rFonts w:ascii="Calibri" w:eastAsia="Times New Roman" w:hAnsi="Calibri" w:cs="Arial"/>
                <w:b/>
                <w:color w:val="013161"/>
              </w:rPr>
              <w:t>71.9</w:t>
            </w:r>
          </w:p>
        </w:tc>
        <w:tc>
          <w:tcPr>
            <w:tcW w:w="900" w:type="dxa"/>
            <w:shd w:val="clear" w:color="auto" w:fill="auto"/>
            <w:noWrap/>
          </w:tcPr>
          <w:p w:rsidR="00D86A11" w:rsidRPr="000055D1" w:rsidRDefault="00D86A11" w:rsidP="00D86A11">
            <w:pPr>
              <w:spacing w:after="0" w:line="240" w:lineRule="auto"/>
              <w:jc w:val="center"/>
              <w:rPr>
                <w:rFonts w:ascii="Calibri" w:eastAsia="Times New Roman" w:hAnsi="Calibri" w:cs="Arial"/>
                <w:b/>
                <w:color w:val="013161"/>
              </w:rPr>
            </w:pPr>
            <w:r w:rsidRPr="000055D1">
              <w:rPr>
                <w:rFonts w:ascii="Calibri" w:eastAsia="Times New Roman" w:hAnsi="Calibri" w:cs="Arial"/>
                <w:b/>
                <w:color w:val="013161"/>
              </w:rPr>
              <w:t>68.8</w:t>
            </w:r>
          </w:p>
        </w:tc>
        <w:tc>
          <w:tcPr>
            <w:tcW w:w="1170" w:type="dxa"/>
            <w:shd w:val="clear" w:color="auto" w:fill="auto"/>
            <w:noWrap/>
          </w:tcPr>
          <w:p w:rsidR="00D86A11" w:rsidRPr="000055D1" w:rsidRDefault="00D86A11" w:rsidP="00D86A11">
            <w:pPr>
              <w:spacing w:after="0" w:line="240" w:lineRule="auto"/>
              <w:jc w:val="center"/>
              <w:rPr>
                <w:rFonts w:ascii="Calibri" w:eastAsia="Times New Roman" w:hAnsi="Calibri" w:cs="Arial"/>
                <w:b/>
                <w:color w:val="013161"/>
              </w:rPr>
            </w:pPr>
            <w:r w:rsidRPr="000055D1">
              <w:rPr>
                <w:rFonts w:ascii="Calibri" w:eastAsia="Times New Roman" w:hAnsi="Calibri" w:cs="Arial"/>
                <w:b/>
                <w:color w:val="013161"/>
              </w:rPr>
              <w:t>66.6</w:t>
            </w:r>
          </w:p>
        </w:tc>
        <w:tc>
          <w:tcPr>
            <w:tcW w:w="1170" w:type="dxa"/>
            <w:shd w:val="clear" w:color="auto" w:fill="auto"/>
            <w:noWrap/>
          </w:tcPr>
          <w:p w:rsidR="00D86A11" w:rsidRPr="000055D1" w:rsidRDefault="00D86A11" w:rsidP="00D86A11">
            <w:pPr>
              <w:spacing w:after="0" w:line="240" w:lineRule="auto"/>
              <w:jc w:val="center"/>
              <w:rPr>
                <w:rFonts w:ascii="Calibri" w:eastAsia="Times New Roman" w:hAnsi="Calibri" w:cs="Arial"/>
                <w:b/>
                <w:color w:val="013161"/>
              </w:rPr>
            </w:pPr>
            <w:r w:rsidRPr="000055D1">
              <w:rPr>
                <w:rFonts w:ascii="Calibri" w:eastAsia="Times New Roman" w:hAnsi="Calibri" w:cs="Arial"/>
                <w:b/>
                <w:color w:val="013161"/>
              </w:rPr>
              <w:t>65.0</w:t>
            </w:r>
          </w:p>
        </w:tc>
        <w:tc>
          <w:tcPr>
            <w:tcW w:w="1260" w:type="dxa"/>
            <w:shd w:val="clear" w:color="auto" w:fill="auto"/>
            <w:noWrap/>
          </w:tcPr>
          <w:p w:rsidR="00D86A11" w:rsidRPr="000055D1" w:rsidRDefault="00D86A11" w:rsidP="00D86A11">
            <w:pPr>
              <w:spacing w:after="0" w:line="240" w:lineRule="auto"/>
              <w:jc w:val="center"/>
              <w:rPr>
                <w:rFonts w:ascii="Calibri" w:eastAsia="Times New Roman" w:hAnsi="Calibri" w:cs="Arial"/>
                <w:b/>
                <w:color w:val="013161"/>
              </w:rPr>
            </w:pPr>
            <w:r w:rsidRPr="000055D1">
              <w:rPr>
                <w:rFonts w:ascii="Calibri" w:eastAsia="Times New Roman" w:hAnsi="Calibri" w:cs="Arial"/>
                <w:b/>
                <w:color w:val="013161"/>
              </w:rPr>
              <w:t>66.2</w:t>
            </w:r>
          </w:p>
        </w:tc>
        <w:tc>
          <w:tcPr>
            <w:tcW w:w="992" w:type="dxa"/>
            <w:shd w:val="clear" w:color="auto" w:fill="auto"/>
            <w:noWrap/>
          </w:tcPr>
          <w:p w:rsidR="00D86A11" w:rsidRPr="000055D1" w:rsidRDefault="00D86A11" w:rsidP="00D86A11">
            <w:pPr>
              <w:spacing w:after="0" w:line="240" w:lineRule="auto"/>
              <w:jc w:val="center"/>
              <w:rPr>
                <w:rFonts w:ascii="Calibri" w:eastAsia="Times New Roman" w:hAnsi="Calibri" w:cs="Arial"/>
                <w:b/>
                <w:color w:val="013161"/>
                <w:sz w:val="24"/>
              </w:rPr>
            </w:pPr>
            <w:r w:rsidRPr="000055D1">
              <w:rPr>
                <w:rFonts w:ascii="Calibri" w:eastAsia="Times New Roman" w:hAnsi="Calibri" w:cs="Arial"/>
                <w:b/>
                <w:color w:val="013161"/>
              </w:rPr>
              <w:t>64.2</w:t>
            </w:r>
          </w:p>
        </w:tc>
      </w:tr>
    </w:tbl>
    <w:p w:rsidR="00D86A11" w:rsidRDefault="00D86A11" w:rsidP="00D86A11">
      <w:pPr>
        <w:pStyle w:val="Heading1"/>
        <w:rPr>
          <w:rFonts w:ascii="Calibri" w:hAnsi="Calibri" w:cs="Calibri"/>
          <w:color w:val="auto"/>
          <w:szCs w:val="28"/>
        </w:rPr>
      </w:pPr>
      <w:r w:rsidRPr="009506A8">
        <w:rPr>
          <w:color w:val="2E7029"/>
          <w:sz w:val="24"/>
        </w:rPr>
        <w:t xml:space="preserve">Analysis </w:t>
      </w:r>
    </w:p>
    <w:p w:rsidR="00D86A11" w:rsidRPr="001625ED" w:rsidRDefault="00D86A11" w:rsidP="00D86A11">
      <w:pPr>
        <w:pStyle w:val="Title"/>
        <w:pBdr>
          <w:bottom w:val="none" w:sz="0" w:space="0" w:color="auto"/>
        </w:pBdr>
        <w:spacing w:after="0" w:line="276" w:lineRule="auto"/>
        <w:jc w:val="left"/>
        <w:rPr>
          <w:b w:val="0"/>
          <w:smallCaps w:val="0"/>
          <w:color w:val="auto"/>
          <w:spacing w:val="20"/>
          <w:sz w:val="22"/>
        </w:rPr>
      </w:pPr>
      <w:r w:rsidRPr="001625ED">
        <w:rPr>
          <w:b w:val="0"/>
          <w:smallCaps w:val="0"/>
          <w:color w:val="auto"/>
          <w:spacing w:val="20"/>
          <w:sz w:val="22"/>
        </w:rPr>
        <w:t>This measure calculates the percent of children receiving in home services, who were required to have an in-person contact with a social worker, and who had at least one in-person contact during the month and where at least one of the contacts was in the child’s residence.</w:t>
      </w:r>
    </w:p>
    <w:p w:rsidR="00D86A11" w:rsidRPr="001625ED" w:rsidRDefault="00D86A11" w:rsidP="00D86A11">
      <w:pPr>
        <w:spacing w:before="240" w:after="0"/>
        <w:rPr>
          <w:rFonts w:ascii="Franklin Gothic Book" w:hAnsi="Franklin Gothic Book"/>
          <w:color w:val="auto"/>
          <w:spacing w:val="20"/>
          <w:szCs w:val="28"/>
        </w:rPr>
      </w:pPr>
      <w:r w:rsidRPr="001625ED">
        <w:rPr>
          <w:rFonts w:ascii="Franklin Gothic Book" w:hAnsi="Franklin Gothic Book"/>
          <w:b/>
          <w:color w:val="auto"/>
          <w:spacing w:val="20"/>
          <w:szCs w:val="28"/>
        </w:rPr>
        <w:t>Trends:</w:t>
      </w:r>
      <w:r w:rsidRPr="001625ED">
        <w:rPr>
          <w:rFonts w:ascii="Franklin Gothic Book" w:hAnsi="Franklin Gothic Book"/>
          <w:color w:val="auto"/>
          <w:spacing w:val="20"/>
          <w:szCs w:val="28"/>
        </w:rPr>
        <w:t xml:space="preserve"> The County’s performance on this measure has decreased from 71.9% in 2010 to 64.2% in 2015 and is currently 12 percentage points lower than the State’s rate of 76.1%. </w:t>
      </w:r>
    </w:p>
    <w:p w:rsidR="00D86A11" w:rsidRPr="001625ED" w:rsidRDefault="00D86A11" w:rsidP="00D86A11">
      <w:pPr>
        <w:spacing w:before="240" w:after="0"/>
        <w:rPr>
          <w:rFonts w:ascii="Franklin Gothic Book" w:hAnsi="Franklin Gothic Book"/>
          <w:color w:val="auto"/>
          <w:spacing w:val="20"/>
          <w:szCs w:val="28"/>
        </w:rPr>
      </w:pPr>
      <w:r w:rsidRPr="001625ED">
        <w:rPr>
          <w:rFonts w:ascii="Franklin Gothic Book" w:hAnsi="Franklin Gothic Book"/>
          <w:b/>
          <w:color w:val="auto"/>
          <w:spacing w:val="20"/>
          <w:szCs w:val="28"/>
        </w:rPr>
        <w:t>Race/Ethnicity:</w:t>
      </w:r>
      <w:r w:rsidRPr="001625ED">
        <w:rPr>
          <w:rFonts w:ascii="Franklin Gothic Book" w:hAnsi="Franklin Gothic Book"/>
          <w:color w:val="auto"/>
          <w:spacing w:val="20"/>
          <w:szCs w:val="28"/>
        </w:rPr>
        <w:t xml:space="preserve"> In 2015, the percent of children with monthly caseworker visits in the child’s residence ranged from 60.2% for Black children to 68.1% for Asian/PI children. </w:t>
      </w:r>
    </w:p>
    <w:p w:rsidR="00D86A11" w:rsidRPr="001625ED" w:rsidRDefault="00D86A11" w:rsidP="00D86A11">
      <w:pPr>
        <w:spacing w:before="240" w:after="0"/>
        <w:rPr>
          <w:rFonts w:ascii="Franklin Gothic Book" w:hAnsi="Franklin Gothic Book"/>
          <w:color w:val="auto"/>
          <w:spacing w:val="20"/>
          <w:szCs w:val="28"/>
        </w:rPr>
      </w:pPr>
      <w:r w:rsidRPr="001625ED">
        <w:rPr>
          <w:rFonts w:ascii="Franklin Gothic Book" w:hAnsi="Franklin Gothic Book"/>
          <w:b/>
          <w:color w:val="auto"/>
          <w:spacing w:val="20"/>
          <w:szCs w:val="28"/>
        </w:rPr>
        <w:t>Age:</w:t>
      </w:r>
      <w:r w:rsidRPr="001625ED">
        <w:rPr>
          <w:rFonts w:ascii="Franklin Gothic Book" w:hAnsi="Franklin Gothic Book"/>
          <w:color w:val="auto"/>
          <w:spacing w:val="20"/>
          <w:szCs w:val="28"/>
        </w:rPr>
        <w:t xml:space="preserve"> The percent of children with monthly caseworker visits in the child’s residence ranged from 54.6% for 16-17 year olds to 72.3% for children under the age of one. </w:t>
      </w:r>
    </w:p>
    <w:p w:rsidR="00D86A11" w:rsidRPr="001625ED" w:rsidRDefault="00D86A11" w:rsidP="00D86A11">
      <w:pPr>
        <w:pStyle w:val="Heading3"/>
        <w:spacing w:line="276" w:lineRule="auto"/>
        <w:rPr>
          <w:b w:val="0"/>
          <w:color w:val="auto"/>
          <w:sz w:val="22"/>
        </w:rPr>
      </w:pPr>
      <w:r w:rsidRPr="001625ED">
        <w:rPr>
          <w:b w:val="0"/>
          <w:color w:val="auto"/>
          <w:sz w:val="22"/>
        </w:rPr>
        <w:t>It</w:t>
      </w:r>
      <w:r w:rsidR="00EF6408">
        <w:rPr>
          <w:b w:val="0"/>
          <w:color w:val="auto"/>
          <w:sz w:val="22"/>
        </w:rPr>
        <w:t xml:space="preserve"> i</w:t>
      </w:r>
      <w:r w:rsidRPr="001625ED">
        <w:rPr>
          <w:b w:val="0"/>
          <w:color w:val="auto"/>
          <w:sz w:val="22"/>
        </w:rPr>
        <w:t xml:space="preserve">s possible that the decline in the percentage of in-residence visits is due, in part, to the implementation of the County’s SET practice framework. One of the SET best practices is that families should be visited in a variety of settings, with at </w:t>
      </w:r>
      <w:r w:rsidRPr="001625ED">
        <w:rPr>
          <w:b w:val="0"/>
          <w:color w:val="auto"/>
          <w:sz w:val="22"/>
        </w:rPr>
        <w:lastRenderedPageBreak/>
        <w:t xml:space="preserve">least 50% of the visits occurring in the home. The data show that workers are </w:t>
      </w:r>
      <w:r w:rsidR="004D45F1">
        <w:rPr>
          <w:b w:val="0"/>
          <w:color w:val="auto"/>
          <w:sz w:val="22"/>
          <w:szCs w:val="28"/>
        </w:rPr>
        <w:t xml:space="preserve">not </w:t>
      </w:r>
      <w:r w:rsidRPr="001625ED">
        <w:rPr>
          <w:b w:val="0"/>
          <w:color w:val="auto"/>
          <w:sz w:val="22"/>
        </w:rPr>
        <w:t>meeting this goal</w:t>
      </w:r>
      <w:r w:rsidR="004D45F1">
        <w:rPr>
          <w:b w:val="0"/>
          <w:color w:val="auto"/>
          <w:sz w:val="22"/>
          <w:szCs w:val="28"/>
        </w:rPr>
        <w:t xml:space="preserve"> for the state but are meeting the goal as part of the County’s SET practice framework.</w:t>
      </w:r>
    </w:p>
    <w:p w:rsidR="00D86A11" w:rsidRDefault="00D86A11" w:rsidP="00D86A11">
      <w:pPr>
        <w:pStyle w:val="Title"/>
        <w:pBdr>
          <w:bottom w:val="none" w:sz="0" w:space="0" w:color="auto"/>
        </w:pBdr>
        <w:spacing w:after="0" w:line="276" w:lineRule="auto"/>
        <w:jc w:val="left"/>
        <w:rPr>
          <w:rFonts w:ascii="Calibri" w:hAnsi="Calibri" w:cs="Calibri"/>
          <w:color w:val="auto"/>
          <w:sz w:val="28"/>
          <w:szCs w:val="28"/>
        </w:rPr>
      </w:pPr>
    </w:p>
    <w:p w:rsidR="00EF6408" w:rsidRDefault="00EF6408" w:rsidP="00D86A11">
      <w:pPr>
        <w:pStyle w:val="Title"/>
        <w:pBdr>
          <w:bottom w:val="none" w:sz="0" w:space="0" w:color="auto"/>
        </w:pBdr>
        <w:spacing w:after="0" w:line="276" w:lineRule="auto"/>
        <w:jc w:val="left"/>
        <w:rPr>
          <w:rFonts w:ascii="Calibri" w:hAnsi="Calibri" w:cs="Calibri"/>
          <w:color w:val="auto"/>
          <w:sz w:val="28"/>
          <w:szCs w:val="28"/>
        </w:rPr>
      </w:pPr>
    </w:p>
    <w:p w:rsidR="00EF6408" w:rsidRDefault="00EF6408" w:rsidP="00D86A11">
      <w:pPr>
        <w:pStyle w:val="Title"/>
        <w:pBdr>
          <w:bottom w:val="none" w:sz="0" w:space="0" w:color="auto"/>
        </w:pBdr>
        <w:spacing w:after="0" w:line="276" w:lineRule="auto"/>
        <w:jc w:val="left"/>
        <w:rPr>
          <w:rFonts w:ascii="Calibri" w:hAnsi="Calibri" w:cs="Calibri"/>
          <w:color w:val="auto"/>
          <w:sz w:val="28"/>
          <w:szCs w:val="28"/>
        </w:rPr>
      </w:pPr>
    </w:p>
    <w:p w:rsidR="00D86A11" w:rsidRPr="005217F6" w:rsidRDefault="00D86A11" w:rsidP="00D86A11">
      <w:pPr>
        <w:spacing w:after="0"/>
        <w:contextualSpacing/>
        <w:rPr>
          <w:rFonts w:ascii="Franklin Gothic Book" w:hAnsi="Franklin Gothic Book"/>
          <w:b/>
          <w:color w:val="F6872B"/>
          <w:spacing w:val="20"/>
          <w:sz w:val="24"/>
          <w:szCs w:val="28"/>
        </w:rPr>
      </w:pPr>
      <w:r w:rsidRPr="005217F6">
        <w:rPr>
          <w:rFonts w:ascii="Franklin Gothic Book" w:hAnsi="Franklin Gothic Book"/>
          <w:b/>
          <w:color w:val="F6872B"/>
          <w:spacing w:val="20"/>
          <w:sz w:val="24"/>
          <w:szCs w:val="28"/>
        </w:rPr>
        <w:t>4A Siblings Placed Together in Foster Care (All &amp; Some or All)</w:t>
      </w:r>
    </w:p>
    <w:tbl>
      <w:tblPr>
        <w:tblW w:w="9774" w:type="dxa"/>
        <w:tblBorders>
          <w:top w:val="single" w:sz="18" w:space="0" w:color="F6872B"/>
          <w:bottom w:val="single" w:sz="18" w:space="0" w:color="F6872B"/>
        </w:tblBorders>
        <w:tblLook w:val="04A0" w:firstRow="1" w:lastRow="0" w:firstColumn="1" w:lastColumn="0" w:noHBand="0" w:noVBand="1"/>
      </w:tblPr>
      <w:tblGrid>
        <w:gridCol w:w="3156"/>
        <w:gridCol w:w="1116"/>
        <w:gridCol w:w="1116"/>
        <w:gridCol w:w="1116"/>
        <w:gridCol w:w="1090"/>
        <w:gridCol w:w="1090"/>
        <w:gridCol w:w="1090"/>
      </w:tblGrid>
      <w:tr w:rsidR="00D86A11" w:rsidRPr="00AC7754">
        <w:trPr>
          <w:trHeight w:val="756"/>
        </w:trPr>
        <w:tc>
          <w:tcPr>
            <w:tcW w:w="9774" w:type="dxa"/>
            <w:gridSpan w:val="7"/>
            <w:shd w:val="clear" w:color="auto" w:fill="013161"/>
            <w:noWrap/>
          </w:tcPr>
          <w:p w:rsidR="00D86A11" w:rsidRPr="000055D1" w:rsidRDefault="00D86A11" w:rsidP="00D86A11">
            <w:pPr>
              <w:spacing w:after="0"/>
              <w:jc w:val="center"/>
              <w:rPr>
                <w:rFonts w:ascii="Calibri" w:hAnsi="Calibri" w:cs="Calibri"/>
                <w:smallCaps/>
                <w:color w:val="FFFFFF"/>
              </w:rPr>
            </w:pPr>
            <w:r>
              <w:rPr>
                <w:rFonts w:ascii="Calibri" w:hAnsi="Calibri" w:cs="Calibri"/>
                <w:b/>
                <w:color w:val="FFFFFF"/>
                <w:sz w:val="24"/>
              </w:rPr>
              <w:t xml:space="preserve">Exhibit 68. County of San Diego </w:t>
            </w:r>
            <w:r w:rsidRPr="00E415BF">
              <w:rPr>
                <w:rFonts w:ascii="Calibri" w:hAnsi="Calibri" w:cs="Calibri"/>
                <w:b/>
                <w:color w:val="FFFFFF"/>
                <w:sz w:val="24"/>
              </w:rPr>
              <w:t xml:space="preserve"> ‘All’ Siblings Placed Together in Foster Care</w:t>
            </w:r>
            <w:r w:rsidRPr="000055D1">
              <w:rPr>
                <w:rFonts w:ascii="Calibri" w:hAnsi="Calibri" w:cs="Calibri"/>
                <w:color w:val="FFFFFF"/>
              </w:rPr>
              <w:br/>
              <w:t>California at 49.9%</w:t>
            </w:r>
          </w:p>
        </w:tc>
      </w:tr>
      <w:tr w:rsidR="00D86A11" w:rsidRPr="00AC7754">
        <w:trPr>
          <w:trHeight w:val="253"/>
        </w:trPr>
        <w:tc>
          <w:tcPr>
            <w:tcW w:w="3156" w:type="dxa"/>
            <w:shd w:val="clear" w:color="auto" w:fill="013161"/>
            <w:noWrap/>
          </w:tcPr>
          <w:p w:rsidR="00D86A11" w:rsidRPr="00721EF1" w:rsidRDefault="00D86A11" w:rsidP="00D86A11">
            <w:pPr>
              <w:spacing w:after="0"/>
              <w:rPr>
                <w:rFonts w:ascii="Calibri" w:hAnsi="Calibri" w:cs="Calibri"/>
                <w:b/>
                <w:smallCaps/>
                <w:color w:val="FFFFFF"/>
              </w:rPr>
            </w:pPr>
          </w:p>
        </w:tc>
        <w:tc>
          <w:tcPr>
            <w:tcW w:w="1116"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1/1/2011</w:t>
            </w:r>
          </w:p>
        </w:tc>
        <w:tc>
          <w:tcPr>
            <w:tcW w:w="1116"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1/1/2012</w:t>
            </w:r>
          </w:p>
        </w:tc>
        <w:tc>
          <w:tcPr>
            <w:tcW w:w="1116"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1/1/2013</w:t>
            </w:r>
          </w:p>
        </w:tc>
        <w:tc>
          <w:tcPr>
            <w:tcW w:w="1090"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1/1/2014</w:t>
            </w:r>
          </w:p>
        </w:tc>
        <w:tc>
          <w:tcPr>
            <w:tcW w:w="1090"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1/1/2015</w:t>
            </w:r>
          </w:p>
        </w:tc>
        <w:tc>
          <w:tcPr>
            <w:tcW w:w="1090"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1/1/2016</w:t>
            </w:r>
          </w:p>
        </w:tc>
      </w:tr>
      <w:tr w:rsidR="00D86A11" w:rsidRPr="00AC7754">
        <w:trPr>
          <w:trHeight w:val="253"/>
        </w:trPr>
        <w:tc>
          <w:tcPr>
            <w:tcW w:w="3156" w:type="dxa"/>
            <w:shd w:val="clear" w:color="auto" w:fill="auto"/>
            <w:noWrap/>
          </w:tcPr>
          <w:p w:rsidR="00D86A11" w:rsidRPr="007575FE" w:rsidRDefault="00D86A11" w:rsidP="00D86A11">
            <w:pPr>
              <w:spacing w:after="0" w:line="240" w:lineRule="auto"/>
              <w:rPr>
                <w:rFonts w:ascii="Calibri" w:eastAsia="Times New Roman" w:hAnsi="Calibri" w:cs="Arial"/>
                <w:b/>
                <w:color w:val="013161"/>
                <w:sz w:val="20"/>
              </w:rPr>
            </w:pPr>
            <w:r w:rsidRPr="007575FE">
              <w:rPr>
                <w:rFonts w:ascii="Calibri" w:eastAsia="Times New Roman" w:hAnsi="Calibri" w:cs="Arial"/>
                <w:b/>
                <w:color w:val="013161"/>
                <w:sz w:val="20"/>
              </w:rPr>
              <w:t>Placed w/ all siblings (%)</w:t>
            </w:r>
          </w:p>
        </w:tc>
        <w:tc>
          <w:tcPr>
            <w:tcW w:w="1116" w:type="dxa"/>
            <w:shd w:val="clear" w:color="auto" w:fill="auto"/>
            <w:noWrap/>
          </w:tcPr>
          <w:p w:rsidR="00D86A11" w:rsidRPr="007575FE" w:rsidRDefault="00D86A11" w:rsidP="00D86A11">
            <w:pPr>
              <w:spacing w:after="0"/>
              <w:jc w:val="center"/>
              <w:rPr>
                <w:rFonts w:ascii="Calibri" w:hAnsi="Calibri" w:cs="Calibri"/>
                <w:b/>
                <w:smallCaps/>
                <w:color w:val="013161"/>
                <w:sz w:val="20"/>
              </w:rPr>
            </w:pPr>
            <w:r w:rsidRPr="007575FE">
              <w:rPr>
                <w:rFonts w:ascii="Calibri" w:hAnsi="Calibri" w:cs="Calibri"/>
                <w:b/>
                <w:smallCaps/>
                <w:color w:val="013161"/>
                <w:sz w:val="20"/>
              </w:rPr>
              <w:t>55.3</w:t>
            </w:r>
          </w:p>
        </w:tc>
        <w:tc>
          <w:tcPr>
            <w:tcW w:w="1116" w:type="dxa"/>
            <w:shd w:val="clear" w:color="auto" w:fill="auto"/>
            <w:noWrap/>
          </w:tcPr>
          <w:p w:rsidR="00D86A11" w:rsidRPr="007575FE" w:rsidRDefault="00D86A11" w:rsidP="00D86A11">
            <w:pPr>
              <w:spacing w:after="0"/>
              <w:jc w:val="center"/>
              <w:rPr>
                <w:rFonts w:ascii="Calibri" w:hAnsi="Calibri" w:cs="Calibri"/>
                <w:b/>
                <w:smallCaps/>
                <w:color w:val="013161"/>
                <w:sz w:val="20"/>
              </w:rPr>
            </w:pPr>
            <w:r w:rsidRPr="007575FE">
              <w:rPr>
                <w:rFonts w:ascii="Calibri" w:hAnsi="Calibri" w:cs="Calibri"/>
                <w:b/>
                <w:smallCaps/>
                <w:color w:val="013161"/>
                <w:sz w:val="20"/>
              </w:rPr>
              <w:t>58.9</w:t>
            </w:r>
          </w:p>
        </w:tc>
        <w:tc>
          <w:tcPr>
            <w:tcW w:w="1116" w:type="dxa"/>
            <w:shd w:val="clear" w:color="auto" w:fill="auto"/>
            <w:noWrap/>
          </w:tcPr>
          <w:p w:rsidR="00D86A11" w:rsidRPr="007575FE" w:rsidRDefault="00D86A11" w:rsidP="00D86A11">
            <w:pPr>
              <w:spacing w:after="0"/>
              <w:jc w:val="center"/>
              <w:rPr>
                <w:rFonts w:ascii="Calibri" w:hAnsi="Calibri" w:cs="Calibri"/>
                <w:b/>
                <w:smallCaps/>
                <w:color w:val="013161"/>
                <w:sz w:val="20"/>
              </w:rPr>
            </w:pPr>
            <w:r w:rsidRPr="007575FE">
              <w:rPr>
                <w:rFonts w:ascii="Calibri" w:hAnsi="Calibri" w:cs="Calibri"/>
                <w:b/>
                <w:smallCaps/>
                <w:color w:val="013161"/>
                <w:sz w:val="20"/>
              </w:rPr>
              <w:t>57.4</w:t>
            </w:r>
          </w:p>
        </w:tc>
        <w:tc>
          <w:tcPr>
            <w:tcW w:w="1090" w:type="dxa"/>
            <w:shd w:val="clear" w:color="auto" w:fill="auto"/>
            <w:noWrap/>
          </w:tcPr>
          <w:p w:rsidR="00D86A11" w:rsidRPr="007575FE" w:rsidRDefault="00D86A11" w:rsidP="00D86A11">
            <w:pPr>
              <w:spacing w:after="0"/>
              <w:jc w:val="center"/>
              <w:rPr>
                <w:rFonts w:ascii="Calibri" w:hAnsi="Calibri" w:cs="Calibri"/>
                <w:b/>
                <w:smallCaps/>
                <w:color w:val="013161"/>
                <w:sz w:val="20"/>
              </w:rPr>
            </w:pPr>
            <w:r w:rsidRPr="007575FE">
              <w:rPr>
                <w:rFonts w:ascii="Calibri" w:hAnsi="Calibri" w:cs="Calibri"/>
                <w:b/>
                <w:smallCaps/>
                <w:color w:val="013161"/>
                <w:sz w:val="20"/>
              </w:rPr>
              <w:t>54.4</w:t>
            </w:r>
          </w:p>
        </w:tc>
        <w:tc>
          <w:tcPr>
            <w:tcW w:w="1090" w:type="dxa"/>
            <w:shd w:val="clear" w:color="auto" w:fill="auto"/>
            <w:noWrap/>
          </w:tcPr>
          <w:p w:rsidR="00D86A11" w:rsidRPr="007575FE" w:rsidRDefault="00D86A11" w:rsidP="00D86A11">
            <w:pPr>
              <w:spacing w:after="0"/>
              <w:jc w:val="center"/>
              <w:rPr>
                <w:rFonts w:ascii="Calibri" w:hAnsi="Calibri" w:cs="Calibri"/>
                <w:b/>
                <w:smallCaps/>
                <w:color w:val="013161"/>
                <w:sz w:val="20"/>
              </w:rPr>
            </w:pPr>
            <w:r w:rsidRPr="007575FE">
              <w:rPr>
                <w:rFonts w:ascii="Calibri" w:hAnsi="Calibri" w:cs="Calibri"/>
                <w:b/>
                <w:smallCaps/>
                <w:color w:val="013161"/>
                <w:sz w:val="20"/>
              </w:rPr>
              <w:t>52.3</w:t>
            </w:r>
          </w:p>
        </w:tc>
        <w:tc>
          <w:tcPr>
            <w:tcW w:w="1090" w:type="dxa"/>
            <w:shd w:val="clear" w:color="auto" w:fill="auto"/>
            <w:noWrap/>
          </w:tcPr>
          <w:p w:rsidR="00D86A11" w:rsidRPr="007575FE" w:rsidRDefault="00D86A11" w:rsidP="00D86A11">
            <w:pPr>
              <w:spacing w:after="0"/>
              <w:jc w:val="center"/>
              <w:rPr>
                <w:rFonts w:ascii="Calibri" w:hAnsi="Calibri" w:cs="Calibri"/>
                <w:b/>
                <w:smallCaps/>
                <w:color w:val="013161"/>
                <w:sz w:val="20"/>
              </w:rPr>
            </w:pPr>
            <w:r w:rsidRPr="007575FE">
              <w:rPr>
                <w:rFonts w:ascii="Calibri" w:hAnsi="Calibri" w:cs="Calibri"/>
                <w:b/>
                <w:smallCaps/>
                <w:color w:val="013161"/>
                <w:sz w:val="20"/>
              </w:rPr>
              <w:t>49.3</w:t>
            </w:r>
          </w:p>
        </w:tc>
      </w:tr>
      <w:tr w:rsidR="00D86A11" w:rsidRPr="00AC7754">
        <w:trPr>
          <w:trHeight w:val="253"/>
        </w:trPr>
        <w:tc>
          <w:tcPr>
            <w:tcW w:w="3156" w:type="dxa"/>
            <w:shd w:val="clear" w:color="auto" w:fill="DBE5F1"/>
            <w:noWrap/>
          </w:tcPr>
          <w:p w:rsidR="00D86A11" w:rsidRPr="007575FE" w:rsidRDefault="00D86A11" w:rsidP="00D86A11">
            <w:pPr>
              <w:spacing w:after="0" w:line="240" w:lineRule="auto"/>
              <w:rPr>
                <w:rFonts w:ascii="Calibri" w:eastAsia="Times New Roman" w:hAnsi="Calibri" w:cs="Arial"/>
                <w:b/>
                <w:color w:val="013161"/>
                <w:sz w:val="20"/>
              </w:rPr>
            </w:pPr>
            <w:r w:rsidRPr="007575FE">
              <w:rPr>
                <w:rFonts w:ascii="Calibri" w:eastAsia="Times New Roman" w:hAnsi="Calibri" w:cs="Arial"/>
                <w:b/>
                <w:color w:val="013161"/>
                <w:sz w:val="20"/>
              </w:rPr>
              <w:t>Placed w/ all siblings (n)</w:t>
            </w:r>
          </w:p>
        </w:tc>
        <w:tc>
          <w:tcPr>
            <w:tcW w:w="1116" w:type="dxa"/>
            <w:shd w:val="clear" w:color="auto" w:fill="DBE5F1"/>
            <w:noWrap/>
          </w:tcPr>
          <w:p w:rsidR="00D86A11" w:rsidRPr="007575FE" w:rsidRDefault="00D86A11" w:rsidP="00D86A11">
            <w:pPr>
              <w:spacing w:after="0"/>
              <w:jc w:val="center"/>
              <w:rPr>
                <w:rFonts w:ascii="Calibri" w:hAnsi="Calibri" w:cs="Calibri"/>
                <w:b/>
                <w:smallCaps/>
                <w:color w:val="013161"/>
                <w:sz w:val="20"/>
              </w:rPr>
            </w:pPr>
            <w:r w:rsidRPr="007575FE">
              <w:rPr>
                <w:rFonts w:ascii="Calibri" w:hAnsi="Calibri" w:cs="Calibri"/>
                <w:b/>
                <w:smallCaps/>
                <w:color w:val="013161"/>
                <w:sz w:val="20"/>
              </w:rPr>
              <w:t>1,224</w:t>
            </w:r>
          </w:p>
        </w:tc>
        <w:tc>
          <w:tcPr>
            <w:tcW w:w="1116" w:type="dxa"/>
            <w:shd w:val="clear" w:color="auto" w:fill="DBE5F1"/>
            <w:noWrap/>
          </w:tcPr>
          <w:p w:rsidR="00D86A11" w:rsidRPr="007575FE" w:rsidRDefault="00D86A11" w:rsidP="00D86A11">
            <w:pPr>
              <w:spacing w:after="0"/>
              <w:jc w:val="center"/>
              <w:rPr>
                <w:rFonts w:ascii="Calibri" w:hAnsi="Calibri" w:cs="Calibri"/>
                <w:b/>
                <w:smallCaps/>
                <w:color w:val="013161"/>
                <w:sz w:val="20"/>
              </w:rPr>
            </w:pPr>
            <w:r w:rsidRPr="007575FE">
              <w:rPr>
                <w:rFonts w:ascii="Calibri" w:hAnsi="Calibri" w:cs="Calibri"/>
                <w:b/>
                <w:smallCaps/>
                <w:color w:val="013161"/>
                <w:sz w:val="20"/>
              </w:rPr>
              <w:t>1,192</w:t>
            </w:r>
          </w:p>
        </w:tc>
        <w:tc>
          <w:tcPr>
            <w:tcW w:w="1116" w:type="dxa"/>
            <w:shd w:val="clear" w:color="auto" w:fill="DBE5F1"/>
            <w:noWrap/>
          </w:tcPr>
          <w:p w:rsidR="00D86A11" w:rsidRPr="007575FE" w:rsidRDefault="00D86A11" w:rsidP="00D86A11">
            <w:pPr>
              <w:spacing w:after="0"/>
              <w:jc w:val="center"/>
              <w:rPr>
                <w:rFonts w:ascii="Calibri" w:hAnsi="Calibri" w:cs="Calibri"/>
                <w:b/>
                <w:smallCaps/>
                <w:color w:val="013161"/>
                <w:sz w:val="20"/>
              </w:rPr>
            </w:pPr>
            <w:r w:rsidRPr="007575FE">
              <w:rPr>
                <w:rFonts w:ascii="Calibri" w:hAnsi="Calibri" w:cs="Calibri"/>
                <w:b/>
                <w:smallCaps/>
                <w:color w:val="013161"/>
                <w:sz w:val="20"/>
              </w:rPr>
              <w:t>1,124</w:t>
            </w:r>
          </w:p>
        </w:tc>
        <w:tc>
          <w:tcPr>
            <w:tcW w:w="1090" w:type="dxa"/>
            <w:shd w:val="clear" w:color="auto" w:fill="DBE5F1"/>
            <w:noWrap/>
          </w:tcPr>
          <w:p w:rsidR="00D86A11" w:rsidRPr="007575FE" w:rsidRDefault="00D86A11" w:rsidP="00D86A11">
            <w:pPr>
              <w:spacing w:after="0"/>
              <w:jc w:val="center"/>
              <w:rPr>
                <w:rFonts w:ascii="Calibri" w:hAnsi="Calibri" w:cs="Calibri"/>
                <w:b/>
                <w:smallCaps/>
                <w:color w:val="013161"/>
                <w:sz w:val="20"/>
              </w:rPr>
            </w:pPr>
            <w:r w:rsidRPr="007575FE">
              <w:rPr>
                <w:rFonts w:ascii="Calibri" w:hAnsi="Calibri" w:cs="Calibri"/>
                <w:b/>
                <w:smallCaps/>
                <w:color w:val="013161"/>
                <w:sz w:val="20"/>
              </w:rPr>
              <w:t>1,095</w:t>
            </w:r>
          </w:p>
        </w:tc>
        <w:tc>
          <w:tcPr>
            <w:tcW w:w="1090" w:type="dxa"/>
            <w:shd w:val="clear" w:color="auto" w:fill="DBE5F1"/>
            <w:noWrap/>
          </w:tcPr>
          <w:p w:rsidR="00D86A11" w:rsidRPr="007575FE" w:rsidRDefault="00D86A11" w:rsidP="00D86A11">
            <w:pPr>
              <w:spacing w:after="0"/>
              <w:jc w:val="center"/>
              <w:rPr>
                <w:rFonts w:ascii="Calibri" w:hAnsi="Calibri" w:cs="Calibri"/>
                <w:b/>
                <w:smallCaps/>
                <w:color w:val="013161"/>
                <w:sz w:val="20"/>
              </w:rPr>
            </w:pPr>
            <w:r w:rsidRPr="007575FE">
              <w:rPr>
                <w:rFonts w:ascii="Calibri" w:hAnsi="Calibri" w:cs="Calibri"/>
                <w:b/>
                <w:smallCaps/>
                <w:color w:val="013161"/>
                <w:sz w:val="20"/>
              </w:rPr>
              <w:t>1,040</w:t>
            </w:r>
          </w:p>
        </w:tc>
        <w:tc>
          <w:tcPr>
            <w:tcW w:w="1090" w:type="dxa"/>
            <w:shd w:val="clear" w:color="auto" w:fill="DBE5F1"/>
            <w:noWrap/>
          </w:tcPr>
          <w:p w:rsidR="00D86A11" w:rsidRPr="007575FE" w:rsidRDefault="00D86A11" w:rsidP="00D86A11">
            <w:pPr>
              <w:spacing w:after="0"/>
              <w:jc w:val="center"/>
              <w:rPr>
                <w:rFonts w:ascii="Calibri" w:hAnsi="Calibri" w:cs="Calibri"/>
                <w:b/>
                <w:smallCaps/>
                <w:color w:val="013161"/>
                <w:sz w:val="20"/>
              </w:rPr>
            </w:pPr>
            <w:r w:rsidRPr="007575FE">
              <w:rPr>
                <w:rFonts w:ascii="Calibri" w:hAnsi="Calibri" w:cs="Calibri"/>
                <w:b/>
                <w:smallCaps/>
                <w:color w:val="013161"/>
                <w:sz w:val="20"/>
              </w:rPr>
              <w:t>909</w:t>
            </w:r>
          </w:p>
        </w:tc>
      </w:tr>
    </w:tbl>
    <w:p w:rsidR="00D86A11" w:rsidRPr="006F685F" w:rsidRDefault="00D86A11" w:rsidP="00D86A11">
      <w:pPr>
        <w:spacing w:after="0"/>
        <w:rPr>
          <w:rFonts w:ascii="Calibri" w:hAnsi="Calibri" w:cs="Calibri"/>
          <w:smallCaps/>
          <w:sz w:val="40"/>
          <w:szCs w:val="40"/>
        </w:rPr>
      </w:pPr>
    </w:p>
    <w:tbl>
      <w:tblPr>
        <w:tblW w:w="9711" w:type="dxa"/>
        <w:tblBorders>
          <w:top w:val="single" w:sz="18" w:space="0" w:color="F6872B"/>
          <w:bottom w:val="single" w:sz="18" w:space="0" w:color="F6872B"/>
        </w:tblBorders>
        <w:tblLook w:val="04A0" w:firstRow="1" w:lastRow="0" w:firstColumn="1" w:lastColumn="0" w:noHBand="0" w:noVBand="1"/>
      </w:tblPr>
      <w:tblGrid>
        <w:gridCol w:w="3078"/>
        <w:gridCol w:w="1109"/>
        <w:gridCol w:w="1109"/>
        <w:gridCol w:w="1109"/>
        <w:gridCol w:w="1102"/>
        <w:gridCol w:w="1102"/>
        <w:gridCol w:w="1102"/>
      </w:tblGrid>
      <w:tr w:rsidR="00D86A11" w:rsidRPr="00AC7754">
        <w:trPr>
          <w:trHeight w:val="720"/>
        </w:trPr>
        <w:tc>
          <w:tcPr>
            <w:tcW w:w="9711" w:type="dxa"/>
            <w:gridSpan w:val="7"/>
            <w:shd w:val="clear" w:color="auto" w:fill="013161"/>
            <w:noWrap/>
          </w:tcPr>
          <w:p w:rsidR="00D86A11" w:rsidRPr="000055D1" w:rsidRDefault="00D86A11" w:rsidP="00D86A11">
            <w:pPr>
              <w:spacing w:after="0"/>
              <w:jc w:val="center"/>
              <w:rPr>
                <w:rFonts w:ascii="Calibri" w:hAnsi="Calibri" w:cs="Calibri"/>
                <w:smallCaps/>
                <w:color w:val="FFFFFF"/>
              </w:rPr>
            </w:pPr>
            <w:r>
              <w:rPr>
                <w:rFonts w:ascii="Calibri" w:hAnsi="Calibri" w:cs="Calibri"/>
                <w:b/>
                <w:color w:val="FFFFFF"/>
                <w:sz w:val="24"/>
              </w:rPr>
              <w:t>Exhibit 69. County of San Diego</w:t>
            </w:r>
            <w:r w:rsidRPr="00E415BF">
              <w:rPr>
                <w:rFonts w:ascii="Calibri" w:hAnsi="Calibri" w:cs="Calibri"/>
                <w:b/>
                <w:color w:val="FFFFFF"/>
                <w:sz w:val="24"/>
              </w:rPr>
              <w:t xml:space="preserve"> ‘Some or All’ Siblings Placed Together in Foster Care</w:t>
            </w:r>
            <w:r w:rsidRPr="00E415BF">
              <w:rPr>
                <w:rFonts w:ascii="Calibri" w:hAnsi="Calibri" w:cs="Calibri"/>
                <w:color w:val="FFFFFF"/>
                <w:sz w:val="24"/>
              </w:rPr>
              <w:br/>
            </w:r>
            <w:r w:rsidRPr="000055D1">
              <w:rPr>
                <w:rFonts w:ascii="Calibri" w:hAnsi="Calibri" w:cs="Calibri"/>
                <w:color w:val="FFFFFF"/>
              </w:rPr>
              <w:t>California at 70.8%</w:t>
            </w:r>
          </w:p>
        </w:tc>
      </w:tr>
      <w:tr w:rsidR="00D86A11" w:rsidRPr="00AC7754">
        <w:trPr>
          <w:trHeight w:val="263"/>
        </w:trPr>
        <w:tc>
          <w:tcPr>
            <w:tcW w:w="3078" w:type="dxa"/>
            <w:shd w:val="clear" w:color="auto" w:fill="013161"/>
            <w:noWrap/>
          </w:tcPr>
          <w:p w:rsidR="00D86A11" w:rsidRPr="00721EF1" w:rsidRDefault="00D86A11" w:rsidP="00D86A11">
            <w:pPr>
              <w:spacing w:after="0"/>
              <w:rPr>
                <w:rFonts w:ascii="Calibri" w:hAnsi="Calibri" w:cs="Calibri"/>
                <w:b/>
                <w:smallCaps/>
                <w:color w:val="FFFFFF"/>
              </w:rPr>
            </w:pPr>
          </w:p>
        </w:tc>
        <w:tc>
          <w:tcPr>
            <w:tcW w:w="1109"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1/1/2011</w:t>
            </w:r>
          </w:p>
        </w:tc>
        <w:tc>
          <w:tcPr>
            <w:tcW w:w="1109"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1/1/2012</w:t>
            </w:r>
          </w:p>
        </w:tc>
        <w:tc>
          <w:tcPr>
            <w:tcW w:w="1109"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1/1/2013</w:t>
            </w:r>
          </w:p>
        </w:tc>
        <w:tc>
          <w:tcPr>
            <w:tcW w:w="1102"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1/1/2014</w:t>
            </w:r>
          </w:p>
        </w:tc>
        <w:tc>
          <w:tcPr>
            <w:tcW w:w="1102"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1/1/2015</w:t>
            </w:r>
          </w:p>
        </w:tc>
        <w:tc>
          <w:tcPr>
            <w:tcW w:w="1102"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1/1/2016</w:t>
            </w:r>
          </w:p>
        </w:tc>
      </w:tr>
      <w:tr w:rsidR="00D86A11" w:rsidRPr="00AC7754">
        <w:trPr>
          <w:trHeight w:val="263"/>
        </w:trPr>
        <w:tc>
          <w:tcPr>
            <w:tcW w:w="3078" w:type="dxa"/>
            <w:shd w:val="clear" w:color="auto" w:fill="auto"/>
            <w:noWrap/>
          </w:tcPr>
          <w:p w:rsidR="00D86A11" w:rsidRPr="007575FE" w:rsidRDefault="00D86A11" w:rsidP="00D86A11">
            <w:pPr>
              <w:spacing w:after="0" w:line="240" w:lineRule="auto"/>
              <w:rPr>
                <w:rFonts w:ascii="Calibri" w:eastAsia="Times New Roman" w:hAnsi="Calibri" w:cs="Arial"/>
                <w:b/>
                <w:color w:val="013161"/>
                <w:sz w:val="20"/>
              </w:rPr>
            </w:pPr>
            <w:r w:rsidRPr="007575FE">
              <w:rPr>
                <w:rFonts w:ascii="Calibri" w:eastAsia="Times New Roman" w:hAnsi="Calibri" w:cs="Arial"/>
                <w:b/>
                <w:color w:val="013161"/>
                <w:sz w:val="20"/>
              </w:rPr>
              <w:t>Placed w/ some or all siblings (%)</w:t>
            </w:r>
          </w:p>
        </w:tc>
        <w:tc>
          <w:tcPr>
            <w:tcW w:w="1109" w:type="dxa"/>
            <w:shd w:val="clear" w:color="auto" w:fill="auto"/>
            <w:noWrap/>
          </w:tcPr>
          <w:p w:rsidR="00D86A11" w:rsidRPr="007575FE" w:rsidRDefault="00D86A11" w:rsidP="00D86A11">
            <w:pPr>
              <w:spacing w:after="0" w:line="240" w:lineRule="auto"/>
              <w:jc w:val="center"/>
              <w:rPr>
                <w:rFonts w:ascii="Calibri" w:eastAsia="Times New Roman" w:hAnsi="Calibri" w:cs="Arial"/>
                <w:b/>
                <w:color w:val="013161"/>
                <w:sz w:val="20"/>
              </w:rPr>
            </w:pPr>
            <w:r w:rsidRPr="007575FE">
              <w:rPr>
                <w:rFonts w:ascii="Calibri" w:eastAsia="Times New Roman" w:hAnsi="Calibri" w:cs="Arial"/>
                <w:b/>
                <w:color w:val="013161"/>
                <w:sz w:val="20"/>
              </w:rPr>
              <w:t>71.5</w:t>
            </w:r>
          </w:p>
        </w:tc>
        <w:tc>
          <w:tcPr>
            <w:tcW w:w="1109" w:type="dxa"/>
            <w:shd w:val="clear" w:color="auto" w:fill="auto"/>
            <w:noWrap/>
          </w:tcPr>
          <w:p w:rsidR="00D86A11" w:rsidRPr="007575FE" w:rsidRDefault="00D86A11" w:rsidP="00D86A11">
            <w:pPr>
              <w:spacing w:after="0" w:line="240" w:lineRule="auto"/>
              <w:jc w:val="center"/>
              <w:rPr>
                <w:rFonts w:ascii="Calibri" w:eastAsia="Times New Roman" w:hAnsi="Calibri" w:cs="Arial"/>
                <w:b/>
                <w:color w:val="013161"/>
                <w:sz w:val="20"/>
              </w:rPr>
            </w:pPr>
            <w:r w:rsidRPr="007575FE">
              <w:rPr>
                <w:rFonts w:ascii="Calibri" w:eastAsia="Times New Roman" w:hAnsi="Calibri" w:cs="Arial"/>
                <w:b/>
                <w:color w:val="013161"/>
                <w:sz w:val="20"/>
              </w:rPr>
              <w:t>73.7</w:t>
            </w:r>
          </w:p>
        </w:tc>
        <w:tc>
          <w:tcPr>
            <w:tcW w:w="1109" w:type="dxa"/>
            <w:shd w:val="clear" w:color="auto" w:fill="auto"/>
            <w:noWrap/>
          </w:tcPr>
          <w:p w:rsidR="00D86A11" w:rsidRPr="007575FE" w:rsidRDefault="00D86A11" w:rsidP="00D86A11">
            <w:pPr>
              <w:spacing w:after="0" w:line="240" w:lineRule="auto"/>
              <w:jc w:val="center"/>
              <w:rPr>
                <w:rFonts w:ascii="Calibri" w:eastAsia="Times New Roman" w:hAnsi="Calibri" w:cs="Arial"/>
                <w:b/>
                <w:color w:val="013161"/>
                <w:sz w:val="20"/>
              </w:rPr>
            </w:pPr>
            <w:r w:rsidRPr="007575FE">
              <w:rPr>
                <w:rFonts w:ascii="Calibri" w:eastAsia="Times New Roman" w:hAnsi="Calibri" w:cs="Arial"/>
                <w:b/>
                <w:color w:val="013161"/>
                <w:sz w:val="20"/>
              </w:rPr>
              <w:t>73.0</w:t>
            </w:r>
          </w:p>
        </w:tc>
        <w:tc>
          <w:tcPr>
            <w:tcW w:w="1102" w:type="dxa"/>
            <w:shd w:val="clear" w:color="auto" w:fill="auto"/>
            <w:noWrap/>
          </w:tcPr>
          <w:p w:rsidR="00D86A11" w:rsidRPr="007575FE" w:rsidRDefault="00D86A11" w:rsidP="00D86A11">
            <w:pPr>
              <w:spacing w:after="0" w:line="240" w:lineRule="auto"/>
              <w:jc w:val="center"/>
              <w:rPr>
                <w:rFonts w:ascii="Calibri" w:eastAsia="Times New Roman" w:hAnsi="Calibri" w:cs="Arial"/>
                <w:b/>
                <w:color w:val="013161"/>
                <w:sz w:val="20"/>
              </w:rPr>
            </w:pPr>
            <w:r w:rsidRPr="007575FE">
              <w:rPr>
                <w:rFonts w:ascii="Calibri" w:eastAsia="Times New Roman" w:hAnsi="Calibri" w:cs="Arial"/>
                <w:b/>
                <w:color w:val="013161"/>
                <w:sz w:val="20"/>
              </w:rPr>
              <w:t>72.9</w:t>
            </w:r>
          </w:p>
        </w:tc>
        <w:tc>
          <w:tcPr>
            <w:tcW w:w="1102" w:type="dxa"/>
            <w:shd w:val="clear" w:color="auto" w:fill="auto"/>
            <w:noWrap/>
          </w:tcPr>
          <w:p w:rsidR="00D86A11" w:rsidRPr="007575FE" w:rsidRDefault="00D86A11" w:rsidP="00D86A11">
            <w:pPr>
              <w:spacing w:after="0" w:line="240" w:lineRule="auto"/>
              <w:jc w:val="center"/>
              <w:rPr>
                <w:rFonts w:ascii="Calibri" w:eastAsia="Times New Roman" w:hAnsi="Calibri" w:cs="Arial"/>
                <w:b/>
                <w:color w:val="013161"/>
                <w:sz w:val="20"/>
              </w:rPr>
            </w:pPr>
            <w:r w:rsidRPr="007575FE">
              <w:rPr>
                <w:rFonts w:ascii="Calibri" w:eastAsia="Times New Roman" w:hAnsi="Calibri" w:cs="Arial"/>
                <w:b/>
                <w:color w:val="013161"/>
                <w:sz w:val="20"/>
              </w:rPr>
              <w:t>70.6</w:t>
            </w:r>
          </w:p>
        </w:tc>
        <w:tc>
          <w:tcPr>
            <w:tcW w:w="1102" w:type="dxa"/>
            <w:shd w:val="clear" w:color="auto" w:fill="auto"/>
            <w:noWrap/>
          </w:tcPr>
          <w:p w:rsidR="00D86A11" w:rsidRPr="007575FE" w:rsidRDefault="00D86A11" w:rsidP="00D86A11">
            <w:pPr>
              <w:spacing w:after="0" w:line="240" w:lineRule="auto"/>
              <w:jc w:val="center"/>
              <w:rPr>
                <w:rFonts w:ascii="Calibri" w:eastAsia="Times New Roman" w:hAnsi="Calibri" w:cs="Arial"/>
                <w:b/>
                <w:color w:val="013161"/>
                <w:sz w:val="20"/>
              </w:rPr>
            </w:pPr>
            <w:r w:rsidRPr="007575FE">
              <w:rPr>
                <w:rFonts w:ascii="Calibri" w:eastAsia="Times New Roman" w:hAnsi="Calibri" w:cs="Arial"/>
                <w:b/>
                <w:color w:val="013161"/>
                <w:sz w:val="20"/>
              </w:rPr>
              <w:t>68.7</w:t>
            </w:r>
          </w:p>
        </w:tc>
      </w:tr>
      <w:tr w:rsidR="00D86A11" w:rsidRPr="00AC7754">
        <w:trPr>
          <w:trHeight w:val="263"/>
        </w:trPr>
        <w:tc>
          <w:tcPr>
            <w:tcW w:w="3078" w:type="dxa"/>
            <w:shd w:val="clear" w:color="auto" w:fill="DBE5F1"/>
            <w:noWrap/>
          </w:tcPr>
          <w:p w:rsidR="00D86A11" w:rsidRPr="007575FE" w:rsidRDefault="00D86A11" w:rsidP="00D86A11">
            <w:pPr>
              <w:spacing w:after="0" w:line="240" w:lineRule="auto"/>
              <w:rPr>
                <w:rFonts w:ascii="Calibri" w:eastAsia="Times New Roman" w:hAnsi="Calibri" w:cs="Arial"/>
                <w:b/>
                <w:color w:val="013161"/>
                <w:sz w:val="20"/>
              </w:rPr>
            </w:pPr>
            <w:r w:rsidRPr="007575FE">
              <w:rPr>
                <w:rFonts w:ascii="Calibri" w:eastAsia="Times New Roman" w:hAnsi="Calibri" w:cs="Arial"/>
                <w:b/>
                <w:color w:val="013161"/>
                <w:sz w:val="20"/>
              </w:rPr>
              <w:t>Placed w/ some or all siblings (n)</w:t>
            </w:r>
          </w:p>
        </w:tc>
        <w:tc>
          <w:tcPr>
            <w:tcW w:w="1109" w:type="dxa"/>
            <w:shd w:val="clear" w:color="auto" w:fill="DBE5F1"/>
            <w:noWrap/>
          </w:tcPr>
          <w:p w:rsidR="00D86A11" w:rsidRPr="007575FE" w:rsidRDefault="00D86A11" w:rsidP="00D86A11">
            <w:pPr>
              <w:spacing w:after="0" w:line="240" w:lineRule="auto"/>
              <w:jc w:val="center"/>
              <w:rPr>
                <w:rFonts w:ascii="Calibri" w:eastAsia="Times New Roman" w:hAnsi="Calibri" w:cs="Arial"/>
                <w:b/>
                <w:color w:val="013161"/>
                <w:sz w:val="20"/>
              </w:rPr>
            </w:pPr>
            <w:r w:rsidRPr="007575FE">
              <w:rPr>
                <w:rFonts w:ascii="Calibri" w:eastAsia="Times New Roman" w:hAnsi="Calibri" w:cs="Arial"/>
                <w:b/>
                <w:color w:val="013161"/>
                <w:sz w:val="20"/>
              </w:rPr>
              <w:t>1,583</w:t>
            </w:r>
          </w:p>
        </w:tc>
        <w:tc>
          <w:tcPr>
            <w:tcW w:w="1109" w:type="dxa"/>
            <w:shd w:val="clear" w:color="auto" w:fill="DBE5F1"/>
            <w:noWrap/>
          </w:tcPr>
          <w:p w:rsidR="00D86A11" w:rsidRPr="007575FE" w:rsidRDefault="00D86A11" w:rsidP="00D86A11">
            <w:pPr>
              <w:spacing w:after="0" w:line="240" w:lineRule="auto"/>
              <w:jc w:val="center"/>
              <w:rPr>
                <w:rFonts w:ascii="Calibri" w:eastAsia="Times New Roman" w:hAnsi="Calibri" w:cs="Arial"/>
                <w:b/>
                <w:color w:val="013161"/>
                <w:sz w:val="20"/>
              </w:rPr>
            </w:pPr>
            <w:r w:rsidRPr="007575FE">
              <w:rPr>
                <w:rFonts w:ascii="Calibri" w:eastAsia="Times New Roman" w:hAnsi="Calibri" w:cs="Arial"/>
                <w:b/>
                <w:color w:val="013161"/>
                <w:sz w:val="20"/>
              </w:rPr>
              <w:t>1,493</w:t>
            </w:r>
          </w:p>
        </w:tc>
        <w:tc>
          <w:tcPr>
            <w:tcW w:w="1109" w:type="dxa"/>
            <w:shd w:val="clear" w:color="auto" w:fill="DBE5F1"/>
            <w:noWrap/>
          </w:tcPr>
          <w:p w:rsidR="00D86A11" w:rsidRPr="007575FE" w:rsidRDefault="00D86A11" w:rsidP="00D86A11">
            <w:pPr>
              <w:spacing w:after="0" w:line="240" w:lineRule="auto"/>
              <w:jc w:val="center"/>
              <w:rPr>
                <w:rFonts w:ascii="Calibri" w:eastAsia="Times New Roman" w:hAnsi="Calibri" w:cs="Arial"/>
                <w:b/>
                <w:color w:val="013161"/>
                <w:sz w:val="20"/>
              </w:rPr>
            </w:pPr>
            <w:r w:rsidRPr="007575FE">
              <w:rPr>
                <w:rFonts w:ascii="Calibri" w:eastAsia="Times New Roman" w:hAnsi="Calibri" w:cs="Arial"/>
                <w:b/>
                <w:color w:val="013161"/>
                <w:sz w:val="20"/>
              </w:rPr>
              <w:t>1,430</w:t>
            </w:r>
          </w:p>
        </w:tc>
        <w:tc>
          <w:tcPr>
            <w:tcW w:w="1102" w:type="dxa"/>
            <w:shd w:val="clear" w:color="auto" w:fill="DBE5F1"/>
            <w:noWrap/>
          </w:tcPr>
          <w:p w:rsidR="00D86A11" w:rsidRPr="007575FE" w:rsidRDefault="00D86A11" w:rsidP="00D86A11">
            <w:pPr>
              <w:spacing w:after="0" w:line="240" w:lineRule="auto"/>
              <w:jc w:val="center"/>
              <w:rPr>
                <w:rFonts w:ascii="Calibri" w:eastAsia="Times New Roman" w:hAnsi="Calibri" w:cs="Arial"/>
                <w:b/>
                <w:color w:val="013161"/>
                <w:sz w:val="20"/>
              </w:rPr>
            </w:pPr>
            <w:r w:rsidRPr="007575FE">
              <w:rPr>
                <w:rFonts w:ascii="Calibri" w:eastAsia="Times New Roman" w:hAnsi="Calibri" w:cs="Arial"/>
                <w:b/>
                <w:color w:val="013161"/>
                <w:sz w:val="20"/>
              </w:rPr>
              <w:t>1,468</w:t>
            </w:r>
          </w:p>
        </w:tc>
        <w:tc>
          <w:tcPr>
            <w:tcW w:w="1102" w:type="dxa"/>
            <w:shd w:val="clear" w:color="auto" w:fill="DBE5F1"/>
            <w:noWrap/>
          </w:tcPr>
          <w:p w:rsidR="00D86A11" w:rsidRPr="007575FE" w:rsidRDefault="00D86A11" w:rsidP="00D86A11">
            <w:pPr>
              <w:spacing w:after="0" w:line="240" w:lineRule="auto"/>
              <w:jc w:val="center"/>
              <w:rPr>
                <w:rFonts w:ascii="Calibri" w:eastAsia="Times New Roman" w:hAnsi="Calibri" w:cs="Arial"/>
                <w:b/>
                <w:color w:val="013161"/>
                <w:sz w:val="20"/>
              </w:rPr>
            </w:pPr>
            <w:r w:rsidRPr="007575FE">
              <w:rPr>
                <w:rFonts w:ascii="Calibri" w:eastAsia="Times New Roman" w:hAnsi="Calibri" w:cs="Arial"/>
                <w:b/>
                <w:color w:val="013161"/>
                <w:sz w:val="20"/>
              </w:rPr>
              <w:t>1,405</w:t>
            </w:r>
          </w:p>
        </w:tc>
        <w:tc>
          <w:tcPr>
            <w:tcW w:w="1102" w:type="dxa"/>
            <w:shd w:val="clear" w:color="auto" w:fill="DBE5F1"/>
            <w:noWrap/>
          </w:tcPr>
          <w:p w:rsidR="00D86A11" w:rsidRPr="007575FE" w:rsidRDefault="00D86A11" w:rsidP="00D86A11">
            <w:pPr>
              <w:spacing w:after="0" w:line="240" w:lineRule="auto"/>
              <w:jc w:val="center"/>
              <w:rPr>
                <w:rFonts w:ascii="Calibri" w:eastAsia="Times New Roman" w:hAnsi="Calibri" w:cs="Arial"/>
                <w:b/>
                <w:color w:val="013161"/>
                <w:sz w:val="20"/>
              </w:rPr>
            </w:pPr>
            <w:r w:rsidRPr="007575FE">
              <w:rPr>
                <w:rFonts w:ascii="Calibri" w:eastAsia="Times New Roman" w:hAnsi="Calibri" w:cs="Arial"/>
                <w:b/>
                <w:color w:val="013161"/>
                <w:sz w:val="20"/>
              </w:rPr>
              <w:t>1,267</w:t>
            </w:r>
          </w:p>
        </w:tc>
      </w:tr>
    </w:tbl>
    <w:p w:rsidR="00D86A11" w:rsidRPr="005217F6" w:rsidRDefault="00D86A11" w:rsidP="00D86A11">
      <w:pPr>
        <w:pStyle w:val="Heading1"/>
        <w:rPr>
          <w:color w:val="2E7029"/>
          <w:sz w:val="24"/>
        </w:rPr>
      </w:pPr>
      <w:r w:rsidRPr="005217F6">
        <w:rPr>
          <w:color w:val="2E7029"/>
          <w:sz w:val="24"/>
        </w:rPr>
        <w:t>Analysis</w:t>
      </w:r>
    </w:p>
    <w:p w:rsidR="00D86A11" w:rsidRPr="00127888" w:rsidRDefault="00D86A11" w:rsidP="00D86A11">
      <w:pPr>
        <w:spacing w:after="0"/>
        <w:rPr>
          <w:rFonts w:ascii="Franklin Gothic Book" w:hAnsi="Franklin Gothic Book"/>
          <w:color w:val="auto"/>
          <w:spacing w:val="20"/>
          <w:szCs w:val="28"/>
        </w:rPr>
      </w:pPr>
      <w:r w:rsidRPr="00127888">
        <w:rPr>
          <w:rFonts w:ascii="Franklin Gothic Book" w:hAnsi="Franklin Gothic Book"/>
          <w:b/>
          <w:color w:val="auto"/>
          <w:spacing w:val="20"/>
          <w:szCs w:val="28"/>
        </w:rPr>
        <w:t>Trends:</w:t>
      </w:r>
      <w:r w:rsidRPr="00127888">
        <w:rPr>
          <w:rFonts w:ascii="Franklin Gothic Book" w:hAnsi="Franklin Gothic Book"/>
          <w:color w:val="auto"/>
          <w:spacing w:val="20"/>
          <w:szCs w:val="28"/>
        </w:rPr>
        <w:t xml:space="preserve"> The County’s rate of “All Siblings” placed together, as of January 1, 2016, is similar to the State rate but is six percentage points lower than it was in 2011 and is the lowest that it’s been over the past six years. The County’s rate of “Some or All Siblings” placed together has decreased slightly and is also the lowest that it’s been over the last six years. </w:t>
      </w:r>
    </w:p>
    <w:p w:rsidR="00D86A11" w:rsidRPr="00127888" w:rsidRDefault="00D86A11" w:rsidP="00D86A11">
      <w:pPr>
        <w:spacing w:before="240" w:after="0"/>
        <w:rPr>
          <w:rFonts w:ascii="Franklin Gothic Book" w:hAnsi="Franklin Gothic Book"/>
          <w:color w:val="auto"/>
          <w:spacing w:val="20"/>
          <w:szCs w:val="28"/>
        </w:rPr>
      </w:pPr>
      <w:r w:rsidRPr="00127888">
        <w:rPr>
          <w:rFonts w:ascii="Franklin Gothic Book" w:hAnsi="Franklin Gothic Book"/>
          <w:b/>
          <w:color w:val="auto"/>
          <w:spacing w:val="20"/>
          <w:szCs w:val="28"/>
        </w:rPr>
        <w:t>Race/Ethnicity</w:t>
      </w:r>
      <w:r w:rsidRPr="00127888">
        <w:rPr>
          <w:rFonts w:ascii="Franklin Gothic Book" w:hAnsi="Franklin Gothic Book"/>
          <w:color w:val="auto"/>
          <w:spacing w:val="20"/>
          <w:szCs w:val="28"/>
        </w:rPr>
        <w:t>: On January 1, 2016, Native American children had the lowest percent of “All Siblings” placed together at 27.5, followed by Black children at 42.8%, Latino children at 50%, White children at 54.8% and Asian/PI children at 58.7%. For the measure of “Some or All Siblings” placed together the pattern was similar. Native American children had the lowest rate at 45.0%, followed by Black children at 63.5%, White children at 68.7%, Latino children at 70.9% and Asian/PI children at 78.3%.</w:t>
      </w:r>
    </w:p>
    <w:p w:rsidR="00D86A11" w:rsidRPr="00127888" w:rsidRDefault="00D86A11" w:rsidP="00D86A11">
      <w:pPr>
        <w:spacing w:before="240" w:after="0"/>
        <w:rPr>
          <w:rFonts w:ascii="Franklin Gothic Book" w:hAnsi="Franklin Gothic Book"/>
          <w:color w:val="auto"/>
          <w:spacing w:val="20"/>
          <w:szCs w:val="28"/>
        </w:rPr>
      </w:pPr>
      <w:r w:rsidRPr="00127888">
        <w:rPr>
          <w:rFonts w:ascii="Franklin Gothic Book" w:hAnsi="Franklin Gothic Book"/>
          <w:b/>
          <w:color w:val="auto"/>
          <w:spacing w:val="20"/>
          <w:szCs w:val="28"/>
        </w:rPr>
        <w:t>Placement Type:</w:t>
      </w:r>
      <w:r w:rsidRPr="00127888">
        <w:rPr>
          <w:rFonts w:ascii="Franklin Gothic Book" w:hAnsi="Franklin Gothic Book"/>
          <w:color w:val="auto"/>
          <w:spacing w:val="20"/>
          <w:szCs w:val="28"/>
        </w:rPr>
        <w:t xml:space="preserve"> On January 1, 2016, 87.3% of children placed in pre-adopt homes were placed with “Some or All Siblings,” as were 82.3% of children in kin placements, 72.3% of children in foster homes, 66.7% of children in court-specified homes, 66.2% of children in Foster Family Agency (FFA) homes, 43.8% of children in shelter care, and 25.2% of children in group homes.</w:t>
      </w:r>
    </w:p>
    <w:p w:rsidR="00D86A11" w:rsidRPr="00127888" w:rsidRDefault="00D86A11" w:rsidP="00D86A11">
      <w:pPr>
        <w:pStyle w:val="Heading3"/>
        <w:spacing w:line="276" w:lineRule="auto"/>
        <w:rPr>
          <w:b w:val="0"/>
          <w:color w:val="auto"/>
          <w:sz w:val="22"/>
        </w:rPr>
      </w:pPr>
      <w:r w:rsidRPr="00127888">
        <w:rPr>
          <w:b w:val="0"/>
          <w:color w:val="auto"/>
          <w:sz w:val="22"/>
        </w:rPr>
        <w:t>It</w:t>
      </w:r>
      <w:r w:rsidR="00E952A8">
        <w:rPr>
          <w:b w:val="0"/>
          <w:color w:val="auto"/>
          <w:sz w:val="22"/>
        </w:rPr>
        <w:t xml:space="preserve"> i</w:t>
      </w:r>
      <w:r w:rsidRPr="00127888">
        <w:rPr>
          <w:b w:val="0"/>
          <w:color w:val="auto"/>
          <w:sz w:val="22"/>
        </w:rPr>
        <w:t xml:space="preserve">s possible that the drop in the percentages of siblings placed together is related to the fact that the population of families currently served by CWS has a higher </w:t>
      </w:r>
      <w:r w:rsidRPr="00127888">
        <w:rPr>
          <w:b w:val="0"/>
          <w:color w:val="auto"/>
          <w:sz w:val="22"/>
        </w:rPr>
        <w:lastRenderedPageBreak/>
        <w:t xml:space="preserve">concentration of complex needs and challenges. If some siblings have behavior issues, the caregivers may not have the ability to handle all of the children and the siblings may be placed in different placements. In addition, the recession led to many people losing their jobs and homes. Some have not recovered and may not be able to care for a full group of siblings. Siblings are less likely to be placed together when there are three or more children in the family. </w:t>
      </w:r>
    </w:p>
    <w:p w:rsidR="00D86A11" w:rsidRPr="006F3531" w:rsidRDefault="00D86A11" w:rsidP="00D86A11">
      <w:pPr>
        <w:spacing w:after="0"/>
        <w:rPr>
          <w:rFonts w:ascii="Calibri" w:hAnsi="Calibri" w:cs="Calibri"/>
          <w:sz w:val="24"/>
          <w:szCs w:val="24"/>
        </w:rPr>
      </w:pPr>
    </w:p>
    <w:p w:rsidR="00D86A11" w:rsidRPr="00E024F4" w:rsidRDefault="00D86A11" w:rsidP="00D86A11">
      <w:pPr>
        <w:spacing w:after="0"/>
        <w:contextualSpacing/>
        <w:rPr>
          <w:rFonts w:ascii="Calibri" w:hAnsi="Calibri" w:cs="Calibri"/>
          <w:b/>
          <w:smallCaps/>
          <w:color w:val="auto"/>
          <w:sz w:val="28"/>
          <w:szCs w:val="28"/>
        </w:rPr>
      </w:pPr>
      <w:r w:rsidRPr="005217F6">
        <w:rPr>
          <w:rFonts w:ascii="Franklin Gothic Book" w:hAnsi="Franklin Gothic Book"/>
          <w:b/>
          <w:color w:val="F6872B"/>
          <w:spacing w:val="20"/>
          <w:sz w:val="24"/>
          <w:szCs w:val="28"/>
        </w:rPr>
        <w:t>4B Least Restrictive Placement (Entries First Placement)</w:t>
      </w:r>
    </w:p>
    <w:tbl>
      <w:tblPr>
        <w:tblW w:w="9624" w:type="dxa"/>
        <w:tblBorders>
          <w:top w:val="single" w:sz="18" w:space="0" w:color="F6872B"/>
          <w:bottom w:val="single" w:sz="18" w:space="0" w:color="F6872B"/>
        </w:tblBorders>
        <w:tblLook w:val="04A0" w:firstRow="1" w:lastRow="0" w:firstColumn="1" w:lastColumn="0" w:noHBand="0" w:noVBand="1"/>
      </w:tblPr>
      <w:tblGrid>
        <w:gridCol w:w="3438"/>
        <w:gridCol w:w="853"/>
        <w:gridCol w:w="853"/>
        <w:gridCol w:w="853"/>
        <w:gridCol w:w="853"/>
        <w:gridCol w:w="853"/>
        <w:gridCol w:w="831"/>
        <w:gridCol w:w="1090"/>
      </w:tblGrid>
      <w:tr w:rsidR="00D86A11" w:rsidRPr="000055D1">
        <w:trPr>
          <w:trHeight w:val="306"/>
        </w:trPr>
        <w:tc>
          <w:tcPr>
            <w:tcW w:w="9624" w:type="dxa"/>
            <w:gridSpan w:val="8"/>
            <w:shd w:val="clear" w:color="auto" w:fill="013161"/>
            <w:noWrap/>
          </w:tcPr>
          <w:p w:rsidR="00D86A11" w:rsidRPr="000055D1" w:rsidRDefault="00D86A11" w:rsidP="00D86A11">
            <w:pPr>
              <w:spacing w:after="0"/>
              <w:jc w:val="center"/>
              <w:rPr>
                <w:rFonts w:ascii="Calibri" w:hAnsi="Calibri" w:cs="Calibri"/>
                <w:b/>
                <w:color w:val="FFFFFF"/>
              </w:rPr>
            </w:pPr>
            <w:r>
              <w:rPr>
                <w:rFonts w:ascii="Calibri" w:hAnsi="Calibri" w:cs="Calibri"/>
                <w:b/>
                <w:color w:val="FFFFFF"/>
                <w:sz w:val="24"/>
              </w:rPr>
              <w:t>Exhibit 70. County of San Diego</w:t>
            </w:r>
            <w:r w:rsidRPr="00E415BF">
              <w:rPr>
                <w:rFonts w:ascii="Calibri" w:hAnsi="Calibri" w:cs="Calibri"/>
                <w:b/>
                <w:color w:val="FFFFFF"/>
                <w:sz w:val="24"/>
              </w:rPr>
              <w:t xml:space="preserve"> Least Restrictive Placement for Children’s First Placement</w:t>
            </w:r>
          </w:p>
        </w:tc>
      </w:tr>
      <w:tr w:rsidR="00D86A11" w:rsidRPr="000055D1">
        <w:trPr>
          <w:trHeight w:val="306"/>
        </w:trPr>
        <w:tc>
          <w:tcPr>
            <w:tcW w:w="3438" w:type="dxa"/>
            <w:shd w:val="clear" w:color="auto" w:fill="013161"/>
            <w:noWrap/>
          </w:tcPr>
          <w:p w:rsidR="00D86A11" w:rsidRPr="00721EF1" w:rsidRDefault="00D86A11" w:rsidP="00D86A11">
            <w:pPr>
              <w:spacing w:after="0"/>
              <w:rPr>
                <w:rFonts w:ascii="Calibri" w:hAnsi="Calibri" w:cs="Calibri"/>
                <w:color w:val="FFFFFF"/>
              </w:rPr>
            </w:pPr>
          </w:p>
        </w:tc>
        <w:tc>
          <w:tcPr>
            <w:tcW w:w="853"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2010</w:t>
            </w:r>
          </w:p>
        </w:tc>
        <w:tc>
          <w:tcPr>
            <w:tcW w:w="853"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2011</w:t>
            </w:r>
          </w:p>
        </w:tc>
        <w:tc>
          <w:tcPr>
            <w:tcW w:w="853"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2012</w:t>
            </w:r>
          </w:p>
        </w:tc>
        <w:tc>
          <w:tcPr>
            <w:tcW w:w="853"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2013</w:t>
            </w:r>
          </w:p>
        </w:tc>
        <w:tc>
          <w:tcPr>
            <w:tcW w:w="853"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2014</w:t>
            </w:r>
          </w:p>
        </w:tc>
        <w:tc>
          <w:tcPr>
            <w:tcW w:w="831"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2015</w:t>
            </w:r>
          </w:p>
        </w:tc>
        <w:tc>
          <w:tcPr>
            <w:tcW w:w="1090" w:type="dxa"/>
            <w:shd w:val="clear" w:color="auto" w:fill="013161"/>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CA 2015</w:t>
            </w:r>
          </w:p>
        </w:tc>
      </w:tr>
      <w:tr w:rsidR="00D86A11" w:rsidRPr="000055D1">
        <w:trPr>
          <w:trHeight w:val="306"/>
        </w:trPr>
        <w:tc>
          <w:tcPr>
            <w:tcW w:w="3438" w:type="dxa"/>
            <w:shd w:val="clear" w:color="auto" w:fill="auto"/>
            <w:noWrap/>
          </w:tcPr>
          <w:p w:rsidR="00D86A11" w:rsidRPr="004C6FDE" w:rsidRDefault="00D86A11" w:rsidP="00D86A11">
            <w:pPr>
              <w:spacing w:after="0"/>
              <w:rPr>
                <w:rFonts w:ascii="Calibri" w:hAnsi="Calibri" w:cs="Calibri"/>
                <w:b/>
                <w:color w:val="013161"/>
                <w:sz w:val="20"/>
              </w:rPr>
            </w:pPr>
            <w:r w:rsidRPr="004C6FDE">
              <w:rPr>
                <w:rFonts w:ascii="Calibri" w:hAnsi="Calibri" w:cs="Calibri"/>
                <w:b/>
                <w:color w:val="013161"/>
                <w:sz w:val="20"/>
              </w:rPr>
              <w:t>First placement: relative (%)</w:t>
            </w:r>
          </w:p>
        </w:tc>
        <w:tc>
          <w:tcPr>
            <w:tcW w:w="853" w:type="dxa"/>
            <w:shd w:val="clear" w:color="auto" w:fill="auto"/>
            <w:noWrap/>
          </w:tcPr>
          <w:p w:rsidR="00D86A11" w:rsidRPr="004C6FDE" w:rsidRDefault="00D86A11" w:rsidP="00D86A11">
            <w:pPr>
              <w:spacing w:after="0"/>
              <w:jc w:val="center"/>
              <w:rPr>
                <w:rFonts w:ascii="Calibri" w:hAnsi="Calibri" w:cs="Calibri"/>
                <w:b/>
                <w:color w:val="013161"/>
                <w:sz w:val="20"/>
              </w:rPr>
            </w:pPr>
            <w:r w:rsidRPr="004C6FDE">
              <w:rPr>
                <w:rFonts w:ascii="Calibri" w:hAnsi="Calibri" w:cs="Calibri"/>
                <w:b/>
                <w:color w:val="013161"/>
                <w:sz w:val="20"/>
              </w:rPr>
              <w:t>13.9</w:t>
            </w:r>
          </w:p>
        </w:tc>
        <w:tc>
          <w:tcPr>
            <w:tcW w:w="853" w:type="dxa"/>
            <w:shd w:val="clear" w:color="auto" w:fill="auto"/>
            <w:noWrap/>
          </w:tcPr>
          <w:p w:rsidR="00D86A11" w:rsidRPr="004C6FDE" w:rsidRDefault="00D86A11" w:rsidP="00D86A11">
            <w:pPr>
              <w:spacing w:after="0"/>
              <w:jc w:val="center"/>
              <w:rPr>
                <w:rFonts w:ascii="Calibri" w:hAnsi="Calibri" w:cs="Calibri"/>
                <w:b/>
                <w:color w:val="013161"/>
                <w:sz w:val="20"/>
              </w:rPr>
            </w:pPr>
            <w:r w:rsidRPr="004C6FDE">
              <w:rPr>
                <w:rFonts w:ascii="Calibri" w:hAnsi="Calibri" w:cs="Calibri"/>
                <w:b/>
                <w:color w:val="013161"/>
                <w:sz w:val="20"/>
              </w:rPr>
              <w:t>16.4</w:t>
            </w:r>
          </w:p>
        </w:tc>
        <w:tc>
          <w:tcPr>
            <w:tcW w:w="853" w:type="dxa"/>
            <w:shd w:val="clear" w:color="auto" w:fill="auto"/>
            <w:noWrap/>
          </w:tcPr>
          <w:p w:rsidR="00D86A11" w:rsidRPr="004C6FDE" w:rsidRDefault="00D86A11" w:rsidP="00D86A11">
            <w:pPr>
              <w:spacing w:after="0"/>
              <w:jc w:val="center"/>
              <w:rPr>
                <w:rFonts w:ascii="Calibri" w:hAnsi="Calibri" w:cs="Calibri"/>
                <w:b/>
                <w:color w:val="013161"/>
                <w:sz w:val="20"/>
              </w:rPr>
            </w:pPr>
            <w:r w:rsidRPr="004C6FDE">
              <w:rPr>
                <w:rFonts w:ascii="Calibri" w:hAnsi="Calibri" w:cs="Calibri"/>
                <w:b/>
                <w:color w:val="013161"/>
                <w:sz w:val="20"/>
              </w:rPr>
              <w:t>20.8</w:t>
            </w:r>
          </w:p>
        </w:tc>
        <w:tc>
          <w:tcPr>
            <w:tcW w:w="853" w:type="dxa"/>
            <w:shd w:val="clear" w:color="auto" w:fill="auto"/>
            <w:noWrap/>
          </w:tcPr>
          <w:p w:rsidR="00D86A11" w:rsidRPr="004C6FDE" w:rsidRDefault="00D86A11" w:rsidP="00D86A11">
            <w:pPr>
              <w:spacing w:after="0"/>
              <w:jc w:val="center"/>
              <w:rPr>
                <w:rFonts w:ascii="Calibri" w:hAnsi="Calibri" w:cs="Calibri"/>
                <w:b/>
                <w:color w:val="013161"/>
                <w:sz w:val="20"/>
              </w:rPr>
            </w:pPr>
            <w:r w:rsidRPr="004C6FDE">
              <w:rPr>
                <w:rFonts w:ascii="Calibri" w:hAnsi="Calibri" w:cs="Calibri"/>
                <w:b/>
                <w:color w:val="013161"/>
                <w:sz w:val="20"/>
              </w:rPr>
              <w:t>25.3</w:t>
            </w:r>
          </w:p>
        </w:tc>
        <w:tc>
          <w:tcPr>
            <w:tcW w:w="853" w:type="dxa"/>
            <w:shd w:val="clear" w:color="auto" w:fill="auto"/>
            <w:noWrap/>
          </w:tcPr>
          <w:p w:rsidR="00D86A11" w:rsidRPr="004C6FDE" w:rsidRDefault="00D86A11" w:rsidP="00D86A11">
            <w:pPr>
              <w:spacing w:after="0"/>
              <w:jc w:val="center"/>
              <w:rPr>
                <w:rFonts w:ascii="Calibri" w:hAnsi="Calibri" w:cs="Calibri"/>
                <w:b/>
                <w:color w:val="013161"/>
                <w:sz w:val="20"/>
              </w:rPr>
            </w:pPr>
            <w:r w:rsidRPr="004C6FDE">
              <w:rPr>
                <w:rFonts w:ascii="Calibri" w:hAnsi="Calibri" w:cs="Calibri"/>
                <w:b/>
                <w:color w:val="013161"/>
                <w:sz w:val="20"/>
              </w:rPr>
              <w:t>21.0</w:t>
            </w:r>
          </w:p>
        </w:tc>
        <w:tc>
          <w:tcPr>
            <w:tcW w:w="831" w:type="dxa"/>
            <w:shd w:val="clear" w:color="auto" w:fill="auto"/>
            <w:noWrap/>
          </w:tcPr>
          <w:p w:rsidR="00D86A11" w:rsidRPr="004C6FDE" w:rsidRDefault="00D86A11" w:rsidP="00D86A11">
            <w:pPr>
              <w:spacing w:after="0"/>
              <w:jc w:val="center"/>
              <w:rPr>
                <w:rFonts w:ascii="Calibri" w:hAnsi="Calibri" w:cs="Calibri"/>
                <w:b/>
                <w:color w:val="013161"/>
                <w:sz w:val="20"/>
              </w:rPr>
            </w:pPr>
            <w:r w:rsidRPr="004C6FDE">
              <w:rPr>
                <w:rFonts w:ascii="Calibri" w:hAnsi="Calibri" w:cs="Calibri"/>
                <w:b/>
                <w:color w:val="013161"/>
                <w:sz w:val="20"/>
              </w:rPr>
              <w:t>25.2</w:t>
            </w:r>
          </w:p>
        </w:tc>
        <w:tc>
          <w:tcPr>
            <w:tcW w:w="1090" w:type="dxa"/>
            <w:shd w:val="clear" w:color="auto" w:fill="auto"/>
          </w:tcPr>
          <w:p w:rsidR="00D86A11" w:rsidRPr="004C6FDE" w:rsidRDefault="00D86A11" w:rsidP="00D86A11">
            <w:pPr>
              <w:spacing w:after="0"/>
              <w:jc w:val="center"/>
              <w:rPr>
                <w:rFonts w:ascii="Calibri" w:hAnsi="Calibri" w:cs="Calibri"/>
                <w:b/>
                <w:color w:val="2E7029"/>
                <w:sz w:val="20"/>
              </w:rPr>
            </w:pPr>
            <w:r w:rsidRPr="004C6FDE">
              <w:rPr>
                <w:rFonts w:ascii="Calibri" w:hAnsi="Calibri" w:cs="Calibri"/>
                <w:b/>
                <w:color w:val="2E7029"/>
                <w:sz w:val="20"/>
              </w:rPr>
              <w:t>27.9</w:t>
            </w:r>
          </w:p>
        </w:tc>
      </w:tr>
      <w:tr w:rsidR="00D86A11" w:rsidRPr="000055D1">
        <w:trPr>
          <w:trHeight w:val="306"/>
        </w:trPr>
        <w:tc>
          <w:tcPr>
            <w:tcW w:w="3438" w:type="dxa"/>
            <w:shd w:val="clear" w:color="auto" w:fill="DBE5F1"/>
            <w:noWrap/>
          </w:tcPr>
          <w:p w:rsidR="00D86A11" w:rsidRPr="004C6FDE" w:rsidRDefault="00D86A11" w:rsidP="00D86A11">
            <w:pPr>
              <w:spacing w:after="0"/>
              <w:rPr>
                <w:rFonts w:ascii="Calibri" w:hAnsi="Calibri" w:cs="Calibri"/>
                <w:b/>
                <w:color w:val="013161"/>
                <w:sz w:val="20"/>
              </w:rPr>
            </w:pPr>
            <w:r w:rsidRPr="004C6FDE">
              <w:rPr>
                <w:rFonts w:ascii="Calibri" w:hAnsi="Calibri" w:cs="Calibri"/>
                <w:b/>
                <w:color w:val="013161"/>
                <w:sz w:val="20"/>
              </w:rPr>
              <w:t>First placement: relative (n)</w:t>
            </w:r>
          </w:p>
        </w:tc>
        <w:tc>
          <w:tcPr>
            <w:tcW w:w="853" w:type="dxa"/>
            <w:shd w:val="clear" w:color="auto" w:fill="DBE5F1"/>
            <w:noWrap/>
          </w:tcPr>
          <w:p w:rsidR="00D86A11" w:rsidRPr="004C6FDE" w:rsidRDefault="00D86A11" w:rsidP="00D86A11">
            <w:pPr>
              <w:spacing w:after="0"/>
              <w:jc w:val="center"/>
              <w:rPr>
                <w:rFonts w:ascii="Calibri" w:hAnsi="Calibri" w:cs="Calibri"/>
                <w:b/>
                <w:color w:val="013161"/>
                <w:sz w:val="20"/>
              </w:rPr>
            </w:pPr>
            <w:r w:rsidRPr="004C6FDE">
              <w:rPr>
                <w:rFonts w:ascii="Calibri" w:hAnsi="Calibri" w:cs="Calibri"/>
                <w:b/>
                <w:color w:val="013161"/>
                <w:sz w:val="20"/>
              </w:rPr>
              <w:t>244</w:t>
            </w:r>
          </w:p>
        </w:tc>
        <w:tc>
          <w:tcPr>
            <w:tcW w:w="853" w:type="dxa"/>
            <w:shd w:val="clear" w:color="auto" w:fill="DBE5F1"/>
            <w:noWrap/>
          </w:tcPr>
          <w:p w:rsidR="00D86A11" w:rsidRPr="004C6FDE" w:rsidRDefault="00D86A11" w:rsidP="00D86A11">
            <w:pPr>
              <w:spacing w:after="0"/>
              <w:jc w:val="center"/>
              <w:rPr>
                <w:rFonts w:ascii="Calibri" w:hAnsi="Calibri" w:cs="Calibri"/>
                <w:b/>
                <w:color w:val="013161"/>
                <w:sz w:val="20"/>
              </w:rPr>
            </w:pPr>
            <w:r w:rsidRPr="004C6FDE">
              <w:rPr>
                <w:rFonts w:ascii="Calibri" w:hAnsi="Calibri" w:cs="Calibri"/>
                <w:b/>
                <w:color w:val="013161"/>
                <w:sz w:val="20"/>
              </w:rPr>
              <w:t>287</w:t>
            </w:r>
          </w:p>
        </w:tc>
        <w:tc>
          <w:tcPr>
            <w:tcW w:w="853" w:type="dxa"/>
            <w:shd w:val="clear" w:color="auto" w:fill="DBE5F1"/>
            <w:noWrap/>
          </w:tcPr>
          <w:p w:rsidR="00D86A11" w:rsidRPr="004C6FDE" w:rsidRDefault="00D86A11" w:rsidP="00D86A11">
            <w:pPr>
              <w:spacing w:after="0"/>
              <w:jc w:val="center"/>
              <w:rPr>
                <w:rFonts w:ascii="Calibri" w:hAnsi="Calibri" w:cs="Calibri"/>
                <w:b/>
                <w:color w:val="013161"/>
                <w:sz w:val="20"/>
              </w:rPr>
            </w:pPr>
            <w:r w:rsidRPr="004C6FDE">
              <w:rPr>
                <w:rFonts w:ascii="Calibri" w:hAnsi="Calibri" w:cs="Calibri"/>
                <w:b/>
                <w:color w:val="013161"/>
                <w:sz w:val="20"/>
              </w:rPr>
              <w:t>385</w:t>
            </w:r>
          </w:p>
        </w:tc>
        <w:tc>
          <w:tcPr>
            <w:tcW w:w="853" w:type="dxa"/>
            <w:shd w:val="clear" w:color="auto" w:fill="DBE5F1"/>
            <w:noWrap/>
          </w:tcPr>
          <w:p w:rsidR="00D86A11" w:rsidRPr="004C6FDE" w:rsidRDefault="00D86A11" w:rsidP="00D86A11">
            <w:pPr>
              <w:spacing w:after="0"/>
              <w:jc w:val="center"/>
              <w:rPr>
                <w:rFonts w:ascii="Calibri" w:hAnsi="Calibri" w:cs="Calibri"/>
                <w:b/>
                <w:color w:val="013161"/>
                <w:sz w:val="20"/>
              </w:rPr>
            </w:pPr>
            <w:r w:rsidRPr="004C6FDE">
              <w:rPr>
                <w:rFonts w:ascii="Calibri" w:hAnsi="Calibri" w:cs="Calibri"/>
                <w:b/>
                <w:color w:val="013161"/>
                <w:sz w:val="20"/>
              </w:rPr>
              <w:t>387</w:t>
            </w:r>
          </w:p>
        </w:tc>
        <w:tc>
          <w:tcPr>
            <w:tcW w:w="853" w:type="dxa"/>
            <w:shd w:val="clear" w:color="auto" w:fill="DBE5F1"/>
            <w:noWrap/>
          </w:tcPr>
          <w:p w:rsidR="00D86A11" w:rsidRPr="004C6FDE" w:rsidRDefault="00D86A11" w:rsidP="00D86A11">
            <w:pPr>
              <w:spacing w:after="0"/>
              <w:jc w:val="center"/>
              <w:rPr>
                <w:rFonts w:ascii="Calibri" w:hAnsi="Calibri" w:cs="Calibri"/>
                <w:b/>
                <w:color w:val="013161"/>
                <w:sz w:val="20"/>
              </w:rPr>
            </w:pPr>
            <w:r w:rsidRPr="004C6FDE">
              <w:rPr>
                <w:rFonts w:ascii="Calibri" w:hAnsi="Calibri" w:cs="Calibri"/>
                <w:b/>
                <w:color w:val="013161"/>
                <w:sz w:val="20"/>
              </w:rPr>
              <w:t>316</w:t>
            </w:r>
          </w:p>
        </w:tc>
        <w:tc>
          <w:tcPr>
            <w:tcW w:w="831" w:type="dxa"/>
            <w:shd w:val="clear" w:color="auto" w:fill="DBE5F1"/>
            <w:noWrap/>
          </w:tcPr>
          <w:p w:rsidR="00D86A11" w:rsidRPr="004C6FDE" w:rsidRDefault="00D86A11" w:rsidP="00D86A11">
            <w:pPr>
              <w:spacing w:after="0"/>
              <w:jc w:val="center"/>
              <w:rPr>
                <w:rFonts w:ascii="Calibri" w:hAnsi="Calibri" w:cs="Calibri"/>
                <w:b/>
                <w:color w:val="013161"/>
                <w:sz w:val="20"/>
              </w:rPr>
            </w:pPr>
            <w:r w:rsidRPr="004C6FDE">
              <w:rPr>
                <w:rFonts w:ascii="Calibri" w:hAnsi="Calibri" w:cs="Calibri"/>
                <w:b/>
                <w:color w:val="013161"/>
                <w:sz w:val="20"/>
              </w:rPr>
              <w:t>347</w:t>
            </w:r>
          </w:p>
        </w:tc>
        <w:tc>
          <w:tcPr>
            <w:tcW w:w="1090" w:type="dxa"/>
            <w:shd w:val="clear" w:color="auto" w:fill="DBE5F1"/>
          </w:tcPr>
          <w:p w:rsidR="00D86A11" w:rsidRPr="004C6FDE" w:rsidRDefault="00D86A11" w:rsidP="00D86A11">
            <w:pPr>
              <w:spacing w:after="0"/>
              <w:jc w:val="center"/>
              <w:rPr>
                <w:rFonts w:ascii="Calibri" w:hAnsi="Calibri" w:cs="Calibri"/>
                <w:color w:val="2E7029"/>
                <w:sz w:val="20"/>
              </w:rPr>
            </w:pPr>
            <w:r w:rsidRPr="004C6FDE">
              <w:rPr>
                <w:rFonts w:ascii="Calibri" w:hAnsi="Calibri" w:cs="Calibri"/>
                <w:color w:val="2E7029"/>
                <w:sz w:val="20"/>
              </w:rPr>
              <w:t>-</w:t>
            </w:r>
          </w:p>
        </w:tc>
      </w:tr>
      <w:tr w:rsidR="00D86A11" w:rsidRPr="000055D1">
        <w:trPr>
          <w:trHeight w:val="306"/>
        </w:trPr>
        <w:tc>
          <w:tcPr>
            <w:tcW w:w="3438" w:type="dxa"/>
            <w:shd w:val="clear" w:color="auto" w:fill="auto"/>
            <w:noWrap/>
          </w:tcPr>
          <w:p w:rsidR="00D86A11" w:rsidRPr="004C6FDE" w:rsidRDefault="00D86A11" w:rsidP="00D86A11">
            <w:pPr>
              <w:spacing w:after="0" w:line="240" w:lineRule="auto"/>
              <w:rPr>
                <w:rFonts w:ascii="Calibri" w:eastAsia="Times New Roman" w:hAnsi="Calibri" w:cs="Arial"/>
                <w:b/>
                <w:color w:val="013161"/>
                <w:sz w:val="20"/>
              </w:rPr>
            </w:pPr>
            <w:r w:rsidRPr="004C6FDE">
              <w:rPr>
                <w:rFonts w:ascii="Calibri" w:eastAsia="Times New Roman" w:hAnsi="Calibri" w:cs="Arial"/>
                <w:b/>
                <w:color w:val="013161"/>
                <w:sz w:val="20"/>
              </w:rPr>
              <w:t>First placement: foster home (%)</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33.6</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26.2</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23.7</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26.6</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28.1</w:t>
            </w:r>
          </w:p>
        </w:tc>
        <w:tc>
          <w:tcPr>
            <w:tcW w:w="831"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27.6</w:t>
            </w:r>
          </w:p>
        </w:tc>
        <w:tc>
          <w:tcPr>
            <w:tcW w:w="1090" w:type="dxa"/>
            <w:shd w:val="clear" w:color="auto" w:fill="auto"/>
          </w:tcPr>
          <w:p w:rsidR="00D86A11" w:rsidRPr="004C6FDE" w:rsidRDefault="00D86A11" w:rsidP="00D86A11">
            <w:pPr>
              <w:spacing w:after="0" w:line="240" w:lineRule="auto"/>
              <w:jc w:val="center"/>
              <w:rPr>
                <w:rFonts w:ascii="Calibri" w:eastAsia="Times New Roman" w:hAnsi="Calibri" w:cs="Arial"/>
                <w:b/>
                <w:color w:val="2E7029"/>
                <w:sz w:val="20"/>
              </w:rPr>
            </w:pPr>
            <w:r w:rsidRPr="004C6FDE">
              <w:rPr>
                <w:rFonts w:ascii="Calibri" w:eastAsia="Times New Roman" w:hAnsi="Calibri" w:cs="Arial"/>
                <w:b/>
                <w:color w:val="2E7029"/>
                <w:sz w:val="20"/>
              </w:rPr>
              <w:t>15.3</w:t>
            </w:r>
          </w:p>
        </w:tc>
      </w:tr>
      <w:tr w:rsidR="00D86A11" w:rsidRPr="000055D1">
        <w:trPr>
          <w:trHeight w:val="306"/>
        </w:trPr>
        <w:tc>
          <w:tcPr>
            <w:tcW w:w="3438" w:type="dxa"/>
            <w:shd w:val="clear" w:color="auto" w:fill="DBE5F1"/>
            <w:noWrap/>
          </w:tcPr>
          <w:p w:rsidR="00D86A11" w:rsidRPr="004C6FDE" w:rsidRDefault="00D86A11" w:rsidP="00D86A11">
            <w:pPr>
              <w:spacing w:after="0" w:line="240" w:lineRule="auto"/>
              <w:rPr>
                <w:rFonts w:ascii="Calibri" w:eastAsia="Times New Roman" w:hAnsi="Calibri" w:cs="Arial"/>
                <w:b/>
                <w:color w:val="013161"/>
                <w:sz w:val="20"/>
              </w:rPr>
            </w:pPr>
            <w:r w:rsidRPr="004C6FDE">
              <w:rPr>
                <w:rFonts w:ascii="Calibri" w:eastAsia="Times New Roman" w:hAnsi="Calibri" w:cs="Arial"/>
                <w:b/>
                <w:color w:val="013161"/>
                <w:sz w:val="20"/>
              </w:rPr>
              <w:t>First placement: foster home (n)</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592</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458</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437</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406</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424</w:t>
            </w:r>
          </w:p>
        </w:tc>
        <w:tc>
          <w:tcPr>
            <w:tcW w:w="831"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379</w:t>
            </w:r>
          </w:p>
        </w:tc>
        <w:tc>
          <w:tcPr>
            <w:tcW w:w="1090" w:type="dxa"/>
            <w:shd w:val="clear" w:color="auto" w:fill="DBE5F1"/>
          </w:tcPr>
          <w:p w:rsidR="00D86A11" w:rsidRPr="004C6FDE" w:rsidRDefault="00D86A11" w:rsidP="00D86A11">
            <w:pPr>
              <w:spacing w:after="0" w:line="240" w:lineRule="auto"/>
              <w:jc w:val="center"/>
              <w:rPr>
                <w:rFonts w:ascii="Calibri" w:eastAsia="Times New Roman" w:hAnsi="Calibri" w:cs="Arial"/>
                <w:color w:val="2E7029"/>
                <w:sz w:val="20"/>
              </w:rPr>
            </w:pPr>
            <w:r w:rsidRPr="004C6FDE">
              <w:rPr>
                <w:rFonts w:ascii="Calibri" w:eastAsia="Times New Roman" w:hAnsi="Calibri" w:cs="Arial"/>
                <w:color w:val="2E7029"/>
                <w:sz w:val="20"/>
              </w:rPr>
              <w:t>-</w:t>
            </w:r>
          </w:p>
        </w:tc>
      </w:tr>
      <w:tr w:rsidR="00D86A11" w:rsidRPr="000055D1">
        <w:trPr>
          <w:trHeight w:val="306"/>
        </w:trPr>
        <w:tc>
          <w:tcPr>
            <w:tcW w:w="3438" w:type="dxa"/>
            <w:shd w:val="clear" w:color="auto" w:fill="auto"/>
            <w:noWrap/>
          </w:tcPr>
          <w:p w:rsidR="00D86A11" w:rsidRPr="004C6FDE" w:rsidRDefault="00D86A11" w:rsidP="00D86A11">
            <w:pPr>
              <w:spacing w:after="0" w:line="240" w:lineRule="auto"/>
              <w:rPr>
                <w:rFonts w:ascii="Calibri" w:eastAsia="Times New Roman" w:hAnsi="Calibri" w:cs="Arial"/>
                <w:b/>
                <w:color w:val="013161"/>
                <w:sz w:val="20"/>
              </w:rPr>
            </w:pPr>
            <w:r w:rsidRPr="004C6FDE">
              <w:rPr>
                <w:rFonts w:ascii="Calibri" w:eastAsia="Times New Roman" w:hAnsi="Calibri" w:cs="Arial"/>
                <w:b/>
                <w:color w:val="013161"/>
                <w:sz w:val="20"/>
              </w:rPr>
              <w:t>First placement: foster family agency home (FFA) (%)</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3.6</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2.8</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4.2</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4.3</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4.3</w:t>
            </w:r>
          </w:p>
        </w:tc>
        <w:tc>
          <w:tcPr>
            <w:tcW w:w="831"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4.9</w:t>
            </w:r>
          </w:p>
        </w:tc>
        <w:tc>
          <w:tcPr>
            <w:tcW w:w="1090" w:type="dxa"/>
            <w:shd w:val="clear" w:color="auto" w:fill="auto"/>
          </w:tcPr>
          <w:p w:rsidR="00D86A11" w:rsidRPr="004C6FDE" w:rsidRDefault="00D86A11" w:rsidP="00D86A11">
            <w:pPr>
              <w:spacing w:after="0" w:line="240" w:lineRule="auto"/>
              <w:jc w:val="center"/>
              <w:rPr>
                <w:rFonts w:ascii="Calibri" w:eastAsia="Times New Roman" w:hAnsi="Calibri" w:cs="Arial"/>
                <w:b/>
                <w:color w:val="2E7029"/>
                <w:sz w:val="20"/>
              </w:rPr>
            </w:pPr>
            <w:r w:rsidRPr="004C6FDE">
              <w:rPr>
                <w:rFonts w:ascii="Calibri" w:eastAsia="Times New Roman" w:hAnsi="Calibri" w:cs="Arial"/>
                <w:b/>
                <w:color w:val="2E7029"/>
                <w:sz w:val="20"/>
              </w:rPr>
              <w:t>43.0</w:t>
            </w:r>
          </w:p>
        </w:tc>
      </w:tr>
      <w:tr w:rsidR="00D86A11" w:rsidRPr="000055D1">
        <w:trPr>
          <w:trHeight w:val="306"/>
        </w:trPr>
        <w:tc>
          <w:tcPr>
            <w:tcW w:w="3438" w:type="dxa"/>
            <w:shd w:val="clear" w:color="auto" w:fill="DBE5F1"/>
            <w:noWrap/>
          </w:tcPr>
          <w:p w:rsidR="00D86A11" w:rsidRPr="004C6FDE" w:rsidRDefault="00D86A11" w:rsidP="00D86A11">
            <w:pPr>
              <w:spacing w:after="0" w:line="240" w:lineRule="auto"/>
              <w:rPr>
                <w:rFonts w:ascii="Calibri" w:eastAsia="Times New Roman" w:hAnsi="Calibri" w:cs="Arial"/>
                <w:b/>
                <w:color w:val="013161"/>
                <w:sz w:val="20"/>
              </w:rPr>
            </w:pPr>
            <w:r w:rsidRPr="004C6FDE">
              <w:rPr>
                <w:rFonts w:ascii="Calibri" w:eastAsia="Times New Roman" w:hAnsi="Calibri" w:cs="Arial"/>
                <w:b/>
                <w:color w:val="013161"/>
                <w:sz w:val="20"/>
              </w:rPr>
              <w:t>First placement: FFA (n)</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64</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49</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77</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66</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65</w:t>
            </w:r>
          </w:p>
        </w:tc>
        <w:tc>
          <w:tcPr>
            <w:tcW w:w="831"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67</w:t>
            </w:r>
          </w:p>
        </w:tc>
        <w:tc>
          <w:tcPr>
            <w:tcW w:w="1090" w:type="dxa"/>
            <w:shd w:val="clear" w:color="auto" w:fill="DBE5F1"/>
          </w:tcPr>
          <w:p w:rsidR="00D86A11" w:rsidRPr="004C6FDE" w:rsidRDefault="00D86A11" w:rsidP="00D86A11">
            <w:pPr>
              <w:spacing w:after="0" w:line="240" w:lineRule="auto"/>
              <w:jc w:val="center"/>
              <w:rPr>
                <w:rFonts w:ascii="Calibri" w:eastAsia="Times New Roman" w:hAnsi="Calibri" w:cs="Arial"/>
                <w:color w:val="2E7029"/>
                <w:sz w:val="20"/>
              </w:rPr>
            </w:pPr>
            <w:r w:rsidRPr="004C6FDE">
              <w:rPr>
                <w:rFonts w:ascii="Calibri" w:eastAsia="Times New Roman" w:hAnsi="Calibri" w:cs="Arial"/>
                <w:color w:val="2E7029"/>
                <w:sz w:val="20"/>
              </w:rPr>
              <w:t>-</w:t>
            </w:r>
          </w:p>
        </w:tc>
      </w:tr>
      <w:tr w:rsidR="00D86A11" w:rsidRPr="000055D1">
        <w:trPr>
          <w:trHeight w:val="306"/>
        </w:trPr>
        <w:tc>
          <w:tcPr>
            <w:tcW w:w="3438" w:type="dxa"/>
            <w:shd w:val="clear" w:color="auto" w:fill="auto"/>
            <w:noWrap/>
          </w:tcPr>
          <w:p w:rsidR="00D86A11" w:rsidRPr="004C6FDE" w:rsidRDefault="00D86A11" w:rsidP="00D86A11">
            <w:pPr>
              <w:spacing w:after="0" w:line="240" w:lineRule="auto"/>
              <w:rPr>
                <w:rFonts w:ascii="Calibri" w:eastAsia="Times New Roman" w:hAnsi="Calibri" w:cs="Arial"/>
                <w:b/>
                <w:color w:val="013161"/>
                <w:sz w:val="20"/>
              </w:rPr>
            </w:pPr>
            <w:r w:rsidRPr="004C6FDE">
              <w:rPr>
                <w:rFonts w:ascii="Calibri" w:eastAsia="Times New Roman" w:hAnsi="Calibri" w:cs="Arial"/>
                <w:b/>
                <w:color w:val="013161"/>
                <w:sz w:val="20"/>
              </w:rPr>
              <w:t>First placement: group/shelter (%)</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43.6</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50.1</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48.2</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40.9</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42.5</w:t>
            </w:r>
          </w:p>
        </w:tc>
        <w:tc>
          <w:tcPr>
            <w:tcW w:w="831"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38.3</w:t>
            </w:r>
          </w:p>
        </w:tc>
        <w:tc>
          <w:tcPr>
            <w:tcW w:w="1090" w:type="dxa"/>
            <w:shd w:val="clear" w:color="auto" w:fill="auto"/>
          </w:tcPr>
          <w:p w:rsidR="00D86A11" w:rsidRPr="004C6FDE" w:rsidRDefault="00D86A11" w:rsidP="00D86A11">
            <w:pPr>
              <w:spacing w:after="0" w:line="240" w:lineRule="auto"/>
              <w:jc w:val="center"/>
              <w:rPr>
                <w:rFonts w:ascii="Calibri" w:eastAsia="Times New Roman" w:hAnsi="Calibri" w:cs="Arial"/>
                <w:b/>
                <w:color w:val="2E7029"/>
                <w:sz w:val="20"/>
              </w:rPr>
            </w:pPr>
            <w:r w:rsidRPr="004C6FDE">
              <w:rPr>
                <w:rFonts w:ascii="Calibri" w:eastAsia="Times New Roman" w:hAnsi="Calibri" w:cs="Arial"/>
                <w:b/>
                <w:color w:val="2E7029"/>
                <w:sz w:val="20"/>
              </w:rPr>
              <w:t>11.3</w:t>
            </w:r>
          </w:p>
        </w:tc>
      </w:tr>
      <w:tr w:rsidR="00D86A11" w:rsidRPr="000055D1">
        <w:trPr>
          <w:trHeight w:val="306"/>
        </w:trPr>
        <w:tc>
          <w:tcPr>
            <w:tcW w:w="3438" w:type="dxa"/>
            <w:shd w:val="clear" w:color="auto" w:fill="DBE5F1"/>
            <w:noWrap/>
          </w:tcPr>
          <w:p w:rsidR="00D86A11" w:rsidRPr="004C6FDE" w:rsidRDefault="00D86A11" w:rsidP="00D86A11">
            <w:pPr>
              <w:spacing w:after="0" w:line="240" w:lineRule="auto"/>
              <w:rPr>
                <w:rFonts w:ascii="Calibri" w:eastAsia="Times New Roman" w:hAnsi="Calibri" w:cs="Arial"/>
                <w:b/>
                <w:color w:val="013161"/>
                <w:sz w:val="20"/>
              </w:rPr>
            </w:pPr>
            <w:r w:rsidRPr="004C6FDE">
              <w:rPr>
                <w:rFonts w:ascii="Calibri" w:eastAsia="Times New Roman" w:hAnsi="Calibri" w:cs="Arial"/>
                <w:b/>
                <w:color w:val="013161"/>
                <w:sz w:val="20"/>
              </w:rPr>
              <w:t>First placement: group/shelter (n)</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767</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876</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890</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625</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641</w:t>
            </w:r>
          </w:p>
        </w:tc>
        <w:tc>
          <w:tcPr>
            <w:tcW w:w="831"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526</w:t>
            </w:r>
          </w:p>
        </w:tc>
        <w:tc>
          <w:tcPr>
            <w:tcW w:w="1090" w:type="dxa"/>
            <w:shd w:val="clear" w:color="auto" w:fill="DBE5F1"/>
          </w:tcPr>
          <w:p w:rsidR="00D86A11" w:rsidRPr="004C6FDE" w:rsidRDefault="00D86A11" w:rsidP="00D86A11">
            <w:pPr>
              <w:spacing w:after="0" w:line="240" w:lineRule="auto"/>
              <w:jc w:val="center"/>
              <w:rPr>
                <w:rFonts w:ascii="Calibri" w:eastAsia="Times New Roman" w:hAnsi="Calibri" w:cs="Arial"/>
                <w:color w:val="2E7029"/>
                <w:sz w:val="20"/>
              </w:rPr>
            </w:pPr>
            <w:r w:rsidRPr="004C6FDE">
              <w:rPr>
                <w:rFonts w:ascii="Calibri" w:eastAsia="Times New Roman" w:hAnsi="Calibri" w:cs="Arial"/>
                <w:color w:val="2E7029"/>
                <w:sz w:val="20"/>
              </w:rPr>
              <w:t>-</w:t>
            </w:r>
          </w:p>
        </w:tc>
      </w:tr>
      <w:tr w:rsidR="00D86A11" w:rsidRPr="000055D1">
        <w:trPr>
          <w:trHeight w:val="306"/>
        </w:trPr>
        <w:tc>
          <w:tcPr>
            <w:tcW w:w="3438" w:type="dxa"/>
            <w:shd w:val="clear" w:color="auto" w:fill="auto"/>
            <w:noWrap/>
          </w:tcPr>
          <w:p w:rsidR="00D86A11" w:rsidRPr="004C6FDE" w:rsidRDefault="00D86A11" w:rsidP="00D86A11">
            <w:pPr>
              <w:spacing w:after="0" w:line="240" w:lineRule="auto"/>
              <w:rPr>
                <w:rFonts w:ascii="Calibri" w:eastAsia="Times New Roman" w:hAnsi="Calibri" w:cs="Arial"/>
                <w:b/>
                <w:color w:val="013161"/>
                <w:sz w:val="20"/>
              </w:rPr>
            </w:pPr>
            <w:r w:rsidRPr="004C6FDE">
              <w:rPr>
                <w:rFonts w:ascii="Calibri" w:eastAsia="Times New Roman" w:hAnsi="Calibri" w:cs="Arial"/>
                <w:b/>
                <w:color w:val="013161"/>
                <w:sz w:val="20"/>
              </w:rPr>
              <w:t>First placement: other (%)</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5.3</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4.4</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3.1</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2.9</w:t>
            </w:r>
          </w:p>
        </w:tc>
        <w:tc>
          <w:tcPr>
            <w:tcW w:w="853"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4.0</w:t>
            </w:r>
          </w:p>
        </w:tc>
        <w:tc>
          <w:tcPr>
            <w:tcW w:w="831" w:type="dxa"/>
            <w:shd w:val="clear" w:color="auto" w:fill="auto"/>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4.1</w:t>
            </w:r>
          </w:p>
        </w:tc>
        <w:tc>
          <w:tcPr>
            <w:tcW w:w="1090" w:type="dxa"/>
            <w:shd w:val="clear" w:color="auto" w:fill="auto"/>
          </w:tcPr>
          <w:p w:rsidR="00D86A11" w:rsidRPr="004C6FDE" w:rsidRDefault="00D86A11" w:rsidP="00D86A11">
            <w:pPr>
              <w:spacing w:after="0" w:line="240" w:lineRule="auto"/>
              <w:jc w:val="center"/>
              <w:rPr>
                <w:rFonts w:ascii="Calibri" w:eastAsia="Times New Roman" w:hAnsi="Calibri" w:cs="Arial"/>
                <w:b/>
                <w:color w:val="2E7029"/>
                <w:sz w:val="20"/>
              </w:rPr>
            </w:pPr>
            <w:r w:rsidRPr="004C6FDE">
              <w:rPr>
                <w:rFonts w:ascii="Calibri" w:eastAsia="Times New Roman" w:hAnsi="Calibri" w:cs="Arial"/>
                <w:b/>
                <w:color w:val="2E7029"/>
                <w:sz w:val="20"/>
              </w:rPr>
              <w:t>2.5</w:t>
            </w:r>
          </w:p>
        </w:tc>
      </w:tr>
      <w:tr w:rsidR="00D86A11" w:rsidRPr="000055D1">
        <w:trPr>
          <w:trHeight w:val="306"/>
        </w:trPr>
        <w:tc>
          <w:tcPr>
            <w:tcW w:w="3438" w:type="dxa"/>
            <w:shd w:val="clear" w:color="auto" w:fill="DBE5F1"/>
            <w:noWrap/>
          </w:tcPr>
          <w:p w:rsidR="00D86A11" w:rsidRPr="004C6FDE" w:rsidRDefault="00D86A11" w:rsidP="00D86A11">
            <w:pPr>
              <w:spacing w:after="0" w:line="240" w:lineRule="auto"/>
              <w:rPr>
                <w:rFonts w:ascii="Calibri" w:eastAsia="Times New Roman" w:hAnsi="Calibri" w:cs="Arial"/>
                <w:b/>
                <w:color w:val="013161"/>
                <w:sz w:val="20"/>
              </w:rPr>
            </w:pPr>
            <w:r w:rsidRPr="004C6FDE">
              <w:rPr>
                <w:rFonts w:ascii="Calibri" w:eastAsia="Times New Roman" w:hAnsi="Calibri" w:cs="Arial"/>
                <w:b/>
                <w:color w:val="013161"/>
                <w:sz w:val="20"/>
              </w:rPr>
              <w:t>First placement: other (n)</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94</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77</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58</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45</w:t>
            </w:r>
          </w:p>
        </w:tc>
        <w:tc>
          <w:tcPr>
            <w:tcW w:w="853"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61</w:t>
            </w:r>
          </w:p>
        </w:tc>
        <w:tc>
          <w:tcPr>
            <w:tcW w:w="831" w:type="dxa"/>
            <w:shd w:val="clear" w:color="auto" w:fill="DBE5F1"/>
            <w:noWrap/>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56</w:t>
            </w:r>
          </w:p>
        </w:tc>
        <w:tc>
          <w:tcPr>
            <w:tcW w:w="1090" w:type="dxa"/>
            <w:shd w:val="clear" w:color="auto" w:fill="DBE5F1"/>
          </w:tcPr>
          <w:p w:rsidR="00D86A11" w:rsidRPr="004C6FDE" w:rsidRDefault="00D86A11" w:rsidP="00D86A11">
            <w:pPr>
              <w:spacing w:after="0" w:line="240" w:lineRule="auto"/>
              <w:jc w:val="center"/>
              <w:rPr>
                <w:rFonts w:ascii="Calibri" w:eastAsia="Times New Roman" w:hAnsi="Calibri" w:cs="Arial"/>
                <w:color w:val="2E7029"/>
                <w:sz w:val="20"/>
              </w:rPr>
            </w:pPr>
            <w:r w:rsidRPr="004C6FDE">
              <w:rPr>
                <w:rFonts w:ascii="Calibri" w:eastAsia="Times New Roman" w:hAnsi="Calibri" w:cs="Arial"/>
                <w:color w:val="2E7029"/>
                <w:sz w:val="20"/>
              </w:rPr>
              <w:t>-</w:t>
            </w:r>
          </w:p>
        </w:tc>
      </w:tr>
    </w:tbl>
    <w:p w:rsidR="00D86A11" w:rsidRPr="005217F6" w:rsidRDefault="00D86A11" w:rsidP="00D86A11">
      <w:pPr>
        <w:pStyle w:val="Heading1"/>
        <w:rPr>
          <w:color w:val="2E7029"/>
          <w:sz w:val="24"/>
        </w:rPr>
      </w:pPr>
      <w:r w:rsidRPr="005217F6">
        <w:rPr>
          <w:color w:val="2E7029"/>
          <w:sz w:val="24"/>
        </w:rPr>
        <w:t xml:space="preserve">Analysis </w:t>
      </w:r>
    </w:p>
    <w:p w:rsidR="00D86A11" w:rsidRPr="00030064" w:rsidRDefault="00D86A11" w:rsidP="00D86A11">
      <w:pPr>
        <w:spacing w:after="0"/>
        <w:rPr>
          <w:rFonts w:ascii="Franklin Gothic Book" w:hAnsi="Franklin Gothic Book"/>
          <w:color w:val="auto"/>
          <w:spacing w:val="20"/>
          <w:szCs w:val="28"/>
        </w:rPr>
      </w:pPr>
      <w:r w:rsidRPr="00030064">
        <w:rPr>
          <w:rFonts w:ascii="Franklin Gothic Book" w:hAnsi="Franklin Gothic Book"/>
          <w:b/>
          <w:color w:val="auto"/>
          <w:spacing w:val="20"/>
          <w:szCs w:val="28"/>
        </w:rPr>
        <w:t>Trends:</w:t>
      </w:r>
      <w:r w:rsidRPr="00030064">
        <w:rPr>
          <w:rFonts w:ascii="Franklin Gothic Book" w:hAnsi="Franklin Gothic Book"/>
          <w:color w:val="auto"/>
          <w:spacing w:val="20"/>
          <w:szCs w:val="28"/>
        </w:rPr>
        <w:t xml:space="preserve"> In 2015, the County’s most common first placement was in a group/shelter setting (38.3%) while the State’s most common first placement was in an FFA (43.0%). Currently in </w:t>
      </w:r>
      <w:r>
        <w:rPr>
          <w:rFonts w:ascii="Franklin Gothic Book" w:hAnsi="Franklin Gothic Book"/>
          <w:color w:val="auto"/>
          <w:spacing w:val="20"/>
          <w:szCs w:val="28"/>
        </w:rPr>
        <w:t>the County of San Diego</w:t>
      </w:r>
      <w:r w:rsidRPr="00030064">
        <w:rPr>
          <w:rFonts w:ascii="Franklin Gothic Book" w:hAnsi="Franklin Gothic Book"/>
          <w:color w:val="auto"/>
          <w:spacing w:val="20"/>
          <w:szCs w:val="28"/>
        </w:rPr>
        <w:t xml:space="preserve">, many children are placed briefly at the County’s shelter, Polinsky Children’s Center (PCC), when they first enter out-of-home care. However, this will be changing soon with Continuum of Care Reform (CCR). In the future, more children will go directly to a foster home or relative home and stays at PCC will be limited to 10 days. </w:t>
      </w:r>
    </w:p>
    <w:p w:rsidR="00D86A11" w:rsidRPr="00E952A8" w:rsidRDefault="00D86A11" w:rsidP="00E952A8">
      <w:pPr>
        <w:pStyle w:val="Heading3"/>
        <w:spacing w:line="276" w:lineRule="auto"/>
        <w:rPr>
          <w:b w:val="0"/>
          <w:color w:val="auto"/>
          <w:sz w:val="22"/>
        </w:rPr>
      </w:pPr>
      <w:r w:rsidRPr="00E952A8">
        <w:rPr>
          <w:b w:val="0"/>
          <w:color w:val="auto"/>
          <w:sz w:val="22"/>
        </w:rPr>
        <w:t xml:space="preserve">The County has greatly improved its percent of children whose first placement is with a relative, increasing the rate from 13.9% in 2010 to 25.2% in 2015. The percent of children whose first placement is an FFA also increased from 3.6% to 4.9%. First placements in foster homes and shelter/group homes have decreased. </w:t>
      </w:r>
    </w:p>
    <w:p w:rsidR="00D86A11" w:rsidRPr="00030064" w:rsidRDefault="00D86A11" w:rsidP="00D86A11">
      <w:pPr>
        <w:spacing w:before="240" w:after="0"/>
        <w:rPr>
          <w:rFonts w:ascii="Franklin Gothic Book" w:hAnsi="Franklin Gothic Book"/>
          <w:color w:val="auto"/>
          <w:spacing w:val="20"/>
          <w:szCs w:val="28"/>
        </w:rPr>
      </w:pPr>
      <w:r w:rsidRPr="00030064">
        <w:rPr>
          <w:rFonts w:ascii="Franklin Gothic Book" w:hAnsi="Franklin Gothic Book"/>
          <w:b/>
          <w:color w:val="auto"/>
          <w:spacing w:val="20"/>
          <w:szCs w:val="28"/>
        </w:rPr>
        <w:t>Race/Ethnicity:</w:t>
      </w:r>
      <w:r w:rsidRPr="00030064">
        <w:rPr>
          <w:rFonts w:ascii="Franklin Gothic Book" w:hAnsi="Franklin Gothic Book"/>
          <w:color w:val="auto"/>
          <w:spacing w:val="20"/>
          <w:szCs w:val="28"/>
        </w:rPr>
        <w:t xml:space="preserve"> In 2015, Latino children comprised the largest group of children entering placement in </w:t>
      </w:r>
      <w:r>
        <w:rPr>
          <w:rFonts w:ascii="Franklin Gothic Book" w:hAnsi="Franklin Gothic Book"/>
          <w:color w:val="auto"/>
          <w:spacing w:val="20"/>
          <w:szCs w:val="28"/>
        </w:rPr>
        <w:t>the County of San Diego</w:t>
      </w:r>
      <w:r w:rsidRPr="00030064">
        <w:rPr>
          <w:rFonts w:ascii="Franklin Gothic Book" w:hAnsi="Franklin Gothic Book"/>
          <w:color w:val="auto"/>
          <w:spacing w:val="20"/>
          <w:szCs w:val="28"/>
        </w:rPr>
        <w:t xml:space="preserve"> and the most common first placement for Latino children was at PCC at 44.3%, followed by Black children at 32.5%, Asian/PI at 31.0%, White children at 27.5% and Native American children at 5.9%. It’s possible that the high proportion of Latino children placed at PCC is due in part to the large influx of unaccompanied minors that crossed the border in the past year that were placed at the shelter until a relative was found. The most common first placement for Native American and White children was with relatives. Native American children had the highest percent of relative placement at 41.2%, </w:t>
      </w:r>
      <w:r w:rsidRPr="00030064">
        <w:rPr>
          <w:rFonts w:ascii="Franklin Gothic Book" w:hAnsi="Franklin Gothic Book"/>
          <w:color w:val="auto"/>
          <w:spacing w:val="20"/>
          <w:szCs w:val="28"/>
        </w:rPr>
        <w:lastRenderedPageBreak/>
        <w:t>followed by White children at 34.6%, Asian/PI children at 26.2%, Black at 22.3% and Latino at 21.1%. The most common first placement for Asian/PI and Black children was in a foster home, at 35.7% and 35.0% respectively, followed by Latino children at 27.7%, White children at 27.2%, and Native American children at 11.8%. Native American children had the highest percent of children first placed in an FFA home at 29.4%; the percentages for all other race/ethnicities ranged from 4.2% to 7.1%.</w:t>
      </w:r>
    </w:p>
    <w:p w:rsidR="00FA6C8C" w:rsidRDefault="00D86A11" w:rsidP="00D86A11">
      <w:pPr>
        <w:spacing w:before="240" w:after="0"/>
        <w:rPr>
          <w:rFonts w:ascii="Franklin Gothic Book" w:hAnsi="Franklin Gothic Book"/>
          <w:color w:val="auto"/>
          <w:spacing w:val="20"/>
          <w:szCs w:val="28"/>
        </w:rPr>
      </w:pPr>
      <w:r w:rsidRPr="00030064">
        <w:rPr>
          <w:rFonts w:ascii="Franklin Gothic Book" w:hAnsi="Franklin Gothic Book"/>
          <w:b/>
          <w:color w:val="auto"/>
          <w:spacing w:val="20"/>
          <w:szCs w:val="28"/>
        </w:rPr>
        <w:t>Age:</w:t>
      </w:r>
      <w:r w:rsidRPr="00030064">
        <w:rPr>
          <w:rFonts w:ascii="Franklin Gothic Book" w:hAnsi="Franklin Gothic Book"/>
          <w:color w:val="auto"/>
          <w:spacing w:val="20"/>
          <w:szCs w:val="28"/>
        </w:rPr>
        <w:t xml:space="preserve"> The most common first placement for children under 1 year of age was a foster home and for all other children it was PCC. The 11-15 year olds had the highest percent of children first placed at PCC (shelter) at 60.7%, followed by 16-17 year olds at 58.3%, 6-10 year olds at 52.3%, 3-5 year olds at 43.1%, 1-2 year olds at 35.4%, 1-11 month olds at 26.6%, and children under one year of age at 1.5%. The age group that was most likely to be first placed with relatives was 1-2 year olds at 30.9%, followed by 3-5 year olds at 28.7%, 6-10 year olds at 24.0%, 11-15 year olds at 23.6%, 1-11 month olds at 23.1, children under 1 month of age at 23.0% and 16-17 year olds at 16.7%. </w:t>
      </w:r>
    </w:p>
    <w:p w:rsidR="00D86A11" w:rsidRPr="00030064" w:rsidRDefault="00FA6C8C" w:rsidP="00D86A11">
      <w:pPr>
        <w:spacing w:before="240" w:after="0"/>
        <w:rPr>
          <w:rFonts w:ascii="Franklin Gothic Book" w:hAnsi="Franklin Gothic Book"/>
          <w:color w:val="auto"/>
          <w:spacing w:val="20"/>
          <w:szCs w:val="28"/>
        </w:rPr>
      </w:pPr>
      <w:r>
        <w:rPr>
          <w:rFonts w:ascii="Franklin Gothic Book" w:hAnsi="Franklin Gothic Book"/>
          <w:color w:val="auto"/>
          <w:spacing w:val="20"/>
          <w:szCs w:val="28"/>
        </w:rPr>
        <w:t>It is possible that our Drug Endangered Children (DEC) program has impacted the entries at PCC along with our law enforcement entries as well as our youth with behavioral problems.</w:t>
      </w:r>
    </w:p>
    <w:p w:rsidR="00D86A11" w:rsidRPr="00030064" w:rsidRDefault="00D86A11" w:rsidP="00D86A11">
      <w:pPr>
        <w:pStyle w:val="Heading3"/>
        <w:spacing w:line="276" w:lineRule="auto"/>
        <w:rPr>
          <w:b w:val="0"/>
          <w:color w:val="auto"/>
          <w:sz w:val="22"/>
        </w:rPr>
      </w:pPr>
      <w:r w:rsidRPr="00030064">
        <w:rPr>
          <w:b w:val="0"/>
          <w:color w:val="auto"/>
          <w:sz w:val="22"/>
        </w:rPr>
        <w:t xml:space="preserve">There are several factors that have led to the improvement in the percentage of children placed with relatives from 13.9% in 2010 to 27.9% in 2015. As noted earlier, under the Placement Stability outcome, CWS conducted a Lean Six Sigma analysis of its relative home approval process and implemented several improvements including co-location of some search clerks in placement units, streamlined forms, and better consistency in practice and shared learning through regular and improved relative home approval meetings. </w:t>
      </w:r>
    </w:p>
    <w:p w:rsidR="00D86A11" w:rsidRDefault="00D86A11" w:rsidP="00D86A11">
      <w:pPr>
        <w:spacing w:after="0"/>
        <w:ind w:left="720"/>
        <w:rPr>
          <w:rFonts w:ascii="Calibri" w:hAnsi="Calibri" w:cs="Calibri"/>
          <w:b/>
          <w:color w:val="FF0000"/>
          <w:sz w:val="24"/>
          <w:szCs w:val="24"/>
        </w:rPr>
      </w:pPr>
    </w:p>
    <w:p w:rsidR="00D86A11" w:rsidRPr="005217F6" w:rsidRDefault="00D86A11" w:rsidP="00D86A11">
      <w:pPr>
        <w:spacing w:after="0"/>
        <w:contextualSpacing/>
        <w:rPr>
          <w:rFonts w:ascii="Franklin Gothic Book" w:hAnsi="Franklin Gothic Book"/>
          <w:b/>
          <w:color w:val="F6872B"/>
          <w:spacing w:val="20"/>
          <w:sz w:val="24"/>
          <w:szCs w:val="28"/>
        </w:rPr>
      </w:pPr>
      <w:r w:rsidRPr="005217F6">
        <w:rPr>
          <w:rFonts w:ascii="Franklin Gothic Book" w:hAnsi="Franklin Gothic Book"/>
          <w:b/>
          <w:color w:val="F6872B"/>
          <w:spacing w:val="20"/>
          <w:sz w:val="24"/>
          <w:szCs w:val="28"/>
        </w:rPr>
        <w:t>4B Least Restrictive Placement (Point in Time)</w:t>
      </w:r>
    </w:p>
    <w:tbl>
      <w:tblPr>
        <w:tblW w:w="9644" w:type="dxa"/>
        <w:tblBorders>
          <w:top w:val="single" w:sz="18" w:space="0" w:color="F6872B"/>
          <w:bottom w:val="single" w:sz="18" w:space="0" w:color="F6872B"/>
        </w:tblBorders>
        <w:tblLook w:val="04A0" w:firstRow="1" w:lastRow="0" w:firstColumn="1" w:lastColumn="0" w:noHBand="0" w:noVBand="1"/>
      </w:tblPr>
      <w:tblGrid>
        <w:gridCol w:w="2088"/>
        <w:gridCol w:w="945"/>
        <w:gridCol w:w="944"/>
        <w:gridCol w:w="944"/>
        <w:gridCol w:w="944"/>
        <w:gridCol w:w="944"/>
        <w:gridCol w:w="944"/>
        <w:gridCol w:w="944"/>
        <w:gridCol w:w="947"/>
      </w:tblGrid>
      <w:tr w:rsidR="00D86A11" w:rsidRPr="0091707E" w:rsidTr="00E952A8">
        <w:trPr>
          <w:trHeight w:val="310"/>
        </w:trPr>
        <w:tc>
          <w:tcPr>
            <w:tcW w:w="9644" w:type="dxa"/>
            <w:gridSpan w:val="9"/>
            <w:shd w:val="clear" w:color="auto" w:fill="013161"/>
          </w:tcPr>
          <w:p w:rsidR="00D86A11" w:rsidRPr="000055D1" w:rsidRDefault="00D86A11" w:rsidP="00D86A11">
            <w:pPr>
              <w:spacing w:after="0" w:line="240" w:lineRule="auto"/>
              <w:jc w:val="center"/>
              <w:rPr>
                <w:rFonts w:ascii="Calibri" w:eastAsia="Times New Roman" w:hAnsi="Calibri" w:cs="Arial"/>
                <w:b/>
                <w:bCs/>
                <w:color w:val="FFFFFF"/>
              </w:rPr>
            </w:pPr>
            <w:r>
              <w:rPr>
                <w:rFonts w:ascii="Calibri" w:eastAsia="Times New Roman" w:hAnsi="Calibri" w:cs="Arial"/>
                <w:b/>
                <w:bCs/>
                <w:color w:val="FFFFFF"/>
                <w:sz w:val="24"/>
              </w:rPr>
              <w:t>Exhibit 71. County of S</w:t>
            </w:r>
            <w:r w:rsidRPr="00E415BF">
              <w:rPr>
                <w:rFonts w:ascii="Calibri" w:eastAsia="Times New Roman" w:hAnsi="Calibri" w:cs="Arial"/>
                <w:b/>
                <w:bCs/>
                <w:color w:val="FFFFFF"/>
                <w:sz w:val="24"/>
              </w:rPr>
              <w:t>an Diego Point-in-Time Placement as of January 1, Ages 0 to 21</w:t>
            </w:r>
          </w:p>
        </w:tc>
      </w:tr>
      <w:tr w:rsidR="00D86A11" w:rsidRPr="0091707E" w:rsidTr="00E952A8">
        <w:trPr>
          <w:trHeight w:val="310"/>
        </w:trPr>
        <w:tc>
          <w:tcPr>
            <w:tcW w:w="2088"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p>
        </w:tc>
        <w:tc>
          <w:tcPr>
            <w:tcW w:w="945"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2010</w:t>
            </w:r>
          </w:p>
          <w:p w:rsidR="00D86A11" w:rsidRPr="00721EF1" w:rsidRDefault="00D86A11" w:rsidP="00D86A11">
            <w:pPr>
              <w:spacing w:after="0" w:line="240" w:lineRule="auto"/>
              <w:jc w:val="center"/>
              <w:rPr>
                <w:rFonts w:ascii="Calibri" w:eastAsia="Times New Roman" w:hAnsi="Calibri" w:cs="Arial"/>
                <w:bCs/>
                <w:color w:val="FFFFFF"/>
              </w:rPr>
            </w:pPr>
            <w:r w:rsidRPr="00721EF1">
              <w:rPr>
                <w:rFonts w:ascii="Calibri" w:eastAsia="Times New Roman" w:hAnsi="Calibri" w:cs="Arial"/>
                <w:bCs/>
                <w:color w:val="FFFFFF"/>
              </w:rPr>
              <w:t>(%)</w:t>
            </w:r>
          </w:p>
        </w:tc>
        <w:tc>
          <w:tcPr>
            <w:tcW w:w="944"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2011</w:t>
            </w:r>
          </w:p>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Cs/>
                <w:color w:val="FFFFFF"/>
              </w:rPr>
              <w:t>(%)</w:t>
            </w:r>
          </w:p>
        </w:tc>
        <w:tc>
          <w:tcPr>
            <w:tcW w:w="944"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2012</w:t>
            </w:r>
          </w:p>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Cs/>
                <w:color w:val="FFFFFF"/>
              </w:rPr>
              <w:t>(%)</w:t>
            </w:r>
          </w:p>
        </w:tc>
        <w:tc>
          <w:tcPr>
            <w:tcW w:w="944"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2013</w:t>
            </w:r>
          </w:p>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Cs/>
                <w:color w:val="FFFFFF"/>
              </w:rPr>
              <w:t>(%)</w:t>
            </w:r>
          </w:p>
        </w:tc>
        <w:tc>
          <w:tcPr>
            <w:tcW w:w="944"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2014</w:t>
            </w:r>
          </w:p>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Cs/>
                <w:color w:val="FFFFFF"/>
              </w:rPr>
              <w:t>(%)</w:t>
            </w:r>
          </w:p>
        </w:tc>
        <w:tc>
          <w:tcPr>
            <w:tcW w:w="944"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2015</w:t>
            </w:r>
          </w:p>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Cs/>
                <w:color w:val="FFFFFF"/>
              </w:rPr>
              <w:t>(%)</w:t>
            </w:r>
          </w:p>
        </w:tc>
        <w:tc>
          <w:tcPr>
            <w:tcW w:w="944"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
                <w:bCs/>
                <w:color w:val="FFFFFF"/>
              </w:rPr>
              <w:t>2016</w:t>
            </w:r>
          </w:p>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eastAsia="Times New Roman" w:hAnsi="Calibri" w:cs="Arial"/>
                <w:bCs/>
                <w:color w:val="FFFFFF"/>
              </w:rPr>
              <w:t>(%)</w:t>
            </w:r>
          </w:p>
        </w:tc>
        <w:tc>
          <w:tcPr>
            <w:tcW w:w="947" w:type="dxa"/>
            <w:shd w:val="clear" w:color="auto" w:fill="013161"/>
          </w:tcPr>
          <w:p w:rsidR="00D86A11" w:rsidRPr="00721EF1" w:rsidRDefault="00D86A11" w:rsidP="00D86A11">
            <w:pPr>
              <w:spacing w:after="0" w:line="240" w:lineRule="auto"/>
              <w:jc w:val="center"/>
              <w:rPr>
                <w:rFonts w:ascii="Calibri" w:eastAsia="Times New Roman" w:hAnsi="Calibri" w:cs="Arial"/>
                <w:b/>
                <w:bCs/>
                <w:color w:val="FFFFFF"/>
              </w:rPr>
            </w:pPr>
            <w:r w:rsidRPr="00721EF1">
              <w:rPr>
                <w:rFonts w:ascii="Calibri" w:hAnsi="Calibri" w:cs="Calibri"/>
                <w:b/>
                <w:color w:val="FFFFFF"/>
              </w:rPr>
              <w:t>CA 2016</w:t>
            </w:r>
          </w:p>
        </w:tc>
      </w:tr>
      <w:tr w:rsidR="00D86A11" w:rsidRPr="0091707E" w:rsidTr="00E952A8">
        <w:trPr>
          <w:trHeight w:val="310"/>
        </w:trPr>
        <w:tc>
          <w:tcPr>
            <w:tcW w:w="2088" w:type="dxa"/>
            <w:shd w:val="clear" w:color="auto" w:fill="auto"/>
          </w:tcPr>
          <w:p w:rsidR="00D86A11" w:rsidRPr="004C6FDE" w:rsidRDefault="00D86A11" w:rsidP="00E952A8">
            <w:pPr>
              <w:spacing w:after="0" w:line="240" w:lineRule="auto"/>
              <w:rPr>
                <w:rFonts w:ascii="Calibri" w:eastAsia="Times New Roman" w:hAnsi="Calibri" w:cs="Arial"/>
                <w:b/>
                <w:bCs/>
                <w:color w:val="013161"/>
                <w:sz w:val="20"/>
              </w:rPr>
            </w:pPr>
            <w:bookmarkStart w:id="2" w:name="RANGE!A10"/>
            <w:r w:rsidRPr="004C6FDE">
              <w:rPr>
                <w:rFonts w:ascii="Calibri" w:eastAsia="Times New Roman" w:hAnsi="Calibri" w:cs="Arial"/>
                <w:b/>
                <w:bCs/>
                <w:color w:val="013161"/>
                <w:sz w:val="20"/>
              </w:rPr>
              <w:t>Pre-Adopt</w:t>
            </w:r>
            <w:bookmarkEnd w:id="2"/>
          </w:p>
        </w:tc>
        <w:tc>
          <w:tcPr>
            <w:tcW w:w="945"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6.8</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5</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3.7</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2.9</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3.9</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5.4</w:t>
            </w:r>
          </w:p>
        </w:tc>
        <w:tc>
          <w:tcPr>
            <w:tcW w:w="947" w:type="dxa"/>
            <w:shd w:val="clear" w:color="auto" w:fill="auto"/>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2.6</w:t>
            </w:r>
          </w:p>
        </w:tc>
      </w:tr>
      <w:tr w:rsidR="00D86A11" w:rsidRPr="0091707E" w:rsidTr="00E952A8">
        <w:trPr>
          <w:trHeight w:val="310"/>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Relative</w:t>
            </w:r>
          </w:p>
        </w:tc>
        <w:tc>
          <w:tcPr>
            <w:tcW w:w="945"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32.1</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33.8</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37.5</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37.9</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40.6</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35.2</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36.4</w:t>
            </w:r>
          </w:p>
        </w:tc>
        <w:tc>
          <w:tcPr>
            <w:tcW w:w="947" w:type="dxa"/>
            <w:shd w:val="clear" w:color="auto" w:fill="DBE5F1"/>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35.8</w:t>
            </w:r>
          </w:p>
        </w:tc>
      </w:tr>
      <w:tr w:rsidR="00D86A11" w:rsidRPr="0091707E" w:rsidTr="00E952A8">
        <w:trPr>
          <w:trHeight w:val="310"/>
        </w:trPr>
        <w:tc>
          <w:tcPr>
            <w:tcW w:w="2088" w:type="dxa"/>
            <w:shd w:val="clear" w:color="auto" w:fill="auto"/>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Foster</w:t>
            </w:r>
          </w:p>
        </w:tc>
        <w:tc>
          <w:tcPr>
            <w:tcW w:w="945"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22.3</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23.4</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22.1</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21.2</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18.9</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21.9</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20.1</w:t>
            </w:r>
          </w:p>
        </w:tc>
        <w:tc>
          <w:tcPr>
            <w:tcW w:w="947" w:type="dxa"/>
            <w:shd w:val="clear" w:color="auto" w:fill="auto"/>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9.1</w:t>
            </w:r>
          </w:p>
        </w:tc>
      </w:tr>
      <w:tr w:rsidR="00D86A11" w:rsidRPr="0091707E" w:rsidTr="00E952A8">
        <w:trPr>
          <w:trHeight w:val="310"/>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FFA</w:t>
            </w:r>
          </w:p>
        </w:tc>
        <w:tc>
          <w:tcPr>
            <w:tcW w:w="945"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9.4</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9.2</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7.5</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7.2</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6.3</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7.6</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6.9</w:t>
            </w:r>
          </w:p>
        </w:tc>
        <w:tc>
          <w:tcPr>
            <w:tcW w:w="947" w:type="dxa"/>
            <w:shd w:val="clear" w:color="auto" w:fill="DBE5F1"/>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24.8</w:t>
            </w:r>
          </w:p>
        </w:tc>
      </w:tr>
      <w:tr w:rsidR="00D86A11" w:rsidRPr="0091707E" w:rsidTr="00E952A8">
        <w:trPr>
          <w:trHeight w:val="310"/>
        </w:trPr>
        <w:tc>
          <w:tcPr>
            <w:tcW w:w="2088" w:type="dxa"/>
            <w:shd w:val="clear" w:color="auto" w:fill="auto"/>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Court Specified Home</w:t>
            </w:r>
          </w:p>
        </w:tc>
        <w:tc>
          <w:tcPr>
            <w:tcW w:w="945"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1.1</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1.3</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1.6</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1.5</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1.3</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1.2</w:t>
            </w:r>
          </w:p>
        </w:tc>
        <w:tc>
          <w:tcPr>
            <w:tcW w:w="947" w:type="dxa"/>
            <w:shd w:val="clear" w:color="auto" w:fill="auto"/>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.4</w:t>
            </w:r>
          </w:p>
        </w:tc>
      </w:tr>
      <w:tr w:rsidR="00D86A11" w:rsidRPr="0091707E" w:rsidTr="00E952A8">
        <w:trPr>
          <w:trHeight w:val="310"/>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Group</w:t>
            </w:r>
          </w:p>
        </w:tc>
        <w:tc>
          <w:tcPr>
            <w:tcW w:w="945"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12.8</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12.2</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12</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11.3</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9.4</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7.4</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7.8</w:t>
            </w:r>
          </w:p>
        </w:tc>
        <w:tc>
          <w:tcPr>
            <w:tcW w:w="947" w:type="dxa"/>
            <w:shd w:val="clear" w:color="auto" w:fill="DBE5F1"/>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5.8</w:t>
            </w:r>
          </w:p>
        </w:tc>
      </w:tr>
      <w:tr w:rsidR="00D86A11" w:rsidRPr="0091707E" w:rsidTr="00E952A8">
        <w:trPr>
          <w:trHeight w:val="310"/>
        </w:trPr>
        <w:tc>
          <w:tcPr>
            <w:tcW w:w="2088" w:type="dxa"/>
            <w:shd w:val="clear" w:color="auto" w:fill="auto"/>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Shelter</w:t>
            </w:r>
          </w:p>
        </w:tc>
        <w:tc>
          <w:tcPr>
            <w:tcW w:w="945"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0.9</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1.4</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1.2</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1.2</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1.9</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1.4</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0.9</w:t>
            </w:r>
          </w:p>
        </w:tc>
        <w:tc>
          <w:tcPr>
            <w:tcW w:w="947" w:type="dxa"/>
            <w:shd w:val="clear" w:color="auto" w:fill="auto"/>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.2</w:t>
            </w:r>
          </w:p>
        </w:tc>
      </w:tr>
      <w:tr w:rsidR="00D86A11" w:rsidRPr="0091707E" w:rsidTr="00E952A8">
        <w:trPr>
          <w:trHeight w:val="310"/>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Non-FC</w:t>
            </w:r>
          </w:p>
        </w:tc>
        <w:tc>
          <w:tcPr>
            <w:tcW w:w="945"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0.5</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0.3</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0.5</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0.3</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0.5</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0.4</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0.5</w:t>
            </w:r>
          </w:p>
        </w:tc>
        <w:tc>
          <w:tcPr>
            <w:tcW w:w="947" w:type="dxa"/>
            <w:shd w:val="clear" w:color="auto" w:fill="DBE5F1"/>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.5</w:t>
            </w:r>
          </w:p>
        </w:tc>
      </w:tr>
      <w:tr w:rsidR="00D86A11" w:rsidRPr="0091707E" w:rsidTr="00E952A8">
        <w:trPr>
          <w:trHeight w:val="310"/>
        </w:trPr>
        <w:tc>
          <w:tcPr>
            <w:tcW w:w="2088" w:type="dxa"/>
            <w:shd w:val="clear" w:color="auto" w:fill="auto"/>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Transitional Housing</w:t>
            </w:r>
          </w:p>
        </w:tc>
        <w:tc>
          <w:tcPr>
            <w:tcW w:w="945"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0.3</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2.2</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w:t>
            </w:r>
          </w:p>
        </w:tc>
        <w:tc>
          <w:tcPr>
            <w:tcW w:w="947" w:type="dxa"/>
            <w:shd w:val="clear" w:color="auto" w:fill="auto"/>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2.0</w:t>
            </w:r>
          </w:p>
        </w:tc>
      </w:tr>
      <w:tr w:rsidR="00D86A11" w:rsidRPr="0091707E" w:rsidTr="00E952A8">
        <w:trPr>
          <w:trHeight w:val="310"/>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Guardian - Dependent</w:t>
            </w:r>
          </w:p>
        </w:tc>
        <w:tc>
          <w:tcPr>
            <w:tcW w:w="945"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0.2</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0.2</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0.2</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0.2</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0.1</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0.1</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w:t>
            </w:r>
          </w:p>
        </w:tc>
        <w:tc>
          <w:tcPr>
            <w:tcW w:w="947" w:type="dxa"/>
            <w:shd w:val="clear" w:color="auto" w:fill="DBE5F1"/>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2.0</w:t>
            </w:r>
          </w:p>
        </w:tc>
      </w:tr>
      <w:tr w:rsidR="00D86A11" w:rsidRPr="0091707E" w:rsidTr="00E952A8">
        <w:trPr>
          <w:trHeight w:val="310"/>
        </w:trPr>
        <w:tc>
          <w:tcPr>
            <w:tcW w:w="2088" w:type="dxa"/>
            <w:shd w:val="clear" w:color="auto" w:fill="auto"/>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Guardian - Other</w:t>
            </w:r>
          </w:p>
        </w:tc>
        <w:tc>
          <w:tcPr>
            <w:tcW w:w="945"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9.1</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9</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9</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8.4</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8.8</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8.4</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8.6</w:t>
            </w:r>
          </w:p>
        </w:tc>
        <w:tc>
          <w:tcPr>
            <w:tcW w:w="947" w:type="dxa"/>
            <w:shd w:val="clear" w:color="auto" w:fill="auto"/>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8.2</w:t>
            </w:r>
          </w:p>
        </w:tc>
      </w:tr>
      <w:tr w:rsidR="00D86A11" w:rsidRPr="0091707E" w:rsidTr="00E952A8">
        <w:trPr>
          <w:trHeight w:val="310"/>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lastRenderedPageBreak/>
              <w:t>Runaway</w:t>
            </w:r>
          </w:p>
        </w:tc>
        <w:tc>
          <w:tcPr>
            <w:tcW w:w="945"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1.4</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1.2</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1.4</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1.2</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0.8</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0.9</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0.5</w:t>
            </w:r>
          </w:p>
        </w:tc>
        <w:tc>
          <w:tcPr>
            <w:tcW w:w="947" w:type="dxa"/>
            <w:shd w:val="clear" w:color="auto" w:fill="DBE5F1"/>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1.2</w:t>
            </w:r>
          </w:p>
        </w:tc>
      </w:tr>
      <w:tr w:rsidR="00D86A11" w:rsidRPr="0091707E" w:rsidTr="00E952A8">
        <w:trPr>
          <w:trHeight w:val="310"/>
        </w:trPr>
        <w:tc>
          <w:tcPr>
            <w:tcW w:w="2088" w:type="dxa"/>
            <w:shd w:val="clear" w:color="auto" w:fill="auto"/>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Trial Home Visit</w:t>
            </w:r>
          </w:p>
        </w:tc>
        <w:tc>
          <w:tcPr>
            <w:tcW w:w="945"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2.6</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2.4</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2.3</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1.1</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0.7</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0.5</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0.3</w:t>
            </w:r>
          </w:p>
        </w:tc>
        <w:tc>
          <w:tcPr>
            <w:tcW w:w="947" w:type="dxa"/>
            <w:shd w:val="clear" w:color="auto" w:fill="auto"/>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.8</w:t>
            </w:r>
          </w:p>
        </w:tc>
      </w:tr>
      <w:tr w:rsidR="00D86A11" w:rsidRPr="0091707E" w:rsidTr="00E952A8">
        <w:trPr>
          <w:trHeight w:val="310"/>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SILP</w:t>
            </w:r>
          </w:p>
        </w:tc>
        <w:tc>
          <w:tcPr>
            <w:tcW w:w="945"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0.2</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3.4</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6.8</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8.1</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7.8</w:t>
            </w:r>
          </w:p>
        </w:tc>
        <w:tc>
          <w:tcPr>
            <w:tcW w:w="947" w:type="dxa"/>
            <w:shd w:val="clear" w:color="auto" w:fill="DBE5F1"/>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5.2</w:t>
            </w:r>
          </w:p>
        </w:tc>
      </w:tr>
      <w:tr w:rsidR="00D86A11" w:rsidRPr="0091707E" w:rsidTr="00E952A8">
        <w:trPr>
          <w:trHeight w:val="310"/>
        </w:trPr>
        <w:tc>
          <w:tcPr>
            <w:tcW w:w="2088" w:type="dxa"/>
            <w:shd w:val="clear" w:color="auto" w:fill="auto"/>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Other (?)</w:t>
            </w:r>
          </w:p>
        </w:tc>
        <w:tc>
          <w:tcPr>
            <w:tcW w:w="945"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0.7</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0.7</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0.5</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1.3</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1.2</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0.8</w:t>
            </w:r>
          </w:p>
        </w:tc>
        <w:tc>
          <w:tcPr>
            <w:tcW w:w="94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0.5</w:t>
            </w:r>
          </w:p>
        </w:tc>
        <w:tc>
          <w:tcPr>
            <w:tcW w:w="947" w:type="dxa"/>
            <w:shd w:val="clear" w:color="auto" w:fill="auto"/>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1.4</w:t>
            </w:r>
          </w:p>
        </w:tc>
      </w:tr>
      <w:tr w:rsidR="00D86A11" w:rsidRPr="0091707E" w:rsidTr="00E952A8">
        <w:trPr>
          <w:trHeight w:val="310"/>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Total</w:t>
            </w:r>
          </w:p>
        </w:tc>
        <w:tc>
          <w:tcPr>
            <w:tcW w:w="945"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100</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100</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100</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100</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100</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100</w:t>
            </w:r>
          </w:p>
        </w:tc>
        <w:tc>
          <w:tcPr>
            <w:tcW w:w="94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100</w:t>
            </w:r>
          </w:p>
        </w:tc>
        <w:tc>
          <w:tcPr>
            <w:tcW w:w="947" w:type="dxa"/>
            <w:shd w:val="clear" w:color="auto" w:fill="DBE5F1"/>
          </w:tcPr>
          <w:p w:rsidR="00D86A11" w:rsidRPr="004C6FDE" w:rsidRDefault="00D86A11" w:rsidP="00D86A11">
            <w:pPr>
              <w:spacing w:after="0" w:line="240" w:lineRule="auto"/>
              <w:jc w:val="right"/>
              <w:rPr>
                <w:rFonts w:ascii="Calibri" w:hAnsi="Calibri" w:cs="Calibri"/>
                <w:b/>
                <w:color w:val="2E7029"/>
                <w:sz w:val="20"/>
              </w:rPr>
            </w:pPr>
            <w:r w:rsidRPr="004C6FDE">
              <w:rPr>
                <w:rFonts w:ascii="Calibri" w:hAnsi="Calibri" w:cs="Calibri"/>
                <w:b/>
                <w:color w:val="2E7029"/>
                <w:sz w:val="20"/>
              </w:rPr>
              <w:t>100</w:t>
            </w:r>
          </w:p>
        </w:tc>
      </w:tr>
    </w:tbl>
    <w:p w:rsidR="00E952A8" w:rsidRDefault="00E952A8" w:rsidP="00D86A11">
      <w:pPr>
        <w:pStyle w:val="Heading1"/>
        <w:rPr>
          <w:color w:val="2E7029"/>
          <w:sz w:val="24"/>
        </w:rPr>
      </w:pPr>
    </w:p>
    <w:p w:rsidR="00D86A11" w:rsidRPr="005217F6" w:rsidRDefault="00D86A11" w:rsidP="00D86A11">
      <w:pPr>
        <w:pStyle w:val="Heading1"/>
        <w:rPr>
          <w:color w:val="2E7029"/>
          <w:sz w:val="24"/>
        </w:rPr>
      </w:pPr>
      <w:r w:rsidRPr="005217F6">
        <w:rPr>
          <w:color w:val="2E7029"/>
          <w:sz w:val="24"/>
        </w:rPr>
        <w:t xml:space="preserve">Analysis </w:t>
      </w:r>
    </w:p>
    <w:p w:rsidR="00D86A11" w:rsidRPr="00FF4017" w:rsidRDefault="00D86A11" w:rsidP="00D86A11">
      <w:pPr>
        <w:spacing w:after="0"/>
        <w:rPr>
          <w:rFonts w:ascii="Franklin Gothic Book" w:hAnsi="Franklin Gothic Book"/>
          <w:color w:val="auto"/>
          <w:spacing w:val="20"/>
          <w:szCs w:val="28"/>
        </w:rPr>
      </w:pPr>
      <w:r w:rsidRPr="00FF4017">
        <w:rPr>
          <w:rFonts w:ascii="Franklin Gothic Book" w:hAnsi="Franklin Gothic Book"/>
          <w:b/>
          <w:color w:val="auto"/>
          <w:spacing w:val="20"/>
          <w:szCs w:val="28"/>
        </w:rPr>
        <w:t>Trends:</w:t>
      </w:r>
      <w:r w:rsidRPr="00FF4017">
        <w:rPr>
          <w:rFonts w:ascii="Franklin Gothic Book" w:hAnsi="Franklin Gothic Book"/>
          <w:color w:val="auto"/>
          <w:spacing w:val="20"/>
          <w:szCs w:val="28"/>
        </w:rPr>
        <w:t xml:space="preserve">  In 2016, placement in a relative home was the most common placement type in both the County and the State. The County has increased the rate of children in relative placements from 32.1% on January 1, 2010 to 36.4% on January 1, 2016, although the rate has dropped from its peak of 40.6% in 2014. </w:t>
      </w:r>
      <w:r>
        <w:rPr>
          <w:rFonts w:ascii="Franklin Gothic Book" w:hAnsi="Franklin Gothic Book"/>
          <w:color w:val="auto"/>
          <w:spacing w:val="20"/>
          <w:szCs w:val="28"/>
        </w:rPr>
        <w:t>The County of San Diego</w:t>
      </w:r>
      <w:r w:rsidRPr="00FF4017">
        <w:rPr>
          <w:rFonts w:ascii="Franklin Gothic Book" w:hAnsi="Franklin Gothic Book"/>
          <w:color w:val="auto"/>
          <w:spacing w:val="20"/>
          <w:szCs w:val="28"/>
        </w:rPr>
        <w:t xml:space="preserve">’s relative placement rate is slightly above the State’s current rate of 35.8%. </w:t>
      </w:r>
    </w:p>
    <w:p w:rsidR="00D86A11" w:rsidRPr="00FF4017" w:rsidRDefault="00D86A11" w:rsidP="00D86A11">
      <w:pPr>
        <w:spacing w:after="0"/>
        <w:rPr>
          <w:rFonts w:ascii="Franklin Gothic Book" w:hAnsi="Franklin Gothic Book"/>
          <w:color w:val="auto"/>
          <w:spacing w:val="20"/>
          <w:szCs w:val="28"/>
        </w:rPr>
      </w:pPr>
    </w:p>
    <w:p w:rsidR="00D86A11" w:rsidRPr="00FF4017" w:rsidRDefault="00D86A11" w:rsidP="00D86A11">
      <w:pPr>
        <w:spacing w:after="0"/>
        <w:rPr>
          <w:rFonts w:ascii="Franklin Gothic Book" w:hAnsi="Franklin Gothic Book"/>
          <w:color w:val="auto"/>
          <w:spacing w:val="20"/>
          <w:szCs w:val="28"/>
        </w:rPr>
      </w:pPr>
      <w:r w:rsidRPr="00FF4017">
        <w:rPr>
          <w:rFonts w:ascii="Franklin Gothic Book" w:hAnsi="Franklin Gothic Book"/>
          <w:b/>
          <w:color w:val="auto"/>
          <w:spacing w:val="20"/>
          <w:szCs w:val="28"/>
        </w:rPr>
        <w:t>Race/Ethnicity</w:t>
      </w:r>
      <w:r w:rsidRPr="00FF4017">
        <w:rPr>
          <w:rFonts w:ascii="Franklin Gothic Book" w:hAnsi="Franklin Gothic Book"/>
          <w:color w:val="auto"/>
          <w:spacing w:val="20"/>
          <w:szCs w:val="28"/>
        </w:rPr>
        <w:t xml:space="preserve">: As of January 1, 2016, relative placement was the most common placement type for children of all race/ethnicities in the County. White and Latino children had the highest relative placement rates at 39.4%, followed by Asian/PI children at 38.0%, Native American children at 34.4%, and Black children at 25.0%. Black children had the highest percent of children placed in group homes at 13.8%, followed by Native American children at 9.8%, White children at 7.0%, Latino children at 6.2%, and Asian/PI children at 2.2%. Native American children had the highest percentage of children in guardian homes at 16.4%, followed by Black children at 13.0%, Asian/PI children at 9.8%, White children at 8.3% and Latino children at 6.8%. The percent of children in foster homes ranged from 16.4% for Native American children to 21.2% for Latino children. The percent of children in FFAs ranged from 4.3% for Asian/PI children to 8.8% for Black children. </w:t>
      </w:r>
    </w:p>
    <w:p w:rsidR="00D86A11" w:rsidRPr="00FF4017" w:rsidRDefault="00D86A11" w:rsidP="00D86A11">
      <w:pPr>
        <w:spacing w:before="240" w:after="0"/>
        <w:rPr>
          <w:rFonts w:ascii="Franklin Gothic Book" w:hAnsi="Franklin Gothic Book"/>
          <w:color w:val="auto"/>
          <w:spacing w:val="20"/>
          <w:szCs w:val="28"/>
        </w:rPr>
      </w:pPr>
      <w:r w:rsidRPr="00FF4017">
        <w:rPr>
          <w:rFonts w:ascii="Franklin Gothic Book" w:hAnsi="Franklin Gothic Book"/>
          <w:b/>
          <w:color w:val="auto"/>
          <w:spacing w:val="20"/>
          <w:szCs w:val="28"/>
        </w:rPr>
        <w:t>Age:</w:t>
      </w:r>
      <w:r w:rsidRPr="00FF4017">
        <w:rPr>
          <w:rFonts w:ascii="Franklin Gothic Book" w:hAnsi="Franklin Gothic Book"/>
          <w:color w:val="auto"/>
          <w:spacing w:val="20"/>
          <w:szCs w:val="28"/>
        </w:rPr>
        <w:t xml:space="preserve"> The most common placement for all age groups was relative placement, except for children under the age of one, where the most common placement was a foster home (46.8%). The 3-5 year olds had the highest rate of relative placement at 51.3%, followed by 6-10 year olds at 49.6%, 1-2 year olds at 47.0%, children under the age of one at 40.4%, 11-15 year olds at 30.8%, and 16-17 year olds at 20.9%. The 16-17 year olds had the highest percent of children in group home placements at 39.9%, followed by 11-15 year olds at 18.9%, and 6-10 year olds at 1.6%. The percent of children in foster homes ranged from 10.6% for 16-17 year olds to 46.8% for children under the age of one. The percent of children in FFA homes ranged from 4.0% for 16-17 year olds to 9.8% for 1-2 year olds. </w:t>
      </w:r>
    </w:p>
    <w:p w:rsidR="00D86A11" w:rsidRPr="00FF4017" w:rsidRDefault="00D86A11" w:rsidP="00D86A11">
      <w:pPr>
        <w:pStyle w:val="Heading3"/>
        <w:spacing w:line="276" w:lineRule="auto"/>
        <w:rPr>
          <w:b w:val="0"/>
          <w:color w:val="auto"/>
          <w:sz w:val="22"/>
        </w:rPr>
      </w:pPr>
      <w:r w:rsidRPr="00FF4017">
        <w:rPr>
          <w:b w:val="0"/>
          <w:color w:val="auto"/>
          <w:sz w:val="22"/>
        </w:rPr>
        <w:t xml:space="preserve">There were 464 18-21 year olds in placement as of January 1, 2016. 55.2% (256) were in a Supervised Independent Living Placement (SILP), 20.7% (96) were living in transitional housing, 8.2% (38) were living with guardians, 6.7% (31) were in group homes and the rest were living with relatives, in FFAs or other settings. </w:t>
      </w:r>
    </w:p>
    <w:p w:rsidR="00D86A11" w:rsidRPr="00FF4017" w:rsidRDefault="00D86A11" w:rsidP="00D86A11">
      <w:pPr>
        <w:pStyle w:val="Heading3"/>
        <w:spacing w:line="276" w:lineRule="auto"/>
        <w:rPr>
          <w:b w:val="0"/>
          <w:color w:val="auto"/>
          <w:sz w:val="22"/>
        </w:rPr>
      </w:pPr>
      <w:r w:rsidRPr="00FF4017">
        <w:rPr>
          <w:b w:val="0"/>
          <w:color w:val="auto"/>
          <w:sz w:val="22"/>
        </w:rPr>
        <w:lastRenderedPageBreak/>
        <w:t xml:space="preserve">When 18-21 year olds are excluded from the analysis for 2016 (see table below), the percent of children placed with relatives increases from 36.4% to 42.1% and foster home placements increase from 20.1% to 23.3%. California’s Fostering Connections Act which extended foster care support through age </w:t>
      </w:r>
      <w:r w:rsidR="00A56CE5" w:rsidRPr="00FF4017">
        <w:rPr>
          <w:b w:val="0"/>
          <w:color w:val="auto"/>
          <w:sz w:val="22"/>
          <w:szCs w:val="28"/>
        </w:rPr>
        <w:t>21</w:t>
      </w:r>
      <w:r w:rsidRPr="00FF4017">
        <w:rPr>
          <w:b w:val="0"/>
          <w:color w:val="auto"/>
          <w:sz w:val="22"/>
        </w:rPr>
        <w:t xml:space="preserve"> took effect on January 1, 2012, after the CSA baseline year of 2010. When the 2010 rate for relative placement is compared to the 2016 rate excluding 18-21 year olds, there is a 10 percentage point increase between the 2010 rate of 32.1% and the 2016 rate of 42.1%.</w:t>
      </w:r>
    </w:p>
    <w:p w:rsidR="00D86A11" w:rsidRDefault="00D86A11" w:rsidP="00D86A11">
      <w:pPr>
        <w:spacing w:after="0"/>
        <w:rPr>
          <w:rFonts w:ascii="Calibri" w:hAnsi="Calibri" w:cs="Calibri"/>
          <w:sz w:val="24"/>
          <w:szCs w:val="24"/>
        </w:rPr>
      </w:pPr>
    </w:p>
    <w:tbl>
      <w:tblPr>
        <w:tblW w:w="9383" w:type="dxa"/>
        <w:tblBorders>
          <w:top w:val="single" w:sz="18" w:space="0" w:color="F6872B"/>
          <w:bottom w:val="single" w:sz="18" w:space="0" w:color="F6872B"/>
        </w:tblBorders>
        <w:tblLook w:val="04A0" w:firstRow="1" w:lastRow="0" w:firstColumn="1" w:lastColumn="0" w:noHBand="0" w:noVBand="1"/>
      </w:tblPr>
      <w:tblGrid>
        <w:gridCol w:w="2088"/>
        <w:gridCol w:w="1070"/>
        <w:gridCol w:w="900"/>
        <w:gridCol w:w="1080"/>
        <w:gridCol w:w="1350"/>
        <w:gridCol w:w="1260"/>
        <w:gridCol w:w="901"/>
        <w:gridCol w:w="734"/>
      </w:tblGrid>
      <w:tr w:rsidR="00D86A11" w:rsidRPr="00AA576B" w:rsidTr="00E952A8">
        <w:trPr>
          <w:trHeight w:val="273"/>
        </w:trPr>
        <w:tc>
          <w:tcPr>
            <w:tcW w:w="9383" w:type="dxa"/>
            <w:gridSpan w:val="8"/>
            <w:shd w:val="clear" w:color="auto" w:fill="013161"/>
          </w:tcPr>
          <w:p w:rsidR="00D86A11" w:rsidRPr="000055D1" w:rsidRDefault="00D86A11" w:rsidP="00D86A11">
            <w:pPr>
              <w:spacing w:after="0" w:line="240" w:lineRule="auto"/>
              <w:jc w:val="center"/>
              <w:rPr>
                <w:rFonts w:ascii="Calibri" w:eastAsia="Times New Roman" w:hAnsi="Calibri" w:cs="Arial"/>
                <w:b/>
                <w:bCs/>
                <w:color w:val="FFFFFF"/>
                <w:sz w:val="20"/>
              </w:rPr>
            </w:pPr>
            <w:r>
              <w:rPr>
                <w:rFonts w:ascii="Calibri" w:eastAsia="Times New Roman" w:hAnsi="Calibri" w:cs="Arial"/>
                <w:b/>
                <w:bCs/>
                <w:color w:val="FFFFFF"/>
                <w:sz w:val="24"/>
              </w:rPr>
              <w:t xml:space="preserve">Exhibit 72. </w:t>
            </w:r>
            <w:r w:rsidRPr="00E415BF">
              <w:rPr>
                <w:rFonts w:ascii="Calibri" w:eastAsia="Times New Roman" w:hAnsi="Calibri" w:cs="Arial"/>
                <w:b/>
                <w:bCs/>
                <w:color w:val="FFFFFF"/>
                <w:sz w:val="24"/>
              </w:rPr>
              <w:t>Point-in-Time Placement as of January 1, 2016, Ages 0 to 17</w:t>
            </w:r>
          </w:p>
        </w:tc>
      </w:tr>
      <w:tr w:rsidR="00D86A11" w:rsidRPr="00AA576B" w:rsidTr="00E952A8">
        <w:trPr>
          <w:trHeight w:val="273"/>
        </w:trPr>
        <w:tc>
          <w:tcPr>
            <w:tcW w:w="2088" w:type="dxa"/>
            <w:vMerge w:val="restart"/>
            <w:shd w:val="clear" w:color="auto" w:fill="013161"/>
            <w:vAlign w:val="center"/>
          </w:tcPr>
          <w:p w:rsidR="00D86A11" w:rsidRPr="00721EF1" w:rsidRDefault="00D86A11" w:rsidP="00D86A11">
            <w:pPr>
              <w:spacing w:after="0" w:line="240" w:lineRule="auto"/>
              <w:jc w:val="center"/>
              <w:rPr>
                <w:rFonts w:ascii="Calibri" w:eastAsia="Times New Roman" w:hAnsi="Calibri" w:cs="Arial"/>
                <w:b/>
                <w:bCs/>
                <w:color w:val="FFFFFF"/>
                <w:sz w:val="20"/>
              </w:rPr>
            </w:pPr>
            <w:r w:rsidRPr="00721EF1">
              <w:rPr>
                <w:rFonts w:ascii="Calibri" w:eastAsia="Times New Roman" w:hAnsi="Calibri" w:cs="Arial"/>
                <w:b/>
                <w:bCs/>
                <w:color w:val="FFFFFF"/>
                <w:sz w:val="20"/>
              </w:rPr>
              <w:t>Placement Type</w:t>
            </w:r>
          </w:p>
        </w:tc>
        <w:tc>
          <w:tcPr>
            <w:tcW w:w="6561" w:type="dxa"/>
            <w:gridSpan w:val="6"/>
            <w:shd w:val="clear" w:color="auto" w:fill="013161"/>
          </w:tcPr>
          <w:p w:rsidR="00D86A11" w:rsidRPr="00721EF1" w:rsidRDefault="00D86A11" w:rsidP="00D86A11">
            <w:pPr>
              <w:spacing w:after="0" w:line="240" w:lineRule="auto"/>
              <w:jc w:val="center"/>
              <w:rPr>
                <w:rFonts w:ascii="Calibri" w:eastAsia="Times New Roman" w:hAnsi="Calibri" w:cs="Arial"/>
                <w:b/>
                <w:bCs/>
                <w:color w:val="FFFFFF"/>
                <w:sz w:val="20"/>
              </w:rPr>
            </w:pPr>
            <w:r w:rsidRPr="00721EF1">
              <w:rPr>
                <w:rFonts w:ascii="Calibri" w:eastAsia="Times New Roman" w:hAnsi="Calibri" w:cs="Arial"/>
                <w:b/>
                <w:bCs/>
                <w:color w:val="FFFFFF"/>
                <w:sz w:val="20"/>
              </w:rPr>
              <w:t>Ethnic Group</w:t>
            </w:r>
          </w:p>
        </w:tc>
        <w:tc>
          <w:tcPr>
            <w:tcW w:w="734" w:type="dxa"/>
            <w:shd w:val="clear" w:color="auto" w:fill="013161"/>
            <w:vAlign w:val="center"/>
          </w:tcPr>
          <w:p w:rsidR="00D86A11" w:rsidRPr="00721EF1" w:rsidRDefault="00D86A11" w:rsidP="00D86A11">
            <w:pPr>
              <w:spacing w:after="0" w:line="240" w:lineRule="auto"/>
              <w:jc w:val="center"/>
              <w:rPr>
                <w:rFonts w:ascii="Calibri" w:eastAsia="Times New Roman" w:hAnsi="Calibri" w:cs="Arial"/>
                <w:b/>
                <w:bCs/>
                <w:color w:val="FFFFFF"/>
                <w:sz w:val="20"/>
              </w:rPr>
            </w:pPr>
          </w:p>
        </w:tc>
      </w:tr>
      <w:tr w:rsidR="00D86A11" w:rsidRPr="00AA576B" w:rsidTr="00E952A8">
        <w:trPr>
          <w:trHeight w:val="273"/>
        </w:trPr>
        <w:tc>
          <w:tcPr>
            <w:tcW w:w="2088" w:type="dxa"/>
            <w:vMerge/>
            <w:shd w:val="clear" w:color="auto" w:fill="013161"/>
          </w:tcPr>
          <w:p w:rsidR="00D86A11" w:rsidRPr="00721EF1" w:rsidRDefault="00D86A11" w:rsidP="00D86A11">
            <w:pPr>
              <w:spacing w:after="0" w:line="240" w:lineRule="auto"/>
              <w:rPr>
                <w:rFonts w:ascii="Calibri" w:eastAsia="Times New Roman" w:hAnsi="Calibri" w:cs="Arial"/>
                <w:b/>
                <w:bCs/>
                <w:color w:val="FFFFFF"/>
                <w:sz w:val="20"/>
              </w:rPr>
            </w:pPr>
          </w:p>
        </w:tc>
        <w:tc>
          <w:tcPr>
            <w:tcW w:w="1070" w:type="dxa"/>
            <w:shd w:val="clear" w:color="auto" w:fill="013161"/>
            <w:vAlign w:val="center"/>
          </w:tcPr>
          <w:p w:rsidR="00D86A11" w:rsidRPr="00721EF1" w:rsidRDefault="00D86A11" w:rsidP="00D86A11">
            <w:pPr>
              <w:spacing w:after="0" w:line="240" w:lineRule="auto"/>
              <w:jc w:val="center"/>
              <w:rPr>
                <w:rFonts w:ascii="Calibri" w:eastAsia="Times New Roman" w:hAnsi="Calibri" w:cs="Arial"/>
                <w:b/>
                <w:bCs/>
                <w:color w:val="FFFFFF"/>
                <w:sz w:val="20"/>
              </w:rPr>
            </w:pPr>
            <w:r w:rsidRPr="00721EF1">
              <w:rPr>
                <w:rFonts w:ascii="Calibri" w:eastAsia="Times New Roman" w:hAnsi="Calibri" w:cs="Arial"/>
                <w:b/>
                <w:bCs/>
                <w:color w:val="FFFFFF"/>
                <w:sz w:val="20"/>
              </w:rPr>
              <w:t>Black</w:t>
            </w:r>
          </w:p>
          <w:p w:rsidR="00D86A11" w:rsidRPr="00721EF1" w:rsidRDefault="00D86A11" w:rsidP="00D86A11">
            <w:pPr>
              <w:spacing w:after="0" w:line="240" w:lineRule="auto"/>
              <w:jc w:val="center"/>
              <w:rPr>
                <w:rFonts w:ascii="Calibri" w:eastAsia="Times New Roman" w:hAnsi="Calibri" w:cs="Arial"/>
                <w:bCs/>
                <w:color w:val="FFFFFF"/>
                <w:sz w:val="20"/>
              </w:rPr>
            </w:pPr>
            <w:r w:rsidRPr="00721EF1">
              <w:rPr>
                <w:rFonts w:ascii="Calibri" w:eastAsia="Times New Roman" w:hAnsi="Calibri" w:cs="Arial"/>
                <w:bCs/>
                <w:color w:val="FFFFFF"/>
                <w:sz w:val="20"/>
              </w:rPr>
              <w:t>(%)</w:t>
            </w:r>
          </w:p>
        </w:tc>
        <w:tc>
          <w:tcPr>
            <w:tcW w:w="900" w:type="dxa"/>
            <w:shd w:val="clear" w:color="auto" w:fill="013161"/>
            <w:vAlign w:val="center"/>
          </w:tcPr>
          <w:p w:rsidR="00D86A11" w:rsidRPr="00721EF1" w:rsidRDefault="00D86A11" w:rsidP="00D86A11">
            <w:pPr>
              <w:spacing w:after="0" w:line="240" w:lineRule="auto"/>
              <w:jc w:val="center"/>
              <w:rPr>
                <w:rFonts w:ascii="Calibri" w:eastAsia="Times New Roman" w:hAnsi="Calibri" w:cs="Arial"/>
                <w:b/>
                <w:bCs/>
                <w:color w:val="FFFFFF"/>
                <w:sz w:val="20"/>
              </w:rPr>
            </w:pPr>
            <w:r w:rsidRPr="00721EF1">
              <w:rPr>
                <w:rFonts w:ascii="Calibri" w:eastAsia="Times New Roman" w:hAnsi="Calibri" w:cs="Arial"/>
                <w:b/>
                <w:bCs/>
                <w:color w:val="FFFFFF"/>
                <w:sz w:val="20"/>
              </w:rPr>
              <w:t>White</w:t>
            </w:r>
          </w:p>
          <w:p w:rsidR="00D86A11" w:rsidRPr="00721EF1" w:rsidRDefault="00D86A11" w:rsidP="00D86A11">
            <w:pPr>
              <w:spacing w:after="0" w:line="240" w:lineRule="auto"/>
              <w:jc w:val="center"/>
              <w:rPr>
                <w:rFonts w:ascii="Calibri" w:eastAsia="Times New Roman" w:hAnsi="Calibri" w:cs="Arial"/>
                <w:b/>
                <w:bCs/>
                <w:color w:val="FFFFFF"/>
                <w:sz w:val="20"/>
              </w:rPr>
            </w:pPr>
            <w:r w:rsidRPr="00721EF1">
              <w:rPr>
                <w:rFonts w:ascii="Calibri" w:eastAsia="Times New Roman" w:hAnsi="Calibri" w:cs="Arial"/>
                <w:bCs/>
                <w:color w:val="FFFFFF"/>
                <w:sz w:val="20"/>
              </w:rPr>
              <w:t>(%)</w:t>
            </w:r>
          </w:p>
        </w:tc>
        <w:tc>
          <w:tcPr>
            <w:tcW w:w="1080" w:type="dxa"/>
            <w:shd w:val="clear" w:color="auto" w:fill="013161"/>
            <w:vAlign w:val="center"/>
          </w:tcPr>
          <w:p w:rsidR="00D86A11" w:rsidRPr="00721EF1" w:rsidRDefault="00D86A11" w:rsidP="00D86A11">
            <w:pPr>
              <w:spacing w:after="0" w:line="240" w:lineRule="auto"/>
              <w:jc w:val="center"/>
              <w:rPr>
                <w:rFonts w:ascii="Calibri" w:eastAsia="Times New Roman" w:hAnsi="Calibri" w:cs="Arial"/>
                <w:b/>
                <w:bCs/>
                <w:color w:val="FFFFFF"/>
                <w:sz w:val="20"/>
              </w:rPr>
            </w:pPr>
            <w:r w:rsidRPr="00721EF1">
              <w:rPr>
                <w:rFonts w:ascii="Calibri" w:eastAsia="Times New Roman" w:hAnsi="Calibri" w:cs="Arial"/>
                <w:b/>
                <w:bCs/>
                <w:color w:val="FFFFFF"/>
                <w:sz w:val="20"/>
              </w:rPr>
              <w:t>Latino</w:t>
            </w:r>
          </w:p>
          <w:p w:rsidR="00D86A11" w:rsidRPr="00721EF1" w:rsidRDefault="00D86A11" w:rsidP="00D86A11">
            <w:pPr>
              <w:spacing w:after="0" w:line="240" w:lineRule="auto"/>
              <w:jc w:val="center"/>
              <w:rPr>
                <w:rFonts w:ascii="Calibri" w:eastAsia="Times New Roman" w:hAnsi="Calibri" w:cs="Arial"/>
                <w:b/>
                <w:bCs/>
                <w:color w:val="FFFFFF"/>
                <w:sz w:val="20"/>
              </w:rPr>
            </w:pPr>
            <w:r w:rsidRPr="00721EF1">
              <w:rPr>
                <w:rFonts w:ascii="Calibri" w:eastAsia="Times New Roman" w:hAnsi="Calibri" w:cs="Arial"/>
                <w:bCs/>
                <w:color w:val="FFFFFF"/>
                <w:sz w:val="20"/>
              </w:rPr>
              <w:t>(%)</w:t>
            </w:r>
          </w:p>
        </w:tc>
        <w:tc>
          <w:tcPr>
            <w:tcW w:w="1350" w:type="dxa"/>
            <w:shd w:val="clear" w:color="auto" w:fill="013161"/>
            <w:vAlign w:val="center"/>
          </w:tcPr>
          <w:p w:rsidR="00D86A11" w:rsidRPr="00721EF1" w:rsidRDefault="00D86A11" w:rsidP="00D86A11">
            <w:pPr>
              <w:spacing w:after="0" w:line="240" w:lineRule="auto"/>
              <w:jc w:val="center"/>
              <w:rPr>
                <w:rFonts w:ascii="Calibri" w:eastAsia="Times New Roman" w:hAnsi="Calibri" w:cs="Arial"/>
                <w:b/>
                <w:bCs/>
                <w:color w:val="FFFFFF"/>
                <w:sz w:val="20"/>
              </w:rPr>
            </w:pPr>
            <w:r w:rsidRPr="00721EF1">
              <w:rPr>
                <w:rFonts w:ascii="Calibri" w:eastAsia="Times New Roman" w:hAnsi="Calibri" w:cs="Arial"/>
                <w:b/>
                <w:bCs/>
                <w:color w:val="FFFFFF"/>
                <w:sz w:val="20"/>
              </w:rPr>
              <w:t>Asian/P.I.</w:t>
            </w:r>
          </w:p>
          <w:p w:rsidR="00D86A11" w:rsidRPr="00721EF1" w:rsidRDefault="00D86A11" w:rsidP="00D86A11">
            <w:pPr>
              <w:spacing w:after="0" w:line="240" w:lineRule="auto"/>
              <w:jc w:val="center"/>
              <w:rPr>
                <w:rFonts w:ascii="Calibri" w:eastAsia="Times New Roman" w:hAnsi="Calibri" w:cs="Arial"/>
                <w:b/>
                <w:bCs/>
                <w:color w:val="FFFFFF"/>
                <w:sz w:val="20"/>
              </w:rPr>
            </w:pPr>
            <w:r w:rsidRPr="00721EF1">
              <w:rPr>
                <w:rFonts w:ascii="Calibri" w:eastAsia="Times New Roman" w:hAnsi="Calibri" w:cs="Arial"/>
                <w:bCs/>
                <w:color w:val="FFFFFF"/>
                <w:sz w:val="20"/>
              </w:rPr>
              <w:t>(%)</w:t>
            </w:r>
          </w:p>
        </w:tc>
        <w:tc>
          <w:tcPr>
            <w:tcW w:w="1260" w:type="dxa"/>
            <w:shd w:val="clear" w:color="auto" w:fill="013161"/>
            <w:vAlign w:val="center"/>
          </w:tcPr>
          <w:p w:rsidR="00D86A11" w:rsidRPr="00721EF1" w:rsidRDefault="00D86A11" w:rsidP="00D86A11">
            <w:pPr>
              <w:spacing w:after="0" w:line="240" w:lineRule="auto"/>
              <w:jc w:val="center"/>
              <w:rPr>
                <w:rFonts w:ascii="Calibri" w:eastAsia="Times New Roman" w:hAnsi="Calibri" w:cs="Arial"/>
                <w:b/>
                <w:bCs/>
                <w:color w:val="FFFFFF"/>
                <w:sz w:val="20"/>
              </w:rPr>
            </w:pPr>
            <w:r w:rsidRPr="00721EF1">
              <w:rPr>
                <w:rFonts w:ascii="Calibri" w:eastAsia="Times New Roman" w:hAnsi="Calibri" w:cs="Arial"/>
                <w:b/>
                <w:bCs/>
                <w:color w:val="FFFFFF"/>
                <w:sz w:val="20"/>
              </w:rPr>
              <w:t>Native American</w:t>
            </w:r>
          </w:p>
          <w:p w:rsidR="00D86A11" w:rsidRPr="00721EF1" w:rsidRDefault="00D86A11" w:rsidP="00D86A11">
            <w:pPr>
              <w:spacing w:after="0" w:line="240" w:lineRule="auto"/>
              <w:jc w:val="center"/>
              <w:rPr>
                <w:rFonts w:ascii="Calibri" w:eastAsia="Times New Roman" w:hAnsi="Calibri" w:cs="Arial"/>
                <w:b/>
                <w:bCs/>
                <w:color w:val="FFFFFF"/>
                <w:sz w:val="20"/>
              </w:rPr>
            </w:pPr>
            <w:r w:rsidRPr="00721EF1">
              <w:rPr>
                <w:rFonts w:ascii="Calibri" w:eastAsia="Times New Roman" w:hAnsi="Calibri" w:cs="Arial"/>
                <w:bCs/>
                <w:color w:val="FFFFFF"/>
                <w:sz w:val="20"/>
              </w:rPr>
              <w:t>(%)</w:t>
            </w:r>
          </w:p>
        </w:tc>
        <w:tc>
          <w:tcPr>
            <w:tcW w:w="901" w:type="dxa"/>
            <w:shd w:val="clear" w:color="auto" w:fill="013161"/>
            <w:vAlign w:val="center"/>
          </w:tcPr>
          <w:p w:rsidR="00D86A11" w:rsidRPr="00721EF1" w:rsidRDefault="00D86A11" w:rsidP="00D86A11">
            <w:pPr>
              <w:spacing w:after="0" w:line="240" w:lineRule="auto"/>
              <w:jc w:val="center"/>
              <w:rPr>
                <w:rFonts w:ascii="Calibri" w:eastAsia="Times New Roman" w:hAnsi="Calibri" w:cs="Arial"/>
                <w:b/>
                <w:bCs/>
                <w:color w:val="FFFFFF"/>
                <w:sz w:val="20"/>
              </w:rPr>
            </w:pPr>
            <w:r w:rsidRPr="00721EF1">
              <w:rPr>
                <w:rFonts w:ascii="Calibri" w:eastAsia="Times New Roman" w:hAnsi="Calibri" w:cs="Arial"/>
                <w:b/>
                <w:bCs/>
                <w:color w:val="FFFFFF"/>
                <w:sz w:val="20"/>
              </w:rPr>
              <w:t>Missing</w:t>
            </w:r>
          </w:p>
          <w:p w:rsidR="00D86A11" w:rsidRPr="00721EF1" w:rsidRDefault="00D86A11" w:rsidP="00D86A11">
            <w:pPr>
              <w:spacing w:after="0" w:line="240" w:lineRule="auto"/>
              <w:jc w:val="center"/>
              <w:rPr>
                <w:rFonts w:ascii="Calibri" w:eastAsia="Times New Roman" w:hAnsi="Calibri" w:cs="Arial"/>
                <w:b/>
                <w:bCs/>
                <w:color w:val="FFFFFF"/>
                <w:sz w:val="20"/>
              </w:rPr>
            </w:pPr>
            <w:r w:rsidRPr="00721EF1">
              <w:rPr>
                <w:rFonts w:ascii="Calibri" w:eastAsia="Times New Roman" w:hAnsi="Calibri" w:cs="Arial"/>
                <w:bCs/>
                <w:color w:val="FFFFFF"/>
                <w:sz w:val="20"/>
              </w:rPr>
              <w:t>(%)</w:t>
            </w:r>
          </w:p>
        </w:tc>
        <w:tc>
          <w:tcPr>
            <w:tcW w:w="734" w:type="dxa"/>
            <w:shd w:val="clear" w:color="auto" w:fill="013161"/>
            <w:vAlign w:val="center"/>
          </w:tcPr>
          <w:p w:rsidR="00D86A11" w:rsidRPr="00721EF1" w:rsidRDefault="00D86A11" w:rsidP="00D86A11">
            <w:pPr>
              <w:spacing w:after="0" w:line="240" w:lineRule="auto"/>
              <w:jc w:val="center"/>
              <w:rPr>
                <w:rFonts w:ascii="Calibri" w:eastAsia="Times New Roman" w:hAnsi="Calibri" w:cs="Arial"/>
                <w:b/>
                <w:bCs/>
                <w:color w:val="FFFFFF"/>
                <w:sz w:val="20"/>
              </w:rPr>
            </w:pPr>
            <w:r w:rsidRPr="00721EF1">
              <w:rPr>
                <w:rFonts w:ascii="Calibri" w:eastAsia="Times New Roman" w:hAnsi="Calibri" w:cs="Arial"/>
                <w:b/>
                <w:bCs/>
                <w:color w:val="FFFFFF"/>
                <w:sz w:val="20"/>
              </w:rPr>
              <w:t>All</w:t>
            </w:r>
          </w:p>
          <w:p w:rsidR="00D86A11" w:rsidRPr="00721EF1" w:rsidRDefault="00D86A11" w:rsidP="00D86A11">
            <w:pPr>
              <w:spacing w:after="0" w:line="240" w:lineRule="auto"/>
              <w:jc w:val="center"/>
              <w:rPr>
                <w:rFonts w:ascii="Calibri" w:eastAsia="Times New Roman" w:hAnsi="Calibri" w:cs="Arial"/>
                <w:b/>
                <w:bCs/>
                <w:color w:val="FFFFFF"/>
                <w:sz w:val="20"/>
              </w:rPr>
            </w:pPr>
            <w:r w:rsidRPr="00721EF1">
              <w:rPr>
                <w:rFonts w:ascii="Calibri" w:eastAsia="Times New Roman" w:hAnsi="Calibri" w:cs="Arial"/>
                <w:bCs/>
                <w:color w:val="FFFFFF"/>
                <w:sz w:val="20"/>
              </w:rPr>
              <w:t>(%)</w:t>
            </w:r>
          </w:p>
        </w:tc>
      </w:tr>
      <w:tr w:rsidR="00D86A11" w:rsidRPr="00AA576B" w:rsidTr="00E952A8">
        <w:trPr>
          <w:trHeight w:val="273"/>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bookmarkStart w:id="3" w:name="RANGE!A12"/>
            <w:r w:rsidRPr="004C6FDE">
              <w:rPr>
                <w:rFonts w:ascii="Calibri" w:eastAsia="Times New Roman" w:hAnsi="Calibri" w:cs="Arial"/>
                <w:b/>
                <w:bCs/>
                <w:color w:val="013161"/>
                <w:sz w:val="20"/>
              </w:rPr>
              <w:t>Pre-Adopt</w:t>
            </w:r>
            <w:bookmarkEnd w:id="3"/>
          </w:p>
        </w:tc>
        <w:tc>
          <w:tcPr>
            <w:tcW w:w="107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7.1</w:t>
            </w:r>
          </w:p>
        </w:tc>
        <w:tc>
          <w:tcPr>
            <w:tcW w:w="90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6.6</w:t>
            </w:r>
          </w:p>
        </w:tc>
        <w:tc>
          <w:tcPr>
            <w:tcW w:w="108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5.8</w:t>
            </w:r>
          </w:p>
        </w:tc>
        <w:tc>
          <w:tcPr>
            <w:tcW w:w="135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11.5</w:t>
            </w:r>
          </w:p>
        </w:tc>
        <w:tc>
          <w:tcPr>
            <w:tcW w:w="126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01"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73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6.3</w:t>
            </w:r>
          </w:p>
        </w:tc>
      </w:tr>
      <w:tr w:rsidR="00D86A11" w:rsidRPr="00AA576B" w:rsidTr="00E952A8">
        <w:trPr>
          <w:trHeight w:val="273"/>
        </w:trPr>
        <w:tc>
          <w:tcPr>
            <w:tcW w:w="2088" w:type="dxa"/>
            <w:shd w:val="clear" w:color="auto" w:fill="auto"/>
          </w:tcPr>
          <w:p w:rsidR="00D86A11" w:rsidRPr="004C6FDE" w:rsidRDefault="00D86A11" w:rsidP="00E952A8">
            <w:pPr>
              <w:spacing w:after="0" w:line="240" w:lineRule="auto"/>
              <w:rPr>
                <w:rFonts w:ascii="Calibri" w:eastAsia="Times New Roman" w:hAnsi="Calibri" w:cs="Arial"/>
                <w:b/>
                <w:bCs/>
                <w:color w:val="2E7029"/>
                <w:sz w:val="20"/>
              </w:rPr>
            </w:pPr>
            <w:r w:rsidRPr="004C6FDE">
              <w:rPr>
                <w:rFonts w:ascii="Calibri" w:eastAsia="Times New Roman" w:hAnsi="Calibri" w:cs="Arial"/>
                <w:b/>
                <w:bCs/>
                <w:color w:val="2E7029"/>
                <w:sz w:val="20"/>
              </w:rPr>
              <w:t>Relatives</w:t>
            </w:r>
          </w:p>
        </w:tc>
        <w:tc>
          <w:tcPr>
            <w:tcW w:w="1070" w:type="dxa"/>
            <w:shd w:val="clear" w:color="auto" w:fill="auto"/>
          </w:tcPr>
          <w:p w:rsidR="00D86A11" w:rsidRPr="004C6FDE" w:rsidRDefault="00D86A11" w:rsidP="00D86A11">
            <w:pPr>
              <w:spacing w:after="0" w:line="240" w:lineRule="auto"/>
              <w:jc w:val="center"/>
              <w:rPr>
                <w:rFonts w:ascii="Calibri" w:eastAsia="Times New Roman" w:hAnsi="Calibri" w:cs="Arial"/>
                <w:b/>
                <w:color w:val="2E7029"/>
                <w:sz w:val="20"/>
              </w:rPr>
            </w:pPr>
            <w:r w:rsidRPr="004C6FDE">
              <w:rPr>
                <w:rFonts w:ascii="Calibri" w:eastAsia="Times New Roman" w:hAnsi="Calibri" w:cs="Arial"/>
                <w:b/>
                <w:color w:val="2E7029"/>
                <w:sz w:val="20"/>
              </w:rPr>
              <w:t>29.8</w:t>
            </w:r>
          </w:p>
        </w:tc>
        <w:tc>
          <w:tcPr>
            <w:tcW w:w="900" w:type="dxa"/>
            <w:shd w:val="clear" w:color="auto" w:fill="auto"/>
          </w:tcPr>
          <w:p w:rsidR="00D86A11" w:rsidRPr="004C6FDE" w:rsidRDefault="00D86A11" w:rsidP="00D86A11">
            <w:pPr>
              <w:spacing w:after="0" w:line="240" w:lineRule="auto"/>
              <w:jc w:val="center"/>
              <w:rPr>
                <w:rFonts w:ascii="Calibri" w:eastAsia="Times New Roman" w:hAnsi="Calibri" w:cs="Arial"/>
                <w:b/>
                <w:color w:val="2E7029"/>
                <w:sz w:val="20"/>
              </w:rPr>
            </w:pPr>
            <w:r w:rsidRPr="004C6FDE">
              <w:rPr>
                <w:rFonts w:ascii="Calibri" w:eastAsia="Times New Roman" w:hAnsi="Calibri" w:cs="Arial"/>
                <w:b/>
                <w:color w:val="2E7029"/>
                <w:sz w:val="20"/>
              </w:rPr>
              <w:t>45.1</w:t>
            </w:r>
          </w:p>
        </w:tc>
        <w:tc>
          <w:tcPr>
            <w:tcW w:w="1080" w:type="dxa"/>
            <w:shd w:val="clear" w:color="auto" w:fill="auto"/>
          </w:tcPr>
          <w:p w:rsidR="00D86A11" w:rsidRPr="004C6FDE" w:rsidRDefault="00D86A11" w:rsidP="00D86A11">
            <w:pPr>
              <w:spacing w:after="0" w:line="240" w:lineRule="auto"/>
              <w:jc w:val="center"/>
              <w:rPr>
                <w:rFonts w:ascii="Calibri" w:eastAsia="Times New Roman" w:hAnsi="Calibri" w:cs="Arial"/>
                <w:b/>
                <w:color w:val="2E7029"/>
                <w:sz w:val="20"/>
              </w:rPr>
            </w:pPr>
            <w:r w:rsidRPr="004C6FDE">
              <w:rPr>
                <w:rFonts w:ascii="Calibri" w:eastAsia="Times New Roman" w:hAnsi="Calibri" w:cs="Arial"/>
                <w:b/>
                <w:color w:val="2E7029"/>
                <w:sz w:val="20"/>
              </w:rPr>
              <w:t>45.1</w:t>
            </w:r>
          </w:p>
        </w:tc>
        <w:tc>
          <w:tcPr>
            <w:tcW w:w="1350" w:type="dxa"/>
            <w:shd w:val="clear" w:color="auto" w:fill="auto"/>
          </w:tcPr>
          <w:p w:rsidR="00D86A11" w:rsidRPr="004C6FDE" w:rsidRDefault="00D86A11" w:rsidP="00D86A11">
            <w:pPr>
              <w:spacing w:after="0" w:line="240" w:lineRule="auto"/>
              <w:jc w:val="center"/>
              <w:rPr>
                <w:rFonts w:ascii="Calibri" w:eastAsia="Times New Roman" w:hAnsi="Calibri" w:cs="Arial"/>
                <w:b/>
                <w:color w:val="2E7029"/>
                <w:sz w:val="20"/>
              </w:rPr>
            </w:pPr>
            <w:r w:rsidRPr="004C6FDE">
              <w:rPr>
                <w:rFonts w:ascii="Calibri" w:eastAsia="Times New Roman" w:hAnsi="Calibri" w:cs="Arial"/>
                <w:b/>
                <w:color w:val="2E7029"/>
                <w:sz w:val="20"/>
              </w:rPr>
              <w:t>44.9</w:t>
            </w:r>
          </w:p>
        </w:tc>
        <w:tc>
          <w:tcPr>
            <w:tcW w:w="1260" w:type="dxa"/>
            <w:shd w:val="clear" w:color="auto" w:fill="auto"/>
          </w:tcPr>
          <w:p w:rsidR="00D86A11" w:rsidRPr="004C6FDE" w:rsidRDefault="00D86A11" w:rsidP="00D86A11">
            <w:pPr>
              <w:spacing w:after="0" w:line="240" w:lineRule="auto"/>
              <w:jc w:val="center"/>
              <w:rPr>
                <w:rFonts w:ascii="Calibri" w:eastAsia="Times New Roman" w:hAnsi="Calibri" w:cs="Arial"/>
                <w:b/>
                <w:color w:val="2E7029"/>
                <w:sz w:val="20"/>
              </w:rPr>
            </w:pPr>
            <w:r w:rsidRPr="004C6FDE">
              <w:rPr>
                <w:rFonts w:ascii="Calibri" w:eastAsia="Times New Roman" w:hAnsi="Calibri" w:cs="Arial"/>
                <w:b/>
                <w:color w:val="2E7029"/>
                <w:sz w:val="20"/>
              </w:rPr>
              <w:t>40.8</w:t>
            </w:r>
          </w:p>
        </w:tc>
        <w:tc>
          <w:tcPr>
            <w:tcW w:w="901" w:type="dxa"/>
            <w:shd w:val="clear" w:color="auto" w:fill="auto"/>
          </w:tcPr>
          <w:p w:rsidR="00D86A11" w:rsidRPr="004C6FDE" w:rsidRDefault="00D86A11" w:rsidP="00D86A11">
            <w:pPr>
              <w:spacing w:after="0" w:line="240" w:lineRule="auto"/>
              <w:jc w:val="center"/>
              <w:rPr>
                <w:rFonts w:ascii="Calibri" w:eastAsia="Times New Roman" w:hAnsi="Calibri" w:cs="Arial"/>
                <w:b/>
                <w:color w:val="2E7029"/>
                <w:sz w:val="20"/>
              </w:rPr>
            </w:pPr>
            <w:r w:rsidRPr="004C6FDE">
              <w:rPr>
                <w:rFonts w:ascii="Calibri" w:eastAsia="Times New Roman" w:hAnsi="Calibri" w:cs="Arial"/>
                <w:b/>
                <w:color w:val="2E7029"/>
                <w:sz w:val="20"/>
              </w:rPr>
              <w:t>28.6</w:t>
            </w:r>
          </w:p>
        </w:tc>
        <w:tc>
          <w:tcPr>
            <w:tcW w:w="734" w:type="dxa"/>
            <w:shd w:val="clear" w:color="auto" w:fill="auto"/>
          </w:tcPr>
          <w:p w:rsidR="00D86A11" w:rsidRPr="004C6FDE" w:rsidRDefault="00D86A11" w:rsidP="00D86A11">
            <w:pPr>
              <w:spacing w:after="0" w:line="240" w:lineRule="auto"/>
              <w:jc w:val="center"/>
              <w:rPr>
                <w:rFonts w:ascii="Calibri" w:eastAsia="Times New Roman" w:hAnsi="Calibri" w:cs="Arial"/>
                <w:b/>
                <w:color w:val="2E7029"/>
                <w:sz w:val="20"/>
              </w:rPr>
            </w:pPr>
            <w:r w:rsidRPr="004C6FDE">
              <w:rPr>
                <w:rFonts w:ascii="Calibri" w:eastAsia="Times New Roman" w:hAnsi="Calibri" w:cs="Arial"/>
                <w:b/>
                <w:color w:val="2E7029"/>
                <w:sz w:val="20"/>
              </w:rPr>
              <w:t>42.1</w:t>
            </w:r>
          </w:p>
        </w:tc>
      </w:tr>
      <w:tr w:rsidR="00D86A11" w:rsidRPr="00AA576B" w:rsidTr="00E952A8">
        <w:trPr>
          <w:trHeight w:val="273"/>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Foster</w:t>
            </w:r>
          </w:p>
        </w:tc>
        <w:tc>
          <w:tcPr>
            <w:tcW w:w="107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21.9</w:t>
            </w:r>
          </w:p>
        </w:tc>
        <w:tc>
          <w:tcPr>
            <w:tcW w:w="90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22.6</w:t>
            </w:r>
          </w:p>
        </w:tc>
        <w:tc>
          <w:tcPr>
            <w:tcW w:w="108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24.3</w:t>
            </w:r>
          </w:p>
        </w:tc>
        <w:tc>
          <w:tcPr>
            <w:tcW w:w="135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23.1</w:t>
            </w:r>
          </w:p>
        </w:tc>
        <w:tc>
          <w:tcPr>
            <w:tcW w:w="126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20.4</w:t>
            </w:r>
          </w:p>
        </w:tc>
        <w:tc>
          <w:tcPr>
            <w:tcW w:w="901"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28.6</w:t>
            </w:r>
          </w:p>
        </w:tc>
        <w:tc>
          <w:tcPr>
            <w:tcW w:w="73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23.3</w:t>
            </w:r>
          </w:p>
        </w:tc>
      </w:tr>
      <w:tr w:rsidR="00D86A11" w:rsidRPr="00AA576B" w:rsidTr="00E952A8">
        <w:trPr>
          <w:trHeight w:val="273"/>
        </w:trPr>
        <w:tc>
          <w:tcPr>
            <w:tcW w:w="2088" w:type="dxa"/>
            <w:shd w:val="clear" w:color="auto" w:fill="auto"/>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FFA</w:t>
            </w:r>
          </w:p>
        </w:tc>
        <w:tc>
          <w:tcPr>
            <w:tcW w:w="107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10.5</w:t>
            </w:r>
          </w:p>
        </w:tc>
        <w:tc>
          <w:tcPr>
            <w:tcW w:w="90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7.6</w:t>
            </w:r>
          </w:p>
        </w:tc>
        <w:tc>
          <w:tcPr>
            <w:tcW w:w="108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7.1</w:t>
            </w:r>
          </w:p>
        </w:tc>
        <w:tc>
          <w:tcPr>
            <w:tcW w:w="135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3.8</w:t>
            </w:r>
          </w:p>
        </w:tc>
        <w:tc>
          <w:tcPr>
            <w:tcW w:w="126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6.1</w:t>
            </w:r>
          </w:p>
        </w:tc>
        <w:tc>
          <w:tcPr>
            <w:tcW w:w="901"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73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7.8</w:t>
            </w:r>
          </w:p>
        </w:tc>
      </w:tr>
      <w:tr w:rsidR="00D86A11" w:rsidRPr="00AA576B" w:rsidTr="00E952A8">
        <w:trPr>
          <w:trHeight w:val="273"/>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Court Specified Home</w:t>
            </w:r>
          </w:p>
        </w:tc>
        <w:tc>
          <w:tcPr>
            <w:tcW w:w="107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0.6</w:t>
            </w:r>
          </w:p>
        </w:tc>
        <w:tc>
          <w:tcPr>
            <w:tcW w:w="90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w:t>
            </w:r>
          </w:p>
        </w:tc>
        <w:tc>
          <w:tcPr>
            <w:tcW w:w="108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1.5</w:t>
            </w:r>
          </w:p>
        </w:tc>
        <w:tc>
          <w:tcPr>
            <w:tcW w:w="135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126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w:t>
            </w:r>
          </w:p>
        </w:tc>
        <w:tc>
          <w:tcPr>
            <w:tcW w:w="901"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73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1.4</w:t>
            </w:r>
          </w:p>
        </w:tc>
      </w:tr>
      <w:tr w:rsidR="00D86A11" w:rsidRPr="00AA576B" w:rsidTr="00E952A8">
        <w:trPr>
          <w:trHeight w:val="273"/>
        </w:trPr>
        <w:tc>
          <w:tcPr>
            <w:tcW w:w="2088" w:type="dxa"/>
            <w:shd w:val="clear" w:color="auto" w:fill="auto"/>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Group</w:t>
            </w:r>
          </w:p>
        </w:tc>
        <w:tc>
          <w:tcPr>
            <w:tcW w:w="107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14.1</w:t>
            </w:r>
          </w:p>
        </w:tc>
        <w:tc>
          <w:tcPr>
            <w:tcW w:w="90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w:t>
            </w:r>
          </w:p>
        </w:tc>
        <w:tc>
          <w:tcPr>
            <w:tcW w:w="108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6.4</w:t>
            </w:r>
          </w:p>
        </w:tc>
        <w:tc>
          <w:tcPr>
            <w:tcW w:w="135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2.6</w:t>
            </w:r>
          </w:p>
        </w:tc>
        <w:tc>
          <w:tcPr>
            <w:tcW w:w="126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12.2</w:t>
            </w:r>
          </w:p>
        </w:tc>
        <w:tc>
          <w:tcPr>
            <w:tcW w:w="901"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73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8.0</w:t>
            </w:r>
          </w:p>
        </w:tc>
      </w:tr>
      <w:tr w:rsidR="00D86A11" w:rsidRPr="00AA576B" w:rsidTr="00E952A8">
        <w:trPr>
          <w:trHeight w:val="273"/>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Shelter</w:t>
            </w:r>
          </w:p>
        </w:tc>
        <w:tc>
          <w:tcPr>
            <w:tcW w:w="107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1.3</w:t>
            </w:r>
          </w:p>
        </w:tc>
        <w:tc>
          <w:tcPr>
            <w:tcW w:w="90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0.3</w:t>
            </w:r>
          </w:p>
        </w:tc>
        <w:tc>
          <w:tcPr>
            <w:tcW w:w="108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1.1</w:t>
            </w:r>
          </w:p>
        </w:tc>
        <w:tc>
          <w:tcPr>
            <w:tcW w:w="135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2.6</w:t>
            </w:r>
          </w:p>
        </w:tc>
        <w:tc>
          <w:tcPr>
            <w:tcW w:w="126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01"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42.9</w:t>
            </w:r>
          </w:p>
        </w:tc>
        <w:tc>
          <w:tcPr>
            <w:tcW w:w="73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1.1</w:t>
            </w:r>
          </w:p>
        </w:tc>
      </w:tr>
      <w:tr w:rsidR="00D86A11" w:rsidRPr="00AA576B" w:rsidTr="00E952A8">
        <w:trPr>
          <w:trHeight w:val="273"/>
        </w:trPr>
        <w:tc>
          <w:tcPr>
            <w:tcW w:w="2088" w:type="dxa"/>
            <w:shd w:val="clear" w:color="auto" w:fill="auto"/>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Non-FC</w:t>
            </w:r>
          </w:p>
        </w:tc>
        <w:tc>
          <w:tcPr>
            <w:tcW w:w="107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0.4</w:t>
            </w:r>
          </w:p>
        </w:tc>
        <w:tc>
          <w:tcPr>
            <w:tcW w:w="90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0.6</w:t>
            </w:r>
          </w:p>
        </w:tc>
        <w:tc>
          <w:tcPr>
            <w:tcW w:w="108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0.2</w:t>
            </w:r>
          </w:p>
        </w:tc>
        <w:tc>
          <w:tcPr>
            <w:tcW w:w="135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126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01"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73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0.3</w:t>
            </w:r>
          </w:p>
        </w:tc>
      </w:tr>
      <w:tr w:rsidR="00D86A11" w:rsidRPr="00AA576B" w:rsidTr="00E952A8">
        <w:trPr>
          <w:trHeight w:val="273"/>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Transitional Housing</w:t>
            </w:r>
          </w:p>
        </w:tc>
        <w:tc>
          <w:tcPr>
            <w:tcW w:w="107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0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108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0.1</w:t>
            </w:r>
          </w:p>
        </w:tc>
        <w:tc>
          <w:tcPr>
            <w:tcW w:w="135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126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01"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73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w:t>
            </w:r>
          </w:p>
        </w:tc>
      </w:tr>
      <w:tr w:rsidR="00D86A11" w:rsidRPr="00AA576B" w:rsidTr="00E952A8">
        <w:trPr>
          <w:trHeight w:val="273"/>
        </w:trPr>
        <w:tc>
          <w:tcPr>
            <w:tcW w:w="2088" w:type="dxa"/>
            <w:shd w:val="clear" w:color="auto" w:fill="auto"/>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Guardian - Dependent</w:t>
            </w:r>
          </w:p>
        </w:tc>
        <w:tc>
          <w:tcPr>
            <w:tcW w:w="107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0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0.1</w:t>
            </w:r>
          </w:p>
        </w:tc>
        <w:tc>
          <w:tcPr>
            <w:tcW w:w="108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135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126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01"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73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w:t>
            </w:r>
          </w:p>
        </w:tc>
      </w:tr>
      <w:tr w:rsidR="00D86A11" w:rsidRPr="00AA576B" w:rsidTr="00E952A8">
        <w:trPr>
          <w:trHeight w:val="273"/>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Guardian - Other</w:t>
            </w:r>
          </w:p>
        </w:tc>
        <w:tc>
          <w:tcPr>
            <w:tcW w:w="107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13.9</w:t>
            </w:r>
          </w:p>
        </w:tc>
        <w:tc>
          <w:tcPr>
            <w:tcW w:w="90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7.3</w:t>
            </w:r>
          </w:p>
        </w:tc>
        <w:tc>
          <w:tcPr>
            <w:tcW w:w="108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7</w:t>
            </w:r>
          </w:p>
        </w:tc>
        <w:tc>
          <w:tcPr>
            <w:tcW w:w="135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11.5</w:t>
            </w:r>
          </w:p>
        </w:tc>
        <w:tc>
          <w:tcPr>
            <w:tcW w:w="126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18.4</w:t>
            </w:r>
          </w:p>
        </w:tc>
        <w:tc>
          <w:tcPr>
            <w:tcW w:w="901"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73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8.7</w:t>
            </w:r>
          </w:p>
        </w:tc>
      </w:tr>
      <w:tr w:rsidR="00D86A11" w:rsidRPr="00AA576B" w:rsidTr="00E952A8">
        <w:trPr>
          <w:trHeight w:val="273"/>
        </w:trPr>
        <w:tc>
          <w:tcPr>
            <w:tcW w:w="2088" w:type="dxa"/>
            <w:shd w:val="clear" w:color="auto" w:fill="auto"/>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Runaway</w:t>
            </w:r>
          </w:p>
        </w:tc>
        <w:tc>
          <w:tcPr>
            <w:tcW w:w="107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0.2</w:t>
            </w:r>
          </w:p>
        </w:tc>
        <w:tc>
          <w:tcPr>
            <w:tcW w:w="90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0.1</w:t>
            </w:r>
          </w:p>
        </w:tc>
        <w:tc>
          <w:tcPr>
            <w:tcW w:w="108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0.8</w:t>
            </w:r>
          </w:p>
        </w:tc>
        <w:tc>
          <w:tcPr>
            <w:tcW w:w="135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126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01"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73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0.5</w:t>
            </w:r>
          </w:p>
        </w:tc>
      </w:tr>
      <w:tr w:rsidR="00D86A11" w:rsidRPr="00AA576B" w:rsidTr="00E952A8">
        <w:trPr>
          <w:trHeight w:val="273"/>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Trial Home Visit</w:t>
            </w:r>
          </w:p>
        </w:tc>
        <w:tc>
          <w:tcPr>
            <w:tcW w:w="107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0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0.6</w:t>
            </w:r>
          </w:p>
        </w:tc>
        <w:tc>
          <w:tcPr>
            <w:tcW w:w="108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0.5</w:t>
            </w:r>
          </w:p>
        </w:tc>
        <w:tc>
          <w:tcPr>
            <w:tcW w:w="135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126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01"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73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0.4</w:t>
            </w:r>
          </w:p>
        </w:tc>
      </w:tr>
      <w:tr w:rsidR="00D86A11" w:rsidRPr="00AA576B" w:rsidTr="00E952A8">
        <w:trPr>
          <w:trHeight w:val="273"/>
        </w:trPr>
        <w:tc>
          <w:tcPr>
            <w:tcW w:w="2088" w:type="dxa"/>
            <w:shd w:val="clear" w:color="auto" w:fill="auto"/>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Other (?)</w:t>
            </w:r>
          </w:p>
        </w:tc>
        <w:tc>
          <w:tcPr>
            <w:tcW w:w="107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0.2</w:t>
            </w:r>
          </w:p>
        </w:tc>
        <w:tc>
          <w:tcPr>
            <w:tcW w:w="90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108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0.2</w:t>
            </w:r>
          </w:p>
        </w:tc>
        <w:tc>
          <w:tcPr>
            <w:tcW w:w="135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1260"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901"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w:t>
            </w:r>
          </w:p>
        </w:tc>
        <w:tc>
          <w:tcPr>
            <w:tcW w:w="734" w:type="dxa"/>
            <w:shd w:val="clear" w:color="auto" w:fill="auto"/>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0.1</w:t>
            </w:r>
          </w:p>
        </w:tc>
      </w:tr>
      <w:tr w:rsidR="00D86A11" w:rsidRPr="00AA576B" w:rsidTr="00E952A8">
        <w:trPr>
          <w:trHeight w:val="273"/>
        </w:trPr>
        <w:tc>
          <w:tcPr>
            <w:tcW w:w="2088" w:type="dxa"/>
            <w:shd w:val="clear" w:color="auto" w:fill="DBE5F1"/>
          </w:tcPr>
          <w:p w:rsidR="00D86A11" w:rsidRPr="004C6FDE" w:rsidRDefault="00D86A11" w:rsidP="00E952A8">
            <w:pPr>
              <w:spacing w:after="0" w:line="240" w:lineRule="auto"/>
              <w:rPr>
                <w:rFonts w:ascii="Calibri" w:eastAsia="Times New Roman" w:hAnsi="Calibri" w:cs="Arial"/>
                <w:b/>
                <w:bCs/>
                <w:color w:val="013161"/>
                <w:sz w:val="20"/>
              </w:rPr>
            </w:pPr>
            <w:r w:rsidRPr="004C6FDE">
              <w:rPr>
                <w:rFonts w:ascii="Calibri" w:eastAsia="Times New Roman" w:hAnsi="Calibri" w:cs="Arial"/>
                <w:b/>
                <w:bCs/>
                <w:color w:val="013161"/>
                <w:sz w:val="20"/>
              </w:rPr>
              <w:t>Total</w:t>
            </w:r>
          </w:p>
        </w:tc>
        <w:tc>
          <w:tcPr>
            <w:tcW w:w="107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100</w:t>
            </w:r>
          </w:p>
        </w:tc>
        <w:tc>
          <w:tcPr>
            <w:tcW w:w="90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100</w:t>
            </w:r>
          </w:p>
        </w:tc>
        <w:tc>
          <w:tcPr>
            <w:tcW w:w="108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100</w:t>
            </w:r>
          </w:p>
        </w:tc>
        <w:tc>
          <w:tcPr>
            <w:tcW w:w="135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100</w:t>
            </w:r>
          </w:p>
        </w:tc>
        <w:tc>
          <w:tcPr>
            <w:tcW w:w="1260"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100</w:t>
            </w:r>
          </w:p>
        </w:tc>
        <w:tc>
          <w:tcPr>
            <w:tcW w:w="901"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100</w:t>
            </w:r>
          </w:p>
        </w:tc>
        <w:tc>
          <w:tcPr>
            <w:tcW w:w="734" w:type="dxa"/>
            <w:shd w:val="clear" w:color="auto" w:fill="DBE5F1"/>
          </w:tcPr>
          <w:p w:rsidR="00D86A11" w:rsidRPr="004C6FDE" w:rsidRDefault="00D86A11" w:rsidP="00D86A11">
            <w:pPr>
              <w:spacing w:after="0" w:line="240" w:lineRule="auto"/>
              <w:jc w:val="center"/>
              <w:rPr>
                <w:rFonts w:ascii="Calibri" w:eastAsia="Times New Roman" w:hAnsi="Calibri" w:cs="Arial"/>
                <w:b/>
                <w:color w:val="013161"/>
                <w:sz w:val="20"/>
              </w:rPr>
            </w:pPr>
            <w:r w:rsidRPr="004C6FDE">
              <w:rPr>
                <w:rFonts w:ascii="Calibri" w:eastAsia="Times New Roman" w:hAnsi="Calibri" w:cs="Arial"/>
                <w:b/>
                <w:color w:val="013161"/>
                <w:sz w:val="20"/>
              </w:rPr>
              <w:t>100</w:t>
            </w:r>
          </w:p>
        </w:tc>
      </w:tr>
    </w:tbl>
    <w:p w:rsidR="00D86A11" w:rsidRDefault="00D86A11" w:rsidP="00D86A11">
      <w:pPr>
        <w:spacing w:after="0"/>
        <w:contextualSpacing/>
        <w:rPr>
          <w:rFonts w:ascii="Calibri" w:hAnsi="Calibri" w:cs="Calibri"/>
          <w:b/>
          <w:smallCaps/>
          <w:color w:val="auto"/>
          <w:sz w:val="28"/>
          <w:szCs w:val="28"/>
        </w:rPr>
      </w:pPr>
    </w:p>
    <w:p w:rsidR="00D86A11" w:rsidRPr="0094612B" w:rsidRDefault="00D86A11" w:rsidP="00D86A11">
      <w:pPr>
        <w:pStyle w:val="Heading3"/>
        <w:spacing w:line="276" w:lineRule="auto"/>
        <w:rPr>
          <w:b w:val="0"/>
          <w:color w:val="auto"/>
          <w:sz w:val="22"/>
        </w:rPr>
      </w:pPr>
      <w:r w:rsidRPr="0094612B">
        <w:rPr>
          <w:b w:val="0"/>
          <w:color w:val="auto"/>
          <w:sz w:val="22"/>
        </w:rPr>
        <w:t xml:space="preserve">CWS has implemented multiple strategies in recent years to reduce the percent of children in group homes and increase the percentage of children in relative homes. To decrease group home care, the County converted all group home agreements to contracts to increase accountability and monitoring. A Permanency Roundtable </w:t>
      </w:r>
      <w:r>
        <w:rPr>
          <w:b w:val="0"/>
          <w:color w:val="auto"/>
          <w:sz w:val="22"/>
        </w:rPr>
        <w:t xml:space="preserve">process </w:t>
      </w:r>
      <w:r w:rsidRPr="0094612B">
        <w:rPr>
          <w:b w:val="0"/>
          <w:color w:val="auto"/>
          <w:sz w:val="22"/>
        </w:rPr>
        <w:t xml:space="preserve">was also established. The Roundtable is an interagency placement committee that reviews and assesses potential residential placements prior to placement and re-assesses each residential placement every six months. </w:t>
      </w:r>
    </w:p>
    <w:p w:rsidR="00D86A11" w:rsidRPr="0094612B" w:rsidRDefault="00D86A11" w:rsidP="00D86A11">
      <w:pPr>
        <w:pStyle w:val="Heading3"/>
        <w:spacing w:line="276" w:lineRule="auto"/>
        <w:rPr>
          <w:b w:val="0"/>
          <w:color w:val="auto"/>
          <w:sz w:val="22"/>
        </w:rPr>
      </w:pPr>
      <w:r w:rsidRPr="0094612B">
        <w:rPr>
          <w:b w:val="0"/>
          <w:color w:val="auto"/>
          <w:sz w:val="22"/>
        </w:rPr>
        <w:t xml:space="preserve">To increase the percent of children placed with relatives, CWS has mandated the use of genograms, has improved the relative home approval process and increased caregiver supports. The County is also in the process of expanding the Neighborhoods for Kids (N4K) model, which began in East Region, to all regions in the county. N4K focuses on developing partnerships with schools, community agencies and community members to provide neighborhood focused services typically centered </w:t>
      </w:r>
      <w:r w:rsidR="004407E3" w:rsidRPr="0094612B">
        <w:rPr>
          <w:b w:val="0"/>
          <w:color w:val="auto"/>
          <w:sz w:val="22"/>
        </w:rPr>
        <w:t>on</w:t>
      </w:r>
      <w:r w:rsidRPr="0094612B">
        <w:rPr>
          <w:b w:val="0"/>
          <w:color w:val="auto"/>
          <w:sz w:val="22"/>
        </w:rPr>
        <w:t xml:space="preserve"> school clusters. The effort aligns with State legislation that emphasizes the importance of maintaining children in their school of origin and </w:t>
      </w:r>
      <w:r w:rsidRPr="0094612B">
        <w:rPr>
          <w:b w:val="0"/>
          <w:color w:val="auto"/>
          <w:sz w:val="22"/>
        </w:rPr>
        <w:lastRenderedPageBreak/>
        <w:t>maintaining family connections. N4K has been very successful in increasing relative care rates.</w:t>
      </w:r>
    </w:p>
    <w:p w:rsidR="00D86A11" w:rsidRDefault="00D86A11" w:rsidP="00D86A11">
      <w:pPr>
        <w:spacing w:after="0"/>
        <w:contextualSpacing/>
        <w:rPr>
          <w:rFonts w:ascii="Calibri" w:hAnsi="Calibri" w:cs="Calibri"/>
          <w:sz w:val="24"/>
          <w:szCs w:val="24"/>
        </w:rPr>
      </w:pPr>
    </w:p>
    <w:p w:rsidR="00E952A8" w:rsidRDefault="00E952A8" w:rsidP="00D86A11">
      <w:pPr>
        <w:spacing w:after="0"/>
        <w:contextualSpacing/>
        <w:rPr>
          <w:rFonts w:ascii="Calibri" w:hAnsi="Calibri" w:cs="Calibri"/>
          <w:sz w:val="24"/>
          <w:szCs w:val="24"/>
        </w:rPr>
      </w:pPr>
    </w:p>
    <w:p w:rsidR="00E952A8" w:rsidRDefault="00E952A8" w:rsidP="00D86A11">
      <w:pPr>
        <w:spacing w:after="0"/>
        <w:contextualSpacing/>
        <w:rPr>
          <w:rFonts w:ascii="Calibri" w:hAnsi="Calibri" w:cs="Calibri"/>
          <w:sz w:val="24"/>
          <w:szCs w:val="24"/>
        </w:rPr>
      </w:pPr>
    </w:p>
    <w:p w:rsidR="00E952A8" w:rsidRDefault="00E952A8" w:rsidP="00D86A11">
      <w:pPr>
        <w:spacing w:after="0"/>
        <w:contextualSpacing/>
        <w:rPr>
          <w:rFonts w:ascii="Calibri" w:hAnsi="Calibri" w:cs="Calibri"/>
          <w:sz w:val="24"/>
          <w:szCs w:val="24"/>
        </w:rPr>
      </w:pPr>
    </w:p>
    <w:p w:rsidR="00E952A8" w:rsidRDefault="00E952A8" w:rsidP="00D86A11">
      <w:pPr>
        <w:spacing w:after="0"/>
        <w:contextualSpacing/>
        <w:rPr>
          <w:rFonts w:ascii="Calibri" w:hAnsi="Calibri" w:cs="Calibri"/>
          <w:sz w:val="24"/>
          <w:szCs w:val="24"/>
        </w:rPr>
      </w:pPr>
    </w:p>
    <w:p w:rsidR="00E952A8" w:rsidRPr="006D750E" w:rsidRDefault="00E952A8" w:rsidP="00D86A11">
      <w:pPr>
        <w:spacing w:after="0"/>
        <w:contextualSpacing/>
        <w:rPr>
          <w:rFonts w:ascii="Calibri" w:hAnsi="Calibri" w:cs="Calibri"/>
          <w:sz w:val="24"/>
          <w:szCs w:val="24"/>
        </w:rPr>
      </w:pPr>
    </w:p>
    <w:p w:rsidR="00D86A11" w:rsidRPr="005217F6" w:rsidRDefault="00D86A11" w:rsidP="00D86A11">
      <w:pPr>
        <w:spacing w:after="0"/>
        <w:contextualSpacing/>
        <w:rPr>
          <w:rFonts w:ascii="Franklin Gothic Book" w:hAnsi="Franklin Gothic Book"/>
          <w:b/>
          <w:color w:val="F6872B"/>
          <w:spacing w:val="20"/>
          <w:sz w:val="24"/>
          <w:szCs w:val="28"/>
        </w:rPr>
      </w:pPr>
      <w:r w:rsidRPr="005217F6">
        <w:rPr>
          <w:rFonts w:ascii="Franklin Gothic Book" w:hAnsi="Franklin Gothic Book"/>
          <w:b/>
          <w:color w:val="F6872B"/>
          <w:spacing w:val="20"/>
          <w:sz w:val="24"/>
          <w:szCs w:val="28"/>
        </w:rPr>
        <w:t xml:space="preserve">4E ICWA Eligible Placement Status &amp; Multi-Ethnic Placement Status </w:t>
      </w:r>
    </w:p>
    <w:tbl>
      <w:tblPr>
        <w:tblW w:w="9403" w:type="dxa"/>
        <w:tblBorders>
          <w:top w:val="single" w:sz="18" w:space="0" w:color="F6872B"/>
          <w:bottom w:val="single" w:sz="18" w:space="0" w:color="F6872B"/>
        </w:tblBorders>
        <w:tblLayout w:type="fixed"/>
        <w:tblLook w:val="04A0" w:firstRow="1" w:lastRow="0" w:firstColumn="1" w:lastColumn="0" w:noHBand="0" w:noVBand="1"/>
      </w:tblPr>
      <w:tblGrid>
        <w:gridCol w:w="2892"/>
        <w:gridCol w:w="574"/>
        <w:gridCol w:w="574"/>
        <w:gridCol w:w="574"/>
        <w:gridCol w:w="670"/>
        <w:gridCol w:w="766"/>
        <w:gridCol w:w="766"/>
        <w:gridCol w:w="766"/>
        <w:gridCol w:w="862"/>
        <w:gridCol w:w="34"/>
        <w:gridCol w:w="925"/>
      </w:tblGrid>
      <w:tr w:rsidR="00D86A11" w:rsidRPr="00FE5638">
        <w:trPr>
          <w:trHeight w:val="302"/>
        </w:trPr>
        <w:tc>
          <w:tcPr>
            <w:tcW w:w="9403" w:type="dxa"/>
            <w:gridSpan w:val="11"/>
            <w:shd w:val="clear" w:color="auto" w:fill="013161"/>
          </w:tcPr>
          <w:p w:rsidR="00D86A11" w:rsidRPr="000055D1" w:rsidRDefault="00D86A11" w:rsidP="00D86A11">
            <w:pPr>
              <w:spacing w:after="0"/>
              <w:jc w:val="center"/>
              <w:rPr>
                <w:rFonts w:ascii="Calibri" w:hAnsi="Calibri" w:cs="Perpetua"/>
                <w:b/>
                <w:bCs/>
                <w:sz w:val="20"/>
              </w:rPr>
            </w:pPr>
            <w:r w:rsidRPr="005D728B">
              <w:rPr>
                <w:rFonts w:ascii="Calibri" w:eastAsia="Times New Roman" w:hAnsi="Calibri" w:cs="Arial"/>
                <w:b/>
                <w:bCs/>
                <w:color w:val="FFFFFF"/>
                <w:sz w:val="24"/>
                <w:szCs w:val="24"/>
              </w:rPr>
              <w:t xml:space="preserve">Exhibit 73. </w:t>
            </w:r>
            <w:r>
              <w:rPr>
                <w:rFonts w:ascii="Calibri" w:hAnsi="Calibri"/>
                <w:b/>
                <w:color w:val="FFFFFF"/>
                <w:sz w:val="24"/>
                <w:szCs w:val="24"/>
              </w:rPr>
              <w:t>County of San Diego</w:t>
            </w:r>
            <w:r w:rsidRPr="005D728B">
              <w:rPr>
                <w:rFonts w:ascii="Calibri" w:hAnsi="Calibri"/>
                <w:b/>
                <w:color w:val="FFFFFF"/>
                <w:sz w:val="24"/>
                <w:szCs w:val="24"/>
              </w:rPr>
              <w:t xml:space="preserve"> Placement Status for Children with ICWA Eligibility by Age Group</w:t>
            </w:r>
            <w:r>
              <w:rPr>
                <w:rFonts w:ascii="Calibri" w:hAnsi="Calibri"/>
                <w:b/>
                <w:color w:val="FFFFFF"/>
                <w:sz w:val="24"/>
                <w:szCs w:val="24"/>
              </w:rPr>
              <w:t xml:space="preserve">: </w:t>
            </w:r>
            <w:r w:rsidRPr="005D728B">
              <w:rPr>
                <w:rFonts w:ascii="Calibri" w:hAnsi="Calibri"/>
                <w:b/>
                <w:color w:val="FFFFFF"/>
                <w:sz w:val="24"/>
                <w:szCs w:val="24"/>
              </w:rPr>
              <w:t>January 1, 2016</w:t>
            </w:r>
          </w:p>
        </w:tc>
      </w:tr>
      <w:tr w:rsidR="00D86A11" w:rsidRPr="00FE5638">
        <w:trPr>
          <w:trHeight w:val="302"/>
        </w:trPr>
        <w:tc>
          <w:tcPr>
            <w:tcW w:w="2892" w:type="dxa"/>
            <w:shd w:val="clear" w:color="auto" w:fill="013161"/>
            <w:vAlign w:val="bottom"/>
          </w:tcPr>
          <w:p w:rsidR="00D86A11" w:rsidRPr="00721EF1" w:rsidRDefault="00D86A11" w:rsidP="00D86A11">
            <w:pPr>
              <w:spacing w:after="0"/>
              <w:jc w:val="center"/>
              <w:rPr>
                <w:rFonts w:ascii="Calibri" w:hAnsi="Calibri" w:cs="Perpetua"/>
                <w:b/>
                <w:bCs/>
                <w:color w:val="FFFFFF"/>
                <w:sz w:val="20"/>
              </w:rPr>
            </w:pPr>
          </w:p>
        </w:tc>
        <w:tc>
          <w:tcPr>
            <w:tcW w:w="5586" w:type="dxa"/>
            <w:gridSpan w:val="9"/>
            <w:shd w:val="clear" w:color="auto" w:fill="013161"/>
          </w:tcPr>
          <w:p w:rsidR="00D86A11" w:rsidRPr="00721EF1" w:rsidRDefault="00D86A11" w:rsidP="00D86A11">
            <w:pPr>
              <w:spacing w:after="0"/>
              <w:jc w:val="center"/>
              <w:rPr>
                <w:rFonts w:ascii="Calibri" w:hAnsi="Calibri" w:cs="Perpetua"/>
                <w:b/>
                <w:bCs/>
                <w:color w:val="FFFFFF"/>
                <w:sz w:val="20"/>
              </w:rPr>
            </w:pPr>
            <w:r w:rsidRPr="00721EF1">
              <w:rPr>
                <w:rFonts w:ascii="Calibri" w:hAnsi="Calibri" w:cs="Perpetua"/>
                <w:b/>
                <w:bCs/>
                <w:color w:val="FFFFFF"/>
                <w:sz w:val="20"/>
              </w:rPr>
              <w:t>Age Group</w:t>
            </w:r>
          </w:p>
        </w:tc>
        <w:tc>
          <w:tcPr>
            <w:tcW w:w="925" w:type="dxa"/>
            <w:shd w:val="clear" w:color="auto" w:fill="013161"/>
          </w:tcPr>
          <w:p w:rsidR="00D86A11" w:rsidRPr="00721EF1" w:rsidRDefault="00D86A11" w:rsidP="00D86A11">
            <w:pPr>
              <w:spacing w:after="0"/>
              <w:jc w:val="center"/>
              <w:rPr>
                <w:rFonts w:ascii="Calibri" w:hAnsi="Calibri" w:cs="Perpetua"/>
                <w:b/>
                <w:bCs/>
                <w:color w:val="FFFFFF"/>
                <w:sz w:val="20"/>
              </w:rPr>
            </w:pPr>
          </w:p>
        </w:tc>
      </w:tr>
      <w:tr w:rsidR="00D86A11" w:rsidRPr="00FE5638">
        <w:trPr>
          <w:trHeight w:val="302"/>
        </w:trPr>
        <w:tc>
          <w:tcPr>
            <w:tcW w:w="2892" w:type="dxa"/>
            <w:shd w:val="clear" w:color="auto" w:fill="013161"/>
            <w:vAlign w:val="center"/>
          </w:tcPr>
          <w:p w:rsidR="00D86A11" w:rsidRPr="00721EF1" w:rsidRDefault="00D86A11" w:rsidP="00D86A11">
            <w:pPr>
              <w:spacing w:after="0"/>
              <w:jc w:val="center"/>
              <w:rPr>
                <w:rFonts w:ascii="Calibri" w:hAnsi="Calibri" w:cs="Perpetua"/>
                <w:b/>
                <w:bCs/>
                <w:color w:val="FFFFFF"/>
                <w:sz w:val="20"/>
              </w:rPr>
            </w:pPr>
            <w:r w:rsidRPr="00721EF1">
              <w:rPr>
                <w:rFonts w:ascii="Calibri" w:hAnsi="Calibri" w:cs="Perpetua"/>
                <w:b/>
                <w:bCs/>
                <w:color w:val="FFFFFF"/>
                <w:sz w:val="20"/>
              </w:rPr>
              <w:t>Placement Status</w:t>
            </w:r>
          </w:p>
        </w:tc>
        <w:tc>
          <w:tcPr>
            <w:tcW w:w="574" w:type="dxa"/>
            <w:shd w:val="clear" w:color="auto" w:fill="013161"/>
          </w:tcPr>
          <w:p w:rsidR="00D86A11" w:rsidRPr="00721EF1" w:rsidRDefault="00D86A11" w:rsidP="00D86A11">
            <w:pPr>
              <w:spacing w:after="0"/>
              <w:jc w:val="center"/>
              <w:rPr>
                <w:rFonts w:ascii="Calibri" w:hAnsi="Calibri" w:cs="Perpetua"/>
                <w:b/>
                <w:bCs/>
                <w:color w:val="FFFFFF"/>
                <w:sz w:val="20"/>
              </w:rPr>
            </w:pPr>
            <w:r w:rsidRPr="00721EF1">
              <w:rPr>
                <w:rFonts w:ascii="Calibri" w:hAnsi="Calibri" w:cs="Perpetua"/>
                <w:b/>
                <w:bCs/>
                <w:color w:val="FFFFFF"/>
                <w:sz w:val="20"/>
              </w:rPr>
              <w:t>&lt;1</w:t>
            </w:r>
          </w:p>
          <w:p w:rsidR="00D86A11" w:rsidRPr="00721EF1" w:rsidRDefault="00D86A11" w:rsidP="00D86A11">
            <w:pPr>
              <w:spacing w:after="0"/>
              <w:jc w:val="center"/>
              <w:rPr>
                <w:rFonts w:ascii="Calibri" w:hAnsi="Calibri" w:cs="Perpetua"/>
                <w:b/>
                <w:bCs/>
                <w:color w:val="FFFFFF"/>
                <w:sz w:val="20"/>
              </w:rPr>
            </w:pPr>
            <w:r w:rsidRPr="00721EF1">
              <w:rPr>
                <w:rFonts w:ascii="Calibri" w:hAnsi="Calibri" w:cs="Perpetua"/>
                <w:b/>
                <w:bCs/>
                <w:color w:val="FFFFFF"/>
                <w:sz w:val="20"/>
              </w:rPr>
              <w:t>(n)</w:t>
            </w:r>
          </w:p>
        </w:tc>
        <w:tc>
          <w:tcPr>
            <w:tcW w:w="574" w:type="dxa"/>
            <w:shd w:val="clear" w:color="auto" w:fill="013161"/>
          </w:tcPr>
          <w:p w:rsidR="00D86A11" w:rsidRPr="00721EF1" w:rsidRDefault="00D86A11" w:rsidP="00D86A11">
            <w:pPr>
              <w:spacing w:after="0"/>
              <w:jc w:val="center"/>
              <w:rPr>
                <w:rFonts w:ascii="Calibri" w:hAnsi="Calibri" w:cs="Perpetua"/>
                <w:b/>
                <w:bCs/>
                <w:color w:val="FFFFFF"/>
                <w:sz w:val="20"/>
              </w:rPr>
            </w:pPr>
            <w:r w:rsidRPr="00721EF1">
              <w:rPr>
                <w:rFonts w:ascii="Calibri" w:hAnsi="Calibri" w:cs="Perpetua"/>
                <w:b/>
                <w:bCs/>
                <w:color w:val="FFFFFF"/>
                <w:sz w:val="20"/>
              </w:rPr>
              <w:t>1-2</w:t>
            </w:r>
          </w:p>
          <w:p w:rsidR="00D86A11" w:rsidRPr="00721EF1" w:rsidRDefault="00D86A11" w:rsidP="00D86A11">
            <w:pPr>
              <w:spacing w:after="0"/>
              <w:jc w:val="center"/>
              <w:rPr>
                <w:rFonts w:ascii="Calibri" w:hAnsi="Calibri" w:cs="Perpetua"/>
                <w:b/>
                <w:bCs/>
                <w:color w:val="FFFFFF"/>
                <w:sz w:val="20"/>
              </w:rPr>
            </w:pPr>
            <w:r w:rsidRPr="00721EF1">
              <w:rPr>
                <w:rFonts w:ascii="Calibri" w:eastAsia="Times New Roman" w:hAnsi="Calibri" w:cs="Arial"/>
                <w:b/>
                <w:bCs/>
                <w:color w:val="FFFFFF"/>
                <w:sz w:val="20"/>
              </w:rPr>
              <w:t>(n)</w:t>
            </w:r>
          </w:p>
        </w:tc>
        <w:tc>
          <w:tcPr>
            <w:tcW w:w="574" w:type="dxa"/>
            <w:shd w:val="clear" w:color="auto" w:fill="013161"/>
          </w:tcPr>
          <w:p w:rsidR="00D86A11" w:rsidRPr="00721EF1" w:rsidRDefault="00D86A11" w:rsidP="00D86A11">
            <w:pPr>
              <w:spacing w:after="0"/>
              <w:jc w:val="center"/>
              <w:rPr>
                <w:rFonts w:ascii="Calibri" w:hAnsi="Calibri" w:cs="Perpetua"/>
                <w:b/>
                <w:bCs/>
                <w:color w:val="FFFFFF"/>
                <w:sz w:val="20"/>
              </w:rPr>
            </w:pPr>
            <w:r w:rsidRPr="00721EF1">
              <w:rPr>
                <w:rFonts w:ascii="Calibri" w:hAnsi="Calibri" w:cs="Perpetua"/>
                <w:b/>
                <w:bCs/>
                <w:color w:val="FFFFFF"/>
                <w:sz w:val="20"/>
              </w:rPr>
              <w:t>3-5</w:t>
            </w:r>
          </w:p>
          <w:p w:rsidR="00D86A11" w:rsidRPr="00721EF1" w:rsidRDefault="00D86A11" w:rsidP="00D86A11">
            <w:pPr>
              <w:spacing w:after="0"/>
              <w:jc w:val="center"/>
              <w:rPr>
                <w:rFonts w:ascii="Calibri" w:hAnsi="Calibri" w:cs="Perpetua"/>
                <w:b/>
                <w:bCs/>
                <w:color w:val="FFFFFF"/>
                <w:sz w:val="20"/>
              </w:rPr>
            </w:pPr>
            <w:r w:rsidRPr="00721EF1">
              <w:rPr>
                <w:rFonts w:ascii="Calibri" w:eastAsia="Times New Roman" w:hAnsi="Calibri" w:cs="Arial"/>
                <w:b/>
                <w:bCs/>
                <w:color w:val="FFFFFF"/>
                <w:sz w:val="20"/>
              </w:rPr>
              <w:t>(n)</w:t>
            </w:r>
          </w:p>
        </w:tc>
        <w:tc>
          <w:tcPr>
            <w:tcW w:w="670" w:type="dxa"/>
            <w:shd w:val="clear" w:color="auto" w:fill="013161"/>
          </w:tcPr>
          <w:p w:rsidR="00D86A11" w:rsidRPr="00721EF1" w:rsidRDefault="00D86A11" w:rsidP="00D86A11">
            <w:pPr>
              <w:spacing w:after="0"/>
              <w:jc w:val="center"/>
              <w:rPr>
                <w:rFonts w:ascii="Calibri" w:hAnsi="Calibri" w:cs="Perpetua"/>
                <w:b/>
                <w:bCs/>
                <w:color w:val="FFFFFF"/>
                <w:sz w:val="20"/>
              </w:rPr>
            </w:pPr>
            <w:r w:rsidRPr="00721EF1">
              <w:rPr>
                <w:rFonts w:ascii="Calibri" w:hAnsi="Calibri" w:cs="Perpetua"/>
                <w:b/>
                <w:bCs/>
                <w:color w:val="FFFFFF"/>
                <w:sz w:val="20"/>
              </w:rPr>
              <w:t>6-10</w:t>
            </w:r>
          </w:p>
          <w:p w:rsidR="00D86A11" w:rsidRPr="00721EF1" w:rsidRDefault="00D86A11" w:rsidP="00D86A11">
            <w:pPr>
              <w:spacing w:after="0"/>
              <w:jc w:val="center"/>
              <w:rPr>
                <w:rFonts w:ascii="Calibri" w:hAnsi="Calibri" w:cs="Perpetua"/>
                <w:b/>
                <w:bCs/>
                <w:color w:val="FFFFFF"/>
                <w:sz w:val="20"/>
              </w:rPr>
            </w:pPr>
            <w:r w:rsidRPr="00721EF1">
              <w:rPr>
                <w:rFonts w:ascii="Calibri" w:eastAsia="Times New Roman" w:hAnsi="Calibri" w:cs="Arial"/>
                <w:b/>
                <w:bCs/>
                <w:color w:val="FFFFFF"/>
                <w:sz w:val="20"/>
              </w:rPr>
              <w:t>(n)</w:t>
            </w:r>
          </w:p>
        </w:tc>
        <w:tc>
          <w:tcPr>
            <w:tcW w:w="766" w:type="dxa"/>
            <w:shd w:val="clear" w:color="auto" w:fill="013161"/>
          </w:tcPr>
          <w:p w:rsidR="00D86A11" w:rsidRPr="00721EF1" w:rsidRDefault="00D86A11" w:rsidP="00D86A11">
            <w:pPr>
              <w:spacing w:after="0"/>
              <w:jc w:val="center"/>
              <w:rPr>
                <w:rFonts w:ascii="Calibri" w:hAnsi="Calibri" w:cs="Perpetua"/>
                <w:b/>
                <w:bCs/>
                <w:color w:val="FFFFFF"/>
                <w:sz w:val="20"/>
              </w:rPr>
            </w:pPr>
            <w:r w:rsidRPr="00721EF1">
              <w:rPr>
                <w:rFonts w:ascii="Calibri" w:hAnsi="Calibri" w:cs="Perpetua"/>
                <w:b/>
                <w:bCs/>
                <w:color w:val="FFFFFF"/>
                <w:sz w:val="20"/>
              </w:rPr>
              <w:t>11-15</w:t>
            </w:r>
          </w:p>
          <w:p w:rsidR="00D86A11" w:rsidRPr="00721EF1" w:rsidRDefault="00D86A11" w:rsidP="00D86A11">
            <w:pPr>
              <w:spacing w:after="0"/>
              <w:jc w:val="center"/>
              <w:rPr>
                <w:rFonts w:ascii="Calibri" w:hAnsi="Calibri" w:cs="Perpetua"/>
                <w:b/>
                <w:bCs/>
                <w:color w:val="FFFFFF"/>
                <w:sz w:val="20"/>
              </w:rPr>
            </w:pPr>
            <w:r w:rsidRPr="00721EF1">
              <w:rPr>
                <w:rFonts w:ascii="Calibri" w:eastAsia="Times New Roman" w:hAnsi="Calibri" w:cs="Arial"/>
                <w:b/>
                <w:bCs/>
                <w:color w:val="FFFFFF"/>
                <w:sz w:val="20"/>
              </w:rPr>
              <w:t>(n)</w:t>
            </w:r>
          </w:p>
        </w:tc>
        <w:tc>
          <w:tcPr>
            <w:tcW w:w="766" w:type="dxa"/>
            <w:shd w:val="clear" w:color="auto" w:fill="013161"/>
          </w:tcPr>
          <w:p w:rsidR="00D86A11" w:rsidRPr="00721EF1" w:rsidRDefault="00D86A11" w:rsidP="00D86A11">
            <w:pPr>
              <w:spacing w:after="0"/>
              <w:jc w:val="center"/>
              <w:rPr>
                <w:rFonts w:ascii="Calibri" w:hAnsi="Calibri" w:cs="Perpetua"/>
                <w:b/>
                <w:bCs/>
                <w:color w:val="FFFFFF"/>
                <w:sz w:val="20"/>
              </w:rPr>
            </w:pPr>
            <w:r w:rsidRPr="00721EF1">
              <w:rPr>
                <w:rFonts w:ascii="Calibri" w:hAnsi="Calibri" w:cs="Perpetua"/>
                <w:b/>
                <w:bCs/>
                <w:color w:val="FFFFFF"/>
                <w:sz w:val="20"/>
              </w:rPr>
              <w:t>16-17</w:t>
            </w:r>
          </w:p>
          <w:p w:rsidR="00D86A11" w:rsidRPr="00721EF1" w:rsidRDefault="00D86A11" w:rsidP="00D86A11">
            <w:pPr>
              <w:spacing w:after="0"/>
              <w:jc w:val="center"/>
              <w:rPr>
                <w:rFonts w:ascii="Calibri" w:hAnsi="Calibri" w:cs="Perpetua"/>
                <w:b/>
                <w:bCs/>
                <w:color w:val="FFFFFF"/>
                <w:sz w:val="20"/>
              </w:rPr>
            </w:pPr>
            <w:r w:rsidRPr="00721EF1">
              <w:rPr>
                <w:rFonts w:ascii="Calibri" w:eastAsia="Times New Roman" w:hAnsi="Calibri" w:cs="Arial"/>
                <w:b/>
                <w:bCs/>
                <w:color w:val="FFFFFF"/>
                <w:sz w:val="20"/>
              </w:rPr>
              <w:t>(n)</w:t>
            </w:r>
          </w:p>
        </w:tc>
        <w:tc>
          <w:tcPr>
            <w:tcW w:w="766" w:type="dxa"/>
            <w:shd w:val="clear" w:color="auto" w:fill="013161"/>
          </w:tcPr>
          <w:p w:rsidR="00D86A11" w:rsidRPr="00721EF1" w:rsidRDefault="00D86A11" w:rsidP="00D86A11">
            <w:pPr>
              <w:spacing w:after="0"/>
              <w:jc w:val="center"/>
              <w:rPr>
                <w:rFonts w:ascii="Calibri" w:hAnsi="Calibri" w:cs="Perpetua"/>
                <w:b/>
                <w:bCs/>
                <w:color w:val="FFFFFF"/>
                <w:sz w:val="20"/>
              </w:rPr>
            </w:pPr>
            <w:r w:rsidRPr="00721EF1">
              <w:rPr>
                <w:rFonts w:ascii="Calibri" w:hAnsi="Calibri" w:cs="Perpetua"/>
                <w:b/>
                <w:bCs/>
                <w:color w:val="FFFFFF"/>
                <w:sz w:val="20"/>
              </w:rPr>
              <w:t>18-21</w:t>
            </w:r>
          </w:p>
          <w:p w:rsidR="00D86A11" w:rsidRPr="00721EF1" w:rsidRDefault="00D86A11" w:rsidP="00D86A11">
            <w:pPr>
              <w:spacing w:after="0"/>
              <w:jc w:val="center"/>
              <w:rPr>
                <w:rFonts w:ascii="Calibri" w:hAnsi="Calibri" w:cs="Perpetua"/>
                <w:b/>
                <w:bCs/>
                <w:color w:val="FFFFFF"/>
                <w:sz w:val="20"/>
              </w:rPr>
            </w:pPr>
            <w:r w:rsidRPr="00721EF1">
              <w:rPr>
                <w:rFonts w:ascii="Calibri" w:eastAsia="Times New Roman" w:hAnsi="Calibri" w:cs="Arial"/>
                <w:b/>
                <w:bCs/>
                <w:color w:val="FFFFFF"/>
                <w:sz w:val="20"/>
              </w:rPr>
              <w:t>(n)</w:t>
            </w:r>
          </w:p>
        </w:tc>
        <w:tc>
          <w:tcPr>
            <w:tcW w:w="862" w:type="dxa"/>
            <w:shd w:val="clear" w:color="auto" w:fill="013161"/>
          </w:tcPr>
          <w:p w:rsidR="00D86A11" w:rsidRPr="00721EF1" w:rsidRDefault="00D86A11" w:rsidP="00D86A11">
            <w:pPr>
              <w:spacing w:after="0"/>
              <w:jc w:val="center"/>
              <w:rPr>
                <w:rFonts w:ascii="Calibri" w:hAnsi="Calibri" w:cs="Perpetua"/>
                <w:b/>
                <w:bCs/>
                <w:color w:val="FFFFFF"/>
                <w:sz w:val="20"/>
              </w:rPr>
            </w:pPr>
            <w:r w:rsidRPr="00721EF1">
              <w:rPr>
                <w:rFonts w:ascii="Calibri" w:hAnsi="Calibri" w:cs="Perpetua"/>
                <w:b/>
                <w:bCs/>
                <w:color w:val="FFFFFF"/>
                <w:sz w:val="20"/>
              </w:rPr>
              <w:t>Total</w:t>
            </w:r>
          </w:p>
          <w:p w:rsidR="00D86A11" w:rsidRPr="00721EF1" w:rsidRDefault="00D86A11" w:rsidP="00D86A11">
            <w:pPr>
              <w:spacing w:after="0"/>
              <w:jc w:val="center"/>
              <w:rPr>
                <w:rFonts w:ascii="Calibri" w:hAnsi="Calibri" w:cs="Perpetua"/>
                <w:b/>
                <w:bCs/>
                <w:color w:val="FFFFFF"/>
                <w:sz w:val="20"/>
              </w:rPr>
            </w:pPr>
            <w:r w:rsidRPr="00721EF1">
              <w:rPr>
                <w:rFonts w:ascii="Calibri" w:eastAsia="Times New Roman" w:hAnsi="Calibri" w:cs="Arial"/>
                <w:b/>
                <w:bCs/>
                <w:color w:val="FFFFFF"/>
                <w:sz w:val="20"/>
              </w:rPr>
              <w:t>(n)</w:t>
            </w:r>
          </w:p>
        </w:tc>
        <w:tc>
          <w:tcPr>
            <w:tcW w:w="959" w:type="dxa"/>
            <w:gridSpan w:val="2"/>
            <w:shd w:val="clear" w:color="auto" w:fill="013161"/>
            <w:vAlign w:val="center"/>
          </w:tcPr>
          <w:p w:rsidR="00D86A11" w:rsidRPr="00721EF1" w:rsidRDefault="00D86A11" w:rsidP="00D86A11">
            <w:pPr>
              <w:spacing w:after="0"/>
              <w:jc w:val="center"/>
              <w:rPr>
                <w:rFonts w:ascii="Calibri" w:hAnsi="Calibri" w:cs="Perpetua"/>
                <w:b/>
                <w:bCs/>
                <w:color w:val="FFFFFF"/>
                <w:sz w:val="20"/>
              </w:rPr>
            </w:pPr>
            <w:r w:rsidRPr="00721EF1">
              <w:rPr>
                <w:rFonts w:ascii="Calibri" w:hAnsi="Calibri" w:cs="Perpetua"/>
                <w:b/>
                <w:bCs/>
                <w:color w:val="FFFFFF"/>
                <w:sz w:val="20"/>
              </w:rPr>
              <w:t>Percent</w:t>
            </w:r>
          </w:p>
        </w:tc>
      </w:tr>
      <w:tr w:rsidR="00D86A11" w:rsidRPr="00FE5638">
        <w:trPr>
          <w:trHeight w:val="302"/>
        </w:trPr>
        <w:tc>
          <w:tcPr>
            <w:tcW w:w="2892" w:type="dxa"/>
            <w:shd w:val="clear" w:color="auto" w:fill="FFFFFF"/>
          </w:tcPr>
          <w:p w:rsidR="00D86A11" w:rsidRPr="00D871E4" w:rsidRDefault="00D86A11" w:rsidP="00D86A11">
            <w:pPr>
              <w:spacing w:after="0"/>
              <w:rPr>
                <w:rFonts w:ascii="Calibri" w:hAnsi="Calibri" w:cs="Perpetua"/>
                <w:b/>
                <w:color w:val="013161"/>
                <w:sz w:val="20"/>
              </w:rPr>
            </w:pPr>
            <w:r w:rsidRPr="00D871E4">
              <w:rPr>
                <w:rFonts w:ascii="Calibri" w:hAnsi="Calibri" w:cs="Perpetua"/>
                <w:b/>
                <w:color w:val="013161"/>
                <w:sz w:val="20"/>
              </w:rPr>
              <w:t>Relatives</w:t>
            </w:r>
          </w:p>
        </w:tc>
        <w:tc>
          <w:tcPr>
            <w:tcW w:w="574"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2</w:t>
            </w:r>
          </w:p>
        </w:tc>
        <w:tc>
          <w:tcPr>
            <w:tcW w:w="574"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9</w:t>
            </w:r>
          </w:p>
        </w:tc>
        <w:tc>
          <w:tcPr>
            <w:tcW w:w="574"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5</w:t>
            </w:r>
          </w:p>
        </w:tc>
        <w:tc>
          <w:tcPr>
            <w:tcW w:w="670"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9</w:t>
            </w:r>
          </w:p>
        </w:tc>
        <w:tc>
          <w:tcPr>
            <w:tcW w:w="766"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5</w:t>
            </w:r>
          </w:p>
        </w:tc>
        <w:tc>
          <w:tcPr>
            <w:tcW w:w="766"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4</w:t>
            </w:r>
          </w:p>
        </w:tc>
        <w:tc>
          <w:tcPr>
            <w:tcW w:w="766"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w:t>
            </w:r>
          </w:p>
        </w:tc>
        <w:tc>
          <w:tcPr>
            <w:tcW w:w="862"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35</w:t>
            </w:r>
          </w:p>
        </w:tc>
        <w:tc>
          <w:tcPr>
            <w:tcW w:w="959" w:type="dxa"/>
            <w:gridSpan w:val="2"/>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40.7</w:t>
            </w:r>
          </w:p>
        </w:tc>
      </w:tr>
      <w:tr w:rsidR="00D86A11" w:rsidRPr="00FE5638">
        <w:trPr>
          <w:trHeight w:val="347"/>
        </w:trPr>
        <w:tc>
          <w:tcPr>
            <w:tcW w:w="2892" w:type="dxa"/>
            <w:shd w:val="clear" w:color="auto" w:fill="DBE5F1"/>
          </w:tcPr>
          <w:p w:rsidR="00D86A11" w:rsidRPr="00D871E4" w:rsidRDefault="00D86A11" w:rsidP="00D86A11">
            <w:pPr>
              <w:spacing w:after="0"/>
              <w:rPr>
                <w:rFonts w:ascii="Calibri" w:hAnsi="Calibri" w:cs="Perpetua"/>
                <w:b/>
                <w:color w:val="013161"/>
                <w:sz w:val="20"/>
              </w:rPr>
            </w:pPr>
            <w:r w:rsidRPr="00D871E4">
              <w:rPr>
                <w:rFonts w:ascii="Calibri" w:hAnsi="Calibri" w:cs="Perpetua"/>
                <w:b/>
                <w:color w:val="013161"/>
                <w:sz w:val="20"/>
              </w:rPr>
              <w:t>Non Relatives, Indian Substitute Care Provider (SCP)</w:t>
            </w:r>
          </w:p>
        </w:tc>
        <w:tc>
          <w:tcPr>
            <w:tcW w:w="574"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574"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3</w:t>
            </w:r>
          </w:p>
        </w:tc>
        <w:tc>
          <w:tcPr>
            <w:tcW w:w="574"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w:t>
            </w:r>
          </w:p>
        </w:tc>
        <w:tc>
          <w:tcPr>
            <w:tcW w:w="670"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3</w:t>
            </w:r>
          </w:p>
        </w:tc>
        <w:tc>
          <w:tcPr>
            <w:tcW w:w="766"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w:t>
            </w:r>
          </w:p>
        </w:tc>
        <w:tc>
          <w:tcPr>
            <w:tcW w:w="766"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766"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2</w:t>
            </w:r>
          </w:p>
        </w:tc>
        <w:tc>
          <w:tcPr>
            <w:tcW w:w="862"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10</w:t>
            </w:r>
          </w:p>
        </w:tc>
        <w:tc>
          <w:tcPr>
            <w:tcW w:w="959" w:type="dxa"/>
            <w:gridSpan w:val="2"/>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11.6</w:t>
            </w:r>
          </w:p>
        </w:tc>
      </w:tr>
      <w:tr w:rsidR="00D86A11" w:rsidRPr="00FE5638">
        <w:trPr>
          <w:trHeight w:val="558"/>
        </w:trPr>
        <w:tc>
          <w:tcPr>
            <w:tcW w:w="2892" w:type="dxa"/>
            <w:shd w:val="clear" w:color="auto" w:fill="FFFFFF"/>
          </w:tcPr>
          <w:p w:rsidR="00D86A11" w:rsidRPr="00D871E4" w:rsidRDefault="00D86A11" w:rsidP="00D86A11">
            <w:pPr>
              <w:spacing w:after="0"/>
              <w:rPr>
                <w:rFonts w:ascii="Calibri" w:hAnsi="Calibri" w:cs="Perpetua"/>
                <w:b/>
                <w:color w:val="013161"/>
                <w:sz w:val="20"/>
              </w:rPr>
            </w:pPr>
            <w:r w:rsidRPr="00D871E4">
              <w:rPr>
                <w:rFonts w:ascii="Calibri" w:hAnsi="Calibri" w:cs="Perpetua"/>
                <w:b/>
                <w:color w:val="013161"/>
                <w:sz w:val="20"/>
              </w:rPr>
              <w:t>Non Relatives, Non-Indian SCP</w:t>
            </w:r>
          </w:p>
        </w:tc>
        <w:tc>
          <w:tcPr>
            <w:tcW w:w="574"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2</w:t>
            </w:r>
          </w:p>
        </w:tc>
        <w:tc>
          <w:tcPr>
            <w:tcW w:w="574"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3</w:t>
            </w:r>
          </w:p>
        </w:tc>
        <w:tc>
          <w:tcPr>
            <w:tcW w:w="574"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4</w:t>
            </w:r>
          </w:p>
        </w:tc>
        <w:tc>
          <w:tcPr>
            <w:tcW w:w="670"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6</w:t>
            </w:r>
          </w:p>
        </w:tc>
        <w:tc>
          <w:tcPr>
            <w:tcW w:w="766"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4</w:t>
            </w:r>
          </w:p>
        </w:tc>
        <w:tc>
          <w:tcPr>
            <w:tcW w:w="766"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766"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2</w:t>
            </w:r>
          </w:p>
        </w:tc>
        <w:tc>
          <w:tcPr>
            <w:tcW w:w="862"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21</w:t>
            </w:r>
          </w:p>
        </w:tc>
        <w:tc>
          <w:tcPr>
            <w:tcW w:w="959" w:type="dxa"/>
            <w:gridSpan w:val="2"/>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24.4</w:t>
            </w:r>
          </w:p>
        </w:tc>
      </w:tr>
      <w:tr w:rsidR="00D86A11" w:rsidRPr="00FE5638">
        <w:trPr>
          <w:trHeight w:val="603"/>
        </w:trPr>
        <w:tc>
          <w:tcPr>
            <w:tcW w:w="2892" w:type="dxa"/>
            <w:shd w:val="clear" w:color="auto" w:fill="DBE5F1"/>
          </w:tcPr>
          <w:p w:rsidR="00D86A11" w:rsidRPr="00D871E4" w:rsidRDefault="00D86A11" w:rsidP="00D86A11">
            <w:pPr>
              <w:spacing w:after="0"/>
              <w:rPr>
                <w:rFonts w:ascii="Calibri" w:hAnsi="Calibri" w:cs="Perpetua"/>
                <w:b/>
                <w:color w:val="013161"/>
                <w:sz w:val="20"/>
              </w:rPr>
            </w:pPr>
            <w:r w:rsidRPr="00D871E4">
              <w:rPr>
                <w:rFonts w:ascii="Calibri" w:hAnsi="Calibri" w:cs="Perpetua"/>
                <w:b/>
                <w:color w:val="013161"/>
                <w:sz w:val="20"/>
              </w:rPr>
              <w:t>Non Relatives, SCP Ethnic Missing</w:t>
            </w:r>
          </w:p>
        </w:tc>
        <w:tc>
          <w:tcPr>
            <w:tcW w:w="574"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574"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w:t>
            </w:r>
          </w:p>
        </w:tc>
        <w:tc>
          <w:tcPr>
            <w:tcW w:w="574"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w:t>
            </w:r>
          </w:p>
        </w:tc>
        <w:tc>
          <w:tcPr>
            <w:tcW w:w="670"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766"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766"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2</w:t>
            </w:r>
          </w:p>
        </w:tc>
        <w:tc>
          <w:tcPr>
            <w:tcW w:w="766"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w:t>
            </w:r>
          </w:p>
        </w:tc>
        <w:tc>
          <w:tcPr>
            <w:tcW w:w="862"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5</w:t>
            </w:r>
          </w:p>
        </w:tc>
        <w:tc>
          <w:tcPr>
            <w:tcW w:w="959" w:type="dxa"/>
            <w:gridSpan w:val="2"/>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5.8</w:t>
            </w:r>
          </w:p>
        </w:tc>
      </w:tr>
      <w:tr w:rsidR="00D86A11" w:rsidRPr="00FE5638">
        <w:trPr>
          <w:trHeight w:val="302"/>
        </w:trPr>
        <w:tc>
          <w:tcPr>
            <w:tcW w:w="2892" w:type="dxa"/>
            <w:shd w:val="clear" w:color="auto" w:fill="FFFFFF"/>
          </w:tcPr>
          <w:p w:rsidR="00D86A11" w:rsidRPr="00D871E4" w:rsidRDefault="00D86A11" w:rsidP="00D86A11">
            <w:pPr>
              <w:spacing w:after="0"/>
              <w:rPr>
                <w:rFonts w:ascii="Calibri" w:hAnsi="Calibri" w:cs="Perpetua"/>
                <w:b/>
                <w:color w:val="013161"/>
                <w:sz w:val="20"/>
              </w:rPr>
            </w:pPr>
            <w:r w:rsidRPr="00D871E4">
              <w:rPr>
                <w:rFonts w:ascii="Calibri" w:hAnsi="Calibri" w:cs="Perpetua"/>
                <w:b/>
                <w:color w:val="013161"/>
                <w:sz w:val="20"/>
              </w:rPr>
              <w:t>Group Homes</w:t>
            </w:r>
          </w:p>
        </w:tc>
        <w:tc>
          <w:tcPr>
            <w:tcW w:w="574"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574"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574"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670"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w:t>
            </w:r>
          </w:p>
        </w:tc>
        <w:tc>
          <w:tcPr>
            <w:tcW w:w="766"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2</w:t>
            </w:r>
          </w:p>
        </w:tc>
        <w:tc>
          <w:tcPr>
            <w:tcW w:w="766"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4</w:t>
            </w:r>
          </w:p>
        </w:tc>
        <w:tc>
          <w:tcPr>
            <w:tcW w:w="766"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862"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7</w:t>
            </w:r>
          </w:p>
        </w:tc>
        <w:tc>
          <w:tcPr>
            <w:tcW w:w="959" w:type="dxa"/>
            <w:gridSpan w:val="2"/>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8.1</w:t>
            </w:r>
          </w:p>
        </w:tc>
      </w:tr>
      <w:tr w:rsidR="00D86A11" w:rsidRPr="00FE5638">
        <w:trPr>
          <w:trHeight w:val="302"/>
        </w:trPr>
        <w:tc>
          <w:tcPr>
            <w:tcW w:w="2892" w:type="dxa"/>
            <w:shd w:val="clear" w:color="auto" w:fill="DBE5F1"/>
          </w:tcPr>
          <w:p w:rsidR="00D86A11" w:rsidRPr="00D871E4" w:rsidRDefault="00D86A11" w:rsidP="00D86A11">
            <w:pPr>
              <w:spacing w:after="0"/>
              <w:rPr>
                <w:rFonts w:ascii="Calibri" w:hAnsi="Calibri" w:cs="Perpetua"/>
                <w:b/>
                <w:color w:val="013161"/>
                <w:sz w:val="20"/>
              </w:rPr>
            </w:pPr>
            <w:r w:rsidRPr="00D871E4">
              <w:rPr>
                <w:rFonts w:ascii="Calibri" w:hAnsi="Calibri" w:cs="Perpetua"/>
                <w:b/>
                <w:color w:val="013161"/>
                <w:sz w:val="20"/>
              </w:rPr>
              <w:t>SILP</w:t>
            </w:r>
          </w:p>
        </w:tc>
        <w:tc>
          <w:tcPr>
            <w:tcW w:w="574"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574"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574"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670"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766"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766"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766"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8</w:t>
            </w:r>
          </w:p>
        </w:tc>
        <w:tc>
          <w:tcPr>
            <w:tcW w:w="862"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8</w:t>
            </w:r>
          </w:p>
        </w:tc>
        <w:tc>
          <w:tcPr>
            <w:tcW w:w="959" w:type="dxa"/>
            <w:gridSpan w:val="2"/>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9.3</w:t>
            </w:r>
          </w:p>
        </w:tc>
      </w:tr>
      <w:tr w:rsidR="00D86A11" w:rsidRPr="00FE5638">
        <w:trPr>
          <w:trHeight w:val="302"/>
        </w:trPr>
        <w:tc>
          <w:tcPr>
            <w:tcW w:w="2892" w:type="dxa"/>
            <w:shd w:val="clear" w:color="auto" w:fill="FFFFFF"/>
          </w:tcPr>
          <w:p w:rsidR="00D86A11" w:rsidRPr="00D871E4" w:rsidRDefault="00D86A11" w:rsidP="00D86A11">
            <w:pPr>
              <w:spacing w:after="0"/>
              <w:rPr>
                <w:rFonts w:ascii="Calibri" w:hAnsi="Calibri" w:cs="Perpetua"/>
                <w:b/>
                <w:color w:val="013161"/>
                <w:sz w:val="20"/>
              </w:rPr>
            </w:pPr>
            <w:r w:rsidRPr="00D871E4">
              <w:rPr>
                <w:rFonts w:ascii="Calibri" w:hAnsi="Calibri" w:cs="Perpetua"/>
                <w:b/>
                <w:color w:val="013161"/>
                <w:sz w:val="20"/>
              </w:rPr>
              <w:t>Other</w:t>
            </w:r>
          </w:p>
        </w:tc>
        <w:tc>
          <w:tcPr>
            <w:tcW w:w="574"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574"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574"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670"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766"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766"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766"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862"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959" w:type="dxa"/>
            <w:gridSpan w:val="2"/>
            <w:shd w:val="clear" w:color="auto" w:fill="FFFFFF"/>
          </w:tcPr>
          <w:p w:rsidR="00D86A11" w:rsidRPr="00D871E4" w:rsidRDefault="00D86A11" w:rsidP="00D86A11">
            <w:pPr>
              <w:spacing w:after="0"/>
              <w:jc w:val="center"/>
              <w:rPr>
                <w:rFonts w:ascii="Calibri" w:hAnsi="Calibri" w:cs="Perpetua"/>
                <w:b/>
                <w:color w:val="013161"/>
                <w:sz w:val="20"/>
              </w:rPr>
            </w:pPr>
          </w:p>
        </w:tc>
      </w:tr>
      <w:tr w:rsidR="00D86A11" w:rsidRPr="00FE5638">
        <w:trPr>
          <w:trHeight w:val="302"/>
        </w:trPr>
        <w:tc>
          <w:tcPr>
            <w:tcW w:w="2892" w:type="dxa"/>
            <w:shd w:val="clear" w:color="auto" w:fill="DBE5F1"/>
          </w:tcPr>
          <w:p w:rsidR="00D86A11" w:rsidRPr="00D871E4" w:rsidRDefault="00D86A11" w:rsidP="00D86A11">
            <w:pPr>
              <w:spacing w:after="0"/>
              <w:rPr>
                <w:rFonts w:ascii="Calibri" w:hAnsi="Calibri" w:cs="Perpetua"/>
                <w:b/>
                <w:color w:val="013161"/>
                <w:sz w:val="20"/>
              </w:rPr>
            </w:pPr>
            <w:r w:rsidRPr="00D871E4">
              <w:rPr>
                <w:rFonts w:ascii="Calibri" w:hAnsi="Calibri" w:cs="Perpetua"/>
                <w:b/>
                <w:color w:val="013161"/>
                <w:sz w:val="20"/>
              </w:rPr>
              <w:t>Missing</w:t>
            </w:r>
          </w:p>
        </w:tc>
        <w:tc>
          <w:tcPr>
            <w:tcW w:w="574"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574"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574"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670"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766"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766"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766"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862" w:type="dxa"/>
            <w:shd w:val="clear" w:color="auto" w:fill="DBE5F1"/>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w:t>
            </w:r>
          </w:p>
        </w:tc>
        <w:tc>
          <w:tcPr>
            <w:tcW w:w="959" w:type="dxa"/>
            <w:gridSpan w:val="2"/>
            <w:shd w:val="clear" w:color="auto" w:fill="DBE5F1"/>
          </w:tcPr>
          <w:p w:rsidR="00D86A11" w:rsidRPr="00D871E4" w:rsidRDefault="00D86A11" w:rsidP="00D86A11">
            <w:pPr>
              <w:spacing w:after="0"/>
              <w:jc w:val="center"/>
              <w:rPr>
                <w:rFonts w:ascii="Calibri" w:hAnsi="Calibri" w:cs="Perpetua"/>
                <w:b/>
                <w:color w:val="013161"/>
                <w:sz w:val="20"/>
              </w:rPr>
            </w:pPr>
          </w:p>
        </w:tc>
      </w:tr>
      <w:tr w:rsidR="00D86A11" w:rsidRPr="00FE5638">
        <w:trPr>
          <w:trHeight w:val="302"/>
        </w:trPr>
        <w:tc>
          <w:tcPr>
            <w:tcW w:w="2892" w:type="dxa"/>
            <w:shd w:val="clear" w:color="auto" w:fill="FFFFFF"/>
          </w:tcPr>
          <w:p w:rsidR="00D86A11" w:rsidRPr="00D871E4" w:rsidRDefault="00D86A11" w:rsidP="00D86A11">
            <w:pPr>
              <w:spacing w:after="0"/>
              <w:rPr>
                <w:rFonts w:ascii="Calibri" w:hAnsi="Calibri" w:cs="Perpetua"/>
                <w:b/>
                <w:color w:val="013161"/>
                <w:sz w:val="20"/>
              </w:rPr>
            </w:pPr>
            <w:r w:rsidRPr="00D871E4">
              <w:rPr>
                <w:rFonts w:ascii="Calibri" w:hAnsi="Calibri" w:cs="Perpetua"/>
                <w:b/>
                <w:color w:val="013161"/>
                <w:sz w:val="20"/>
              </w:rPr>
              <w:t>Total</w:t>
            </w:r>
          </w:p>
        </w:tc>
        <w:tc>
          <w:tcPr>
            <w:tcW w:w="574"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4</w:t>
            </w:r>
          </w:p>
        </w:tc>
        <w:tc>
          <w:tcPr>
            <w:tcW w:w="574"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16</w:t>
            </w:r>
          </w:p>
        </w:tc>
        <w:tc>
          <w:tcPr>
            <w:tcW w:w="574"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11</w:t>
            </w:r>
          </w:p>
        </w:tc>
        <w:tc>
          <w:tcPr>
            <w:tcW w:w="670"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19</w:t>
            </w:r>
          </w:p>
        </w:tc>
        <w:tc>
          <w:tcPr>
            <w:tcW w:w="766"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12</w:t>
            </w:r>
          </w:p>
        </w:tc>
        <w:tc>
          <w:tcPr>
            <w:tcW w:w="766"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10</w:t>
            </w:r>
          </w:p>
        </w:tc>
        <w:tc>
          <w:tcPr>
            <w:tcW w:w="766"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14</w:t>
            </w:r>
          </w:p>
        </w:tc>
        <w:tc>
          <w:tcPr>
            <w:tcW w:w="862" w:type="dxa"/>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86</w:t>
            </w:r>
          </w:p>
        </w:tc>
        <w:tc>
          <w:tcPr>
            <w:tcW w:w="959" w:type="dxa"/>
            <w:gridSpan w:val="2"/>
            <w:shd w:val="clear" w:color="auto" w:fill="FFFFFF"/>
          </w:tcPr>
          <w:p w:rsidR="00D86A11" w:rsidRPr="00D871E4" w:rsidRDefault="00D86A11" w:rsidP="00D86A11">
            <w:pPr>
              <w:spacing w:after="0"/>
              <w:jc w:val="center"/>
              <w:rPr>
                <w:rFonts w:ascii="Calibri" w:hAnsi="Calibri" w:cs="Perpetua"/>
                <w:b/>
                <w:color w:val="013161"/>
                <w:sz w:val="20"/>
              </w:rPr>
            </w:pPr>
            <w:r w:rsidRPr="00D871E4">
              <w:rPr>
                <w:rFonts w:ascii="Calibri" w:hAnsi="Calibri" w:cs="Perpetua"/>
                <w:b/>
                <w:color w:val="013161"/>
                <w:sz w:val="20"/>
              </w:rPr>
              <w:t>100.0</w:t>
            </w:r>
          </w:p>
        </w:tc>
      </w:tr>
    </w:tbl>
    <w:p w:rsidR="00D86A11" w:rsidRPr="005217F6" w:rsidRDefault="00D86A11" w:rsidP="00D86A11">
      <w:pPr>
        <w:pStyle w:val="Heading1"/>
        <w:rPr>
          <w:color w:val="2E7029"/>
          <w:sz w:val="24"/>
        </w:rPr>
      </w:pPr>
      <w:r w:rsidRPr="005217F6">
        <w:rPr>
          <w:color w:val="2E7029"/>
          <w:sz w:val="24"/>
        </w:rPr>
        <w:t>Analysis</w:t>
      </w:r>
    </w:p>
    <w:p w:rsidR="00D86A11" w:rsidRPr="000B7B3E" w:rsidRDefault="00D86A11" w:rsidP="00D86A11">
      <w:pPr>
        <w:pStyle w:val="Heading3"/>
        <w:spacing w:line="276" w:lineRule="auto"/>
        <w:rPr>
          <w:b w:val="0"/>
          <w:color w:val="auto"/>
          <w:sz w:val="22"/>
        </w:rPr>
      </w:pPr>
      <w:r>
        <w:rPr>
          <w:b w:val="0"/>
          <w:color w:val="auto"/>
          <w:sz w:val="22"/>
        </w:rPr>
        <w:t>The County of San Diego</w:t>
      </w:r>
      <w:r w:rsidRPr="000B7B3E">
        <w:rPr>
          <w:b w:val="0"/>
          <w:color w:val="auto"/>
          <w:sz w:val="22"/>
        </w:rPr>
        <w:t xml:space="preserve">’s percent of ICWA eligible children that are in relative placements has increased from 36.2% on January 1, 2010 to 40.7% on January 1, 2016. At 40.7%, </w:t>
      </w:r>
      <w:r>
        <w:rPr>
          <w:b w:val="0"/>
          <w:color w:val="auto"/>
          <w:sz w:val="22"/>
        </w:rPr>
        <w:t>the County of San Diego</w:t>
      </w:r>
      <w:r w:rsidRPr="000B7B3E">
        <w:rPr>
          <w:b w:val="0"/>
          <w:color w:val="auto"/>
          <w:sz w:val="22"/>
        </w:rPr>
        <w:t xml:space="preserve">’s current relative placement rate is just below California’s most recent rate of 41.7%. </w:t>
      </w:r>
    </w:p>
    <w:p w:rsidR="00D86A11" w:rsidRPr="000B7B3E" w:rsidRDefault="00D86A11" w:rsidP="00D86A11">
      <w:pPr>
        <w:pStyle w:val="Heading3"/>
        <w:spacing w:line="276" w:lineRule="auto"/>
        <w:rPr>
          <w:b w:val="0"/>
          <w:color w:val="auto"/>
          <w:sz w:val="22"/>
        </w:rPr>
      </w:pPr>
      <w:r w:rsidRPr="000B7B3E">
        <w:rPr>
          <w:b w:val="0"/>
          <w:color w:val="auto"/>
          <w:sz w:val="22"/>
        </w:rPr>
        <w:t xml:space="preserve">As of January 1, 2016, 40.7% of ICWA Eligible children in placement were placed with relatives; followed by 24.4% in non-relative, non-Indian homes; 11.6% in non-relative Indian homes; 9.3% in SILPs (for 18-21 year olds); and 8.1% in group homes. The ethnicity of non-relative substitute care providers (SCP) was missing for 5.8% of the ICWA eligible children in care. </w:t>
      </w:r>
    </w:p>
    <w:p w:rsidR="00D86A11" w:rsidRPr="000B7B3E" w:rsidRDefault="00D86A11" w:rsidP="00D86A11">
      <w:pPr>
        <w:pStyle w:val="Heading3"/>
        <w:spacing w:line="276" w:lineRule="auto"/>
        <w:rPr>
          <w:b w:val="0"/>
          <w:color w:val="auto"/>
          <w:sz w:val="22"/>
        </w:rPr>
      </w:pPr>
      <w:r w:rsidRPr="000B7B3E">
        <w:rPr>
          <w:b w:val="0"/>
          <w:color w:val="auto"/>
          <w:sz w:val="22"/>
        </w:rPr>
        <w:t xml:space="preserve">In 2010, 20.7% of the placements were categorized as “non-relative, SCP ethnic missing” so the baseline data on whether the non-relative SCP was Indian or non-Indian should be interpreted with caution. Given that caveat, the data show that percent of children placed with a non-relative, Indian SCP increased from 4.3% in </w:t>
      </w:r>
      <w:r w:rsidRPr="000B7B3E">
        <w:rPr>
          <w:b w:val="0"/>
          <w:color w:val="auto"/>
          <w:sz w:val="22"/>
        </w:rPr>
        <w:lastRenderedPageBreak/>
        <w:t>2010 to 11.6% in 2016; and the percent of children placed with a non-relative, non-Indian SCP decreased slightly from 25.9% to 24.4%.</w:t>
      </w:r>
    </w:p>
    <w:p w:rsidR="00D86A11" w:rsidRPr="000B7B3E" w:rsidRDefault="00D86A11" w:rsidP="00D86A11">
      <w:pPr>
        <w:pStyle w:val="Heading3"/>
        <w:spacing w:line="276" w:lineRule="auto"/>
        <w:rPr>
          <w:b w:val="0"/>
          <w:color w:val="auto"/>
          <w:sz w:val="22"/>
        </w:rPr>
      </w:pPr>
      <w:r w:rsidRPr="000B7B3E">
        <w:rPr>
          <w:b w:val="0"/>
          <w:color w:val="auto"/>
          <w:sz w:val="22"/>
        </w:rPr>
        <w:t xml:space="preserve">The percent of ICWA eligible children that were placed in group homes decreased from 12.9% on January 1, 2010 to 8.1% in 2016. </w:t>
      </w:r>
    </w:p>
    <w:p w:rsidR="00D86A11" w:rsidRPr="000B7B3E" w:rsidRDefault="00D86A11" w:rsidP="00D86A11">
      <w:pPr>
        <w:pStyle w:val="Heading3"/>
        <w:spacing w:line="276" w:lineRule="auto"/>
        <w:rPr>
          <w:b w:val="0"/>
          <w:color w:val="auto"/>
          <w:sz w:val="22"/>
        </w:rPr>
      </w:pPr>
      <w:r w:rsidRPr="000B7B3E">
        <w:rPr>
          <w:b w:val="0"/>
          <w:color w:val="auto"/>
          <w:sz w:val="22"/>
        </w:rPr>
        <w:t xml:space="preserve">Permanency and relative placements have been supported by having ICWA specialists in each County region and by the implementation of Tribal Customary Adoptions in 2012. The improvement in reducing missing data on the ethnicity of the SCP is due to the County’s increased emphasis on CQI and accurate data entry. </w:t>
      </w:r>
    </w:p>
    <w:p w:rsidR="00D86A11" w:rsidRPr="005217F6" w:rsidRDefault="00D86A11" w:rsidP="00D86A11">
      <w:pPr>
        <w:spacing w:after="0"/>
        <w:contextualSpacing/>
        <w:rPr>
          <w:rFonts w:ascii="Franklin Gothic Book" w:hAnsi="Franklin Gothic Book"/>
          <w:b/>
          <w:color w:val="F6872B"/>
          <w:spacing w:val="20"/>
          <w:sz w:val="24"/>
          <w:szCs w:val="28"/>
        </w:rPr>
      </w:pPr>
      <w:r w:rsidRPr="005217F6">
        <w:rPr>
          <w:rFonts w:ascii="Franklin Gothic Book" w:hAnsi="Franklin Gothic Book"/>
          <w:b/>
          <w:color w:val="F6872B"/>
          <w:spacing w:val="20"/>
          <w:sz w:val="24"/>
          <w:szCs w:val="28"/>
        </w:rPr>
        <w:t>5B (1) Rate of Timely Health Exams &amp; 5B (2) Rate of Timely Dental Exams</w:t>
      </w:r>
    </w:p>
    <w:tbl>
      <w:tblPr>
        <w:tblW w:w="9738" w:type="dxa"/>
        <w:tblBorders>
          <w:top w:val="single" w:sz="18" w:space="0" w:color="F6872B"/>
          <w:bottom w:val="single" w:sz="18" w:space="0" w:color="F6872B"/>
        </w:tblBorders>
        <w:tblLook w:val="04A0" w:firstRow="1" w:lastRow="0" w:firstColumn="1" w:lastColumn="0" w:noHBand="0" w:noVBand="1"/>
      </w:tblPr>
      <w:tblGrid>
        <w:gridCol w:w="2934"/>
        <w:gridCol w:w="1080"/>
        <w:gridCol w:w="1080"/>
        <w:gridCol w:w="1350"/>
        <w:gridCol w:w="1080"/>
        <w:gridCol w:w="1080"/>
        <w:gridCol w:w="1134"/>
      </w:tblGrid>
      <w:tr w:rsidR="00D86A11" w:rsidRPr="002E3D5C">
        <w:trPr>
          <w:trHeight w:val="648"/>
        </w:trPr>
        <w:tc>
          <w:tcPr>
            <w:tcW w:w="9738" w:type="dxa"/>
            <w:gridSpan w:val="7"/>
            <w:shd w:val="clear" w:color="auto" w:fill="013161"/>
            <w:noWrap/>
          </w:tcPr>
          <w:p w:rsidR="00D86A11" w:rsidRPr="00B62737" w:rsidRDefault="00D86A11" w:rsidP="00D86A11">
            <w:pPr>
              <w:spacing w:after="0"/>
              <w:jc w:val="center"/>
              <w:rPr>
                <w:rFonts w:ascii="Calibri" w:hAnsi="Calibri" w:cs="Calibri"/>
                <w:b/>
                <w:color w:val="FFFFFF"/>
              </w:rPr>
            </w:pPr>
            <w:r w:rsidRPr="00B62737">
              <w:rPr>
                <w:rFonts w:ascii="Calibri" w:hAnsi="Calibri" w:cs="Calibri"/>
                <w:b/>
                <w:color w:val="FFFFFF"/>
                <w:sz w:val="24"/>
              </w:rPr>
              <w:t>Exhibit 74. County of San Diego Timely Health &amp; Dental Exams</w:t>
            </w:r>
            <w:r>
              <w:rPr>
                <w:rFonts w:ascii="Calibri" w:hAnsi="Calibri" w:cs="Calibri"/>
                <w:b/>
                <w:color w:val="FFFFFF"/>
                <w:sz w:val="24"/>
              </w:rPr>
              <w:t xml:space="preserve"> (Calendar Year)</w:t>
            </w:r>
          </w:p>
          <w:p w:rsidR="00D86A11" w:rsidRPr="000055D1" w:rsidRDefault="00D86A11" w:rsidP="00D86A11">
            <w:pPr>
              <w:spacing w:after="0"/>
              <w:jc w:val="center"/>
              <w:rPr>
                <w:rFonts w:ascii="Calibri" w:hAnsi="Calibri" w:cs="Calibri"/>
                <w:sz w:val="20"/>
              </w:rPr>
            </w:pPr>
            <w:r w:rsidRPr="00B62737">
              <w:rPr>
                <w:rFonts w:ascii="Calibri" w:hAnsi="Calibri" w:cs="Calibri"/>
                <w:color w:val="FFFFFF"/>
              </w:rPr>
              <w:t>California at 83.2% for Health Exams &amp; 56.7% for Dental Exams</w:t>
            </w:r>
          </w:p>
        </w:tc>
      </w:tr>
      <w:tr w:rsidR="00D86A11" w:rsidRPr="002E3D5C">
        <w:trPr>
          <w:trHeight w:val="279"/>
        </w:trPr>
        <w:tc>
          <w:tcPr>
            <w:tcW w:w="2934" w:type="dxa"/>
            <w:shd w:val="clear" w:color="auto" w:fill="013161"/>
            <w:noWrap/>
          </w:tcPr>
          <w:p w:rsidR="00D86A11" w:rsidRPr="00721EF1" w:rsidRDefault="00D86A11" w:rsidP="00D86A11">
            <w:pPr>
              <w:spacing w:after="0"/>
              <w:rPr>
                <w:rFonts w:ascii="Calibri" w:hAnsi="Calibri" w:cs="Calibri"/>
                <w:b/>
                <w:color w:val="FFFFFF"/>
                <w:sz w:val="20"/>
              </w:rPr>
            </w:pPr>
          </w:p>
        </w:tc>
        <w:tc>
          <w:tcPr>
            <w:tcW w:w="1080" w:type="dxa"/>
            <w:shd w:val="clear" w:color="auto" w:fill="013161"/>
            <w:noWrap/>
          </w:tcPr>
          <w:p w:rsidR="00D86A11" w:rsidRPr="00D10D14" w:rsidRDefault="00D86A11" w:rsidP="00D86A11">
            <w:pPr>
              <w:spacing w:after="0"/>
              <w:jc w:val="center"/>
              <w:rPr>
                <w:rFonts w:ascii="Calibri" w:hAnsi="Calibri" w:cs="Calibri"/>
                <w:b/>
                <w:color w:val="FFFFFF"/>
              </w:rPr>
            </w:pPr>
            <w:r w:rsidRPr="00D10D14">
              <w:rPr>
                <w:rFonts w:ascii="Calibri" w:eastAsia="Times New Roman" w:hAnsi="Calibri" w:cs="Arial"/>
                <w:b/>
                <w:color w:val="FFFFFF"/>
              </w:rPr>
              <w:t>Q4 2010</w:t>
            </w:r>
          </w:p>
        </w:tc>
        <w:tc>
          <w:tcPr>
            <w:tcW w:w="1080" w:type="dxa"/>
            <w:shd w:val="clear" w:color="auto" w:fill="013161"/>
            <w:noWrap/>
          </w:tcPr>
          <w:p w:rsidR="00D86A11" w:rsidRPr="00D10D14" w:rsidRDefault="00D86A11" w:rsidP="00D86A11">
            <w:pPr>
              <w:spacing w:after="0"/>
              <w:jc w:val="center"/>
              <w:rPr>
                <w:rFonts w:ascii="Calibri" w:hAnsi="Calibri" w:cs="Calibri"/>
                <w:b/>
                <w:color w:val="FFFFFF"/>
              </w:rPr>
            </w:pPr>
            <w:r w:rsidRPr="00D10D14">
              <w:rPr>
                <w:rFonts w:ascii="Calibri" w:eastAsia="Times New Roman" w:hAnsi="Calibri" w:cs="Arial"/>
                <w:b/>
                <w:color w:val="FFFFFF"/>
              </w:rPr>
              <w:t>Q4 2011</w:t>
            </w:r>
          </w:p>
        </w:tc>
        <w:tc>
          <w:tcPr>
            <w:tcW w:w="1350" w:type="dxa"/>
            <w:shd w:val="clear" w:color="auto" w:fill="013161"/>
            <w:noWrap/>
          </w:tcPr>
          <w:p w:rsidR="00D86A11" w:rsidRPr="00D10D14" w:rsidRDefault="00D86A11" w:rsidP="00D86A11">
            <w:pPr>
              <w:spacing w:after="0"/>
              <w:jc w:val="center"/>
              <w:rPr>
                <w:rFonts w:ascii="Calibri" w:hAnsi="Calibri" w:cs="Calibri"/>
                <w:b/>
                <w:color w:val="FFFFFF"/>
              </w:rPr>
            </w:pPr>
            <w:r w:rsidRPr="00D10D14">
              <w:rPr>
                <w:rFonts w:ascii="Calibri" w:eastAsia="Times New Roman" w:hAnsi="Calibri" w:cs="Arial"/>
                <w:b/>
                <w:color w:val="FFFFFF"/>
              </w:rPr>
              <w:t>Q4 2012</w:t>
            </w:r>
          </w:p>
        </w:tc>
        <w:tc>
          <w:tcPr>
            <w:tcW w:w="1080" w:type="dxa"/>
            <w:shd w:val="clear" w:color="auto" w:fill="013161"/>
            <w:noWrap/>
          </w:tcPr>
          <w:p w:rsidR="00D86A11" w:rsidRPr="00D10D14" w:rsidRDefault="00D86A11" w:rsidP="00D86A11">
            <w:pPr>
              <w:spacing w:after="0"/>
              <w:jc w:val="center"/>
              <w:rPr>
                <w:rFonts w:ascii="Calibri" w:hAnsi="Calibri" w:cs="Calibri"/>
                <w:b/>
                <w:color w:val="FFFFFF"/>
              </w:rPr>
            </w:pPr>
            <w:r w:rsidRPr="00D10D14">
              <w:rPr>
                <w:rFonts w:ascii="Calibri" w:eastAsia="Times New Roman" w:hAnsi="Calibri" w:cs="Arial"/>
                <w:b/>
                <w:color w:val="FFFFFF"/>
              </w:rPr>
              <w:t>Q4 2013</w:t>
            </w:r>
          </w:p>
        </w:tc>
        <w:tc>
          <w:tcPr>
            <w:tcW w:w="1080" w:type="dxa"/>
            <w:shd w:val="clear" w:color="auto" w:fill="013161"/>
            <w:noWrap/>
          </w:tcPr>
          <w:p w:rsidR="00D86A11" w:rsidRPr="00D10D14" w:rsidRDefault="00D86A11" w:rsidP="00D86A11">
            <w:pPr>
              <w:spacing w:after="0"/>
              <w:jc w:val="center"/>
              <w:rPr>
                <w:rFonts w:ascii="Calibri" w:hAnsi="Calibri" w:cs="Calibri"/>
                <w:b/>
                <w:color w:val="FFFFFF"/>
              </w:rPr>
            </w:pPr>
            <w:r w:rsidRPr="00D10D14">
              <w:rPr>
                <w:rFonts w:ascii="Calibri" w:eastAsia="Times New Roman" w:hAnsi="Calibri" w:cs="Arial"/>
                <w:b/>
                <w:color w:val="FFFFFF"/>
              </w:rPr>
              <w:t>Q4 2014</w:t>
            </w:r>
          </w:p>
        </w:tc>
        <w:tc>
          <w:tcPr>
            <w:tcW w:w="1134" w:type="dxa"/>
            <w:shd w:val="clear" w:color="auto" w:fill="013161"/>
            <w:noWrap/>
          </w:tcPr>
          <w:p w:rsidR="00D86A11" w:rsidRPr="00D10D14" w:rsidRDefault="00D86A11" w:rsidP="00D86A11">
            <w:pPr>
              <w:spacing w:after="0"/>
              <w:jc w:val="center"/>
              <w:rPr>
                <w:rFonts w:ascii="Calibri" w:hAnsi="Calibri" w:cs="Calibri"/>
                <w:b/>
                <w:color w:val="FFFFFF"/>
              </w:rPr>
            </w:pPr>
            <w:r w:rsidRPr="00D10D14">
              <w:rPr>
                <w:rFonts w:ascii="Calibri" w:eastAsia="Times New Roman" w:hAnsi="Calibri" w:cs="Arial"/>
                <w:b/>
                <w:color w:val="FFFFFF"/>
              </w:rPr>
              <w:t>Q4 2015</w:t>
            </w:r>
          </w:p>
        </w:tc>
      </w:tr>
      <w:tr w:rsidR="00D86A11" w:rsidRPr="002E3D5C">
        <w:trPr>
          <w:trHeight w:val="279"/>
        </w:trPr>
        <w:tc>
          <w:tcPr>
            <w:tcW w:w="2934" w:type="dxa"/>
            <w:shd w:val="clear" w:color="auto" w:fill="auto"/>
            <w:noWrap/>
          </w:tcPr>
          <w:p w:rsidR="00D86A11" w:rsidRPr="0039644D" w:rsidRDefault="00D86A11" w:rsidP="00D86A11">
            <w:pPr>
              <w:spacing w:after="0"/>
              <w:rPr>
                <w:rFonts w:ascii="Calibri" w:hAnsi="Calibri" w:cs="Calibri"/>
                <w:b/>
                <w:color w:val="013161"/>
                <w:sz w:val="20"/>
              </w:rPr>
            </w:pPr>
            <w:r w:rsidRPr="0039644D">
              <w:rPr>
                <w:rFonts w:ascii="Calibri" w:hAnsi="Calibri" w:cs="Calibri"/>
                <w:b/>
                <w:color w:val="013161"/>
                <w:sz w:val="20"/>
              </w:rPr>
              <w:t>Rate of timely health exams (%), Age 0 to 20</w:t>
            </w:r>
          </w:p>
        </w:tc>
        <w:tc>
          <w:tcPr>
            <w:tcW w:w="1080" w:type="dxa"/>
            <w:shd w:val="clear" w:color="auto" w:fill="auto"/>
            <w:noWrap/>
          </w:tcPr>
          <w:p w:rsidR="00D86A11" w:rsidRPr="0039644D" w:rsidRDefault="00D86A11" w:rsidP="00D86A11">
            <w:pPr>
              <w:spacing w:after="0"/>
              <w:jc w:val="center"/>
              <w:rPr>
                <w:rFonts w:ascii="Calibri" w:hAnsi="Calibri" w:cs="Calibri"/>
                <w:b/>
                <w:color w:val="013161"/>
                <w:sz w:val="20"/>
              </w:rPr>
            </w:pPr>
            <w:r w:rsidRPr="0039644D">
              <w:rPr>
                <w:rFonts w:ascii="Calibri" w:hAnsi="Calibri" w:cs="Calibri"/>
                <w:b/>
                <w:color w:val="013161"/>
                <w:sz w:val="20"/>
              </w:rPr>
              <w:t>92.3</w:t>
            </w:r>
          </w:p>
        </w:tc>
        <w:tc>
          <w:tcPr>
            <w:tcW w:w="1080" w:type="dxa"/>
            <w:shd w:val="clear" w:color="auto" w:fill="auto"/>
            <w:noWrap/>
          </w:tcPr>
          <w:p w:rsidR="00D86A11" w:rsidRPr="0039644D" w:rsidRDefault="00D86A11" w:rsidP="00D86A11">
            <w:pPr>
              <w:spacing w:after="0"/>
              <w:jc w:val="center"/>
              <w:rPr>
                <w:rFonts w:ascii="Calibri" w:hAnsi="Calibri" w:cs="Calibri"/>
                <w:b/>
                <w:color w:val="013161"/>
                <w:sz w:val="20"/>
              </w:rPr>
            </w:pPr>
            <w:r w:rsidRPr="0039644D">
              <w:rPr>
                <w:rFonts w:ascii="Calibri" w:hAnsi="Calibri" w:cs="Calibri"/>
                <w:b/>
                <w:color w:val="013161"/>
                <w:sz w:val="20"/>
              </w:rPr>
              <w:t>92.6</w:t>
            </w:r>
          </w:p>
        </w:tc>
        <w:tc>
          <w:tcPr>
            <w:tcW w:w="1350" w:type="dxa"/>
            <w:shd w:val="clear" w:color="auto" w:fill="auto"/>
            <w:noWrap/>
          </w:tcPr>
          <w:p w:rsidR="00D86A11" w:rsidRPr="0039644D" w:rsidRDefault="00D86A11" w:rsidP="00D86A11">
            <w:pPr>
              <w:spacing w:after="0"/>
              <w:jc w:val="center"/>
              <w:rPr>
                <w:rFonts w:ascii="Calibri" w:hAnsi="Calibri" w:cs="Calibri"/>
                <w:b/>
                <w:color w:val="013161"/>
                <w:sz w:val="20"/>
              </w:rPr>
            </w:pPr>
            <w:r w:rsidRPr="0039644D">
              <w:rPr>
                <w:rFonts w:ascii="Calibri" w:hAnsi="Calibri" w:cs="Calibri"/>
                <w:b/>
                <w:color w:val="013161"/>
                <w:sz w:val="20"/>
              </w:rPr>
              <w:t>90.6</w:t>
            </w:r>
          </w:p>
        </w:tc>
        <w:tc>
          <w:tcPr>
            <w:tcW w:w="1080" w:type="dxa"/>
            <w:shd w:val="clear" w:color="auto" w:fill="auto"/>
            <w:noWrap/>
          </w:tcPr>
          <w:p w:rsidR="00D86A11" w:rsidRPr="0039644D" w:rsidRDefault="00D86A11" w:rsidP="00D86A11">
            <w:pPr>
              <w:spacing w:after="0"/>
              <w:jc w:val="center"/>
              <w:rPr>
                <w:rFonts w:ascii="Calibri" w:hAnsi="Calibri" w:cs="Calibri"/>
                <w:b/>
                <w:color w:val="013161"/>
                <w:sz w:val="20"/>
              </w:rPr>
            </w:pPr>
            <w:r w:rsidRPr="0039644D">
              <w:rPr>
                <w:rFonts w:ascii="Calibri" w:hAnsi="Calibri" w:cs="Calibri"/>
                <w:b/>
                <w:color w:val="013161"/>
                <w:sz w:val="20"/>
              </w:rPr>
              <w:t>92.3</w:t>
            </w:r>
          </w:p>
        </w:tc>
        <w:tc>
          <w:tcPr>
            <w:tcW w:w="1080" w:type="dxa"/>
            <w:shd w:val="clear" w:color="auto" w:fill="auto"/>
            <w:noWrap/>
          </w:tcPr>
          <w:p w:rsidR="00D86A11" w:rsidRPr="0039644D" w:rsidRDefault="00D86A11" w:rsidP="00D86A11">
            <w:pPr>
              <w:spacing w:after="0"/>
              <w:jc w:val="center"/>
              <w:rPr>
                <w:rFonts w:ascii="Calibri" w:hAnsi="Calibri" w:cs="Calibri"/>
                <w:b/>
                <w:color w:val="013161"/>
                <w:sz w:val="20"/>
              </w:rPr>
            </w:pPr>
            <w:r w:rsidRPr="0039644D">
              <w:rPr>
                <w:rFonts w:ascii="Calibri" w:hAnsi="Calibri" w:cs="Calibri"/>
                <w:b/>
                <w:color w:val="013161"/>
                <w:sz w:val="20"/>
              </w:rPr>
              <w:t>92.6</w:t>
            </w:r>
          </w:p>
        </w:tc>
        <w:tc>
          <w:tcPr>
            <w:tcW w:w="1134" w:type="dxa"/>
            <w:shd w:val="clear" w:color="auto" w:fill="auto"/>
            <w:noWrap/>
          </w:tcPr>
          <w:p w:rsidR="00D86A11" w:rsidRPr="0039644D" w:rsidRDefault="00D86A11" w:rsidP="00D86A11">
            <w:pPr>
              <w:spacing w:after="0"/>
              <w:jc w:val="center"/>
              <w:rPr>
                <w:rFonts w:ascii="Calibri" w:hAnsi="Calibri" w:cs="Calibri"/>
                <w:b/>
                <w:color w:val="013161"/>
                <w:sz w:val="20"/>
              </w:rPr>
            </w:pPr>
            <w:r w:rsidRPr="0039644D">
              <w:rPr>
                <w:rFonts w:ascii="Calibri" w:hAnsi="Calibri" w:cs="Calibri"/>
                <w:b/>
                <w:color w:val="013161"/>
                <w:sz w:val="20"/>
              </w:rPr>
              <w:t>89.9</w:t>
            </w:r>
          </w:p>
        </w:tc>
      </w:tr>
      <w:tr w:rsidR="00D86A11" w:rsidRPr="002E3D5C">
        <w:trPr>
          <w:trHeight w:val="279"/>
        </w:trPr>
        <w:tc>
          <w:tcPr>
            <w:tcW w:w="2934" w:type="dxa"/>
            <w:shd w:val="clear" w:color="auto" w:fill="DBE5F1"/>
            <w:noWrap/>
          </w:tcPr>
          <w:p w:rsidR="00D86A11" w:rsidRPr="0039644D" w:rsidRDefault="00D86A11" w:rsidP="00D86A11">
            <w:pPr>
              <w:spacing w:after="0"/>
              <w:rPr>
                <w:rFonts w:ascii="Calibri" w:hAnsi="Calibri" w:cs="Calibri"/>
                <w:b/>
                <w:color w:val="013161"/>
                <w:sz w:val="20"/>
              </w:rPr>
            </w:pPr>
            <w:r w:rsidRPr="0039644D">
              <w:rPr>
                <w:rFonts w:ascii="Calibri" w:hAnsi="Calibri" w:cs="Calibri"/>
                <w:b/>
                <w:color w:val="013161"/>
                <w:sz w:val="20"/>
              </w:rPr>
              <w:t>Timely health exams (n),</w:t>
            </w:r>
          </w:p>
        </w:tc>
        <w:tc>
          <w:tcPr>
            <w:tcW w:w="1080" w:type="dxa"/>
            <w:shd w:val="clear" w:color="auto" w:fill="DBE5F1"/>
            <w:noWrap/>
          </w:tcPr>
          <w:p w:rsidR="00D86A11" w:rsidRPr="0039644D" w:rsidRDefault="00D86A11" w:rsidP="00D86A11">
            <w:pPr>
              <w:spacing w:after="0"/>
              <w:jc w:val="center"/>
              <w:rPr>
                <w:rFonts w:ascii="Calibri" w:hAnsi="Calibri" w:cs="Calibri"/>
                <w:b/>
                <w:color w:val="013161"/>
                <w:sz w:val="20"/>
              </w:rPr>
            </w:pPr>
            <w:r w:rsidRPr="0039644D">
              <w:rPr>
                <w:rFonts w:ascii="Calibri" w:hAnsi="Calibri" w:cs="Calibri"/>
                <w:b/>
                <w:color w:val="013161"/>
                <w:sz w:val="20"/>
              </w:rPr>
              <w:t>2,667</w:t>
            </w:r>
          </w:p>
        </w:tc>
        <w:tc>
          <w:tcPr>
            <w:tcW w:w="1080" w:type="dxa"/>
            <w:shd w:val="clear" w:color="auto" w:fill="DBE5F1"/>
            <w:noWrap/>
          </w:tcPr>
          <w:p w:rsidR="00D86A11" w:rsidRPr="0039644D" w:rsidRDefault="00D86A11" w:rsidP="00D86A11">
            <w:pPr>
              <w:spacing w:after="0"/>
              <w:jc w:val="center"/>
              <w:rPr>
                <w:rFonts w:ascii="Calibri" w:hAnsi="Calibri" w:cs="Calibri"/>
                <w:b/>
                <w:color w:val="013161"/>
                <w:sz w:val="20"/>
              </w:rPr>
            </w:pPr>
            <w:r w:rsidRPr="0039644D">
              <w:rPr>
                <w:rFonts w:ascii="Calibri" w:hAnsi="Calibri" w:cs="Calibri"/>
                <w:b/>
                <w:color w:val="013161"/>
                <w:sz w:val="20"/>
              </w:rPr>
              <w:t>2,521</w:t>
            </w:r>
          </w:p>
        </w:tc>
        <w:tc>
          <w:tcPr>
            <w:tcW w:w="1350" w:type="dxa"/>
            <w:shd w:val="clear" w:color="auto" w:fill="DBE5F1"/>
            <w:noWrap/>
          </w:tcPr>
          <w:p w:rsidR="00D86A11" w:rsidRPr="0039644D" w:rsidRDefault="00D86A11" w:rsidP="00D86A11">
            <w:pPr>
              <w:spacing w:after="0"/>
              <w:jc w:val="center"/>
              <w:rPr>
                <w:rFonts w:ascii="Calibri" w:hAnsi="Calibri" w:cs="Calibri"/>
                <w:b/>
                <w:color w:val="013161"/>
                <w:sz w:val="20"/>
              </w:rPr>
            </w:pPr>
            <w:r w:rsidRPr="0039644D">
              <w:rPr>
                <w:rFonts w:ascii="Calibri" w:hAnsi="Calibri" w:cs="Calibri"/>
                <w:b/>
                <w:color w:val="013161"/>
                <w:sz w:val="20"/>
              </w:rPr>
              <w:t>2,494</w:t>
            </w:r>
          </w:p>
        </w:tc>
        <w:tc>
          <w:tcPr>
            <w:tcW w:w="1080" w:type="dxa"/>
            <w:shd w:val="clear" w:color="auto" w:fill="DBE5F1"/>
            <w:noWrap/>
          </w:tcPr>
          <w:p w:rsidR="00D86A11" w:rsidRPr="0039644D" w:rsidRDefault="00D86A11" w:rsidP="00D86A11">
            <w:pPr>
              <w:spacing w:after="0"/>
              <w:jc w:val="center"/>
              <w:rPr>
                <w:rFonts w:ascii="Calibri" w:hAnsi="Calibri" w:cs="Calibri"/>
                <w:b/>
                <w:color w:val="013161"/>
                <w:sz w:val="20"/>
              </w:rPr>
            </w:pPr>
            <w:r w:rsidRPr="0039644D">
              <w:rPr>
                <w:rFonts w:ascii="Calibri" w:hAnsi="Calibri" w:cs="Calibri"/>
                <w:b/>
                <w:color w:val="013161"/>
                <w:sz w:val="20"/>
              </w:rPr>
              <w:t>2,585</w:t>
            </w:r>
          </w:p>
        </w:tc>
        <w:tc>
          <w:tcPr>
            <w:tcW w:w="1080" w:type="dxa"/>
            <w:shd w:val="clear" w:color="auto" w:fill="DBE5F1"/>
            <w:noWrap/>
          </w:tcPr>
          <w:p w:rsidR="00D86A11" w:rsidRPr="0039644D" w:rsidRDefault="00D86A11" w:rsidP="00D86A11">
            <w:pPr>
              <w:spacing w:after="0"/>
              <w:jc w:val="center"/>
              <w:rPr>
                <w:rFonts w:ascii="Calibri" w:hAnsi="Calibri" w:cs="Calibri"/>
                <w:b/>
                <w:color w:val="013161"/>
                <w:sz w:val="20"/>
              </w:rPr>
            </w:pPr>
            <w:r w:rsidRPr="0039644D">
              <w:rPr>
                <w:rFonts w:ascii="Calibri" w:hAnsi="Calibri" w:cs="Calibri"/>
                <w:b/>
                <w:color w:val="013161"/>
                <w:sz w:val="20"/>
              </w:rPr>
              <w:t>2,605</w:t>
            </w:r>
          </w:p>
        </w:tc>
        <w:tc>
          <w:tcPr>
            <w:tcW w:w="1134" w:type="dxa"/>
            <w:shd w:val="clear" w:color="auto" w:fill="DBE5F1"/>
            <w:noWrap/>
          </w:tcPr>
          <w:p w:rsidR="00D86A11" w:rsidRPr="0039644D" w:rsidRDefault="00D86A11" w:rsidP="00D86A11">
            <w:pPr>
              <w:spacing w:after="0"/>
              <w:jc w:val="center"/>
              <w:rPr>
                <w:rFonts w:ascii="Calibri" w:hAnsi="Calibri" w:cs="Calibri"/>
                <w:b/>
                <w:color w:val="013161"/>
                <w:sz w:val="20"/>
              </w:rPr>
            </w:pPr>
            <w:r w:rsidRPr="0039644D">
              <w:rPr>
                <w:rFonts w:ascii="Calibri" w:hAnsi="Calibri" w:cs="Calibri"/>
                <w:b/>
                <w:color w:val="013161"/>
                <w:sz w:val="20"/>
              </w:rPr>
              <w:t>2,415</w:t>
            </w:r>
          </w:p>
        </w:tc>
      </w:tr>
      <w:tr w:rsidR="00D86A11" w:rsidRPr="002E3D5C">
        <w:trPr>
          <w:trHeight w:val="279"/>
        </w:trPr>
        <w:tc>
          <w:tcPr>
            <w:tcW w:w="2934" w:type="dxa"/>
            <w:shd w:val="clear" w:color="auto" w:fill="auto"/>
            <w:noWrap/>
          </w:tcPr>
          <w:p w:rsidR="00D86A11" w:rsidRPr="0039644D" w:rsidRDefault="00D86A11" w:rsidP="00D86A11">
            <w:pPr>
              <w:spacing w:after="0" w:line="240" w:lineRule="auto"/>
              <w:rPr>
                <w:rFonts w:ascii="Calibri" w:eastAsia="Times New Roman" w:hAnsi="Calibri" w:cs="Arial"/>
                <w:b/>
                <w:color w:val="013161"/>
                <w:sz w:val="20"/>
              </w:rPr>
            </w:pPr>
            <w:r w:rsidRPr="0039644D">
              <w:rPr>
                <w:rFonts w:ascii="Calibri" w:eastAsia="Times New Roman" w:hAnsi="Calibri" w:cs="Arial"/>
                <w:b/>
                <w:color w:val="013161"/>
                <w:sz w:val="20"/>
              </w:rPr>
              <w:t>Rate of timely dental exams (%), Age 3 to 20</w:t>
            </w:r>
          </w:p>
        </w:tc>
        <w:tc>
          <w:tcPr>
            <w:tcW w:w="1080" w:type="dxa"/>
            <w:shd w:val="clear" w:color="auto" w:fill="auto"/>
            <w:noWrap/>
          </w:tcPr>
          <w:p w:rsidR="00D86A11" w:rsidRPr="0039644D" w:rsidRDefault="00D86A11" w:rsidP="00D86A11">
            <w:pPr>
              <w:spacing w:after="0" w:line="240" w:lineRule="auto"/>
              <w:jc w:val="center"/>
              <w:rPr>
                <w:rFonts w:ascii="Calibri" w:eastAsia="Times New Roman" w:hAnsi="Calibri" w:cs="Arial"/>
                <w:b/>
                <w:color w:val="013161"/>
                <w:sz w:val="20"/>
              </w:rPr>
            </w:pPr>
            <w:r w:rsidRPr="0039644D">
              <w:rPr>
                <w:rFonts w:ascii="Calibri" w:eastAsia="Times New Roman" w:hAnsi="Calibri" w:cs="Arial"/>
                <w:b/>
                <w:color w:val="013161"/>
                <w:sz w:val="20"/>
              </w:rPr>
              <w:t>66.2</w:t>
            </w:r>
          </w:p>
        </w:tc>
        <w:tc>
          <w:tcPr>
            <w:tcW w:w="1080" w:type="dxa"/>
            <w:shd w:val="clear" w:color="auto" w:fill="auto"/>
            <w:noWrap/>
          </w:tcPr>
          <w:p w:rsidR="00D86A11" w:rsidRPr="0039644D" w:rsidRDefault="00D86A11" w:rsidP="00D86A11">
            <w:pPr>
              <w:spacing w:after="0" w:line="240" w:lineRule="auto"/>
              <w:jc w:val="center"/>
              <w:rPr>
                <w:rFonts w:ascii="Calibri" w:eastAsia="Times New Roman" w:hAnsi="Calibri" w:cs="Arial"/>
                <w:b/>
                <w:color w:val="013161"/>
                <w:sz w:val="20"/>
              </w:rPr>
            </w:pPr>
            <w:r w:rsidRPr="0039644D">
              <w:rPr>
                <w:rFonts w:ascii="Calibri" w:eastAsia="Times New Roman" w:hAnsi="Calibri" w:cs="Arial"/>
                <w:b/>
                <w:color w:val="013161"/>
                <w:sz w:val="20"/>
              </w:rPr>
              <w:t>64.7</w:t>
            </w:r>
          </w:p>
        </w:tc>
        <w:tc>
          <w:tcPr>
            <w:tcW w:w="1350" w:type="dxa"/>
            <w:shd w:val="clear" w:color="auto" w:fill="auto"/>
            <w:noWrap/>
          </w:tcPr>
          <w:p w:rsidR="00D86A11" w:rsidRPr="0039644D" w:rsidRDefault="00D86A11" w:rsidP="00D86A11">
            <w:pPr>
              <w:spacing w:after="0" w:line="240" w:lineRule="auto"/>
              <w:jc w:val="center"/>
              <w:rPr>
                <w:rFonts w:ascii="Calibri" w:eastAsia="Times New Roman" w:hAnsi="Calibri" w:cs="Arial"/>
                <w:b/>
                <w:color w:val="013161"/>
                <w:sz w:val="20"/>
              </w:rPr>
            </w:pPr>
            <w:r w:rsidRPr="0039644D">
              <w:rPr>
                <w:rFonts w:ascii="Calibri" w:eastAsia="Times New Roman" w:hAnsi="Calibri" w:cs="Arial"/>
                <w:b/>
                <w:color w:val="013161"/>
                <w:sz w:val="20"/>
              </w:rPr>
              <w:t>68.0</w:t>
            </w:r>
          </w:p>
        </w:tc>
        <w:tc>
          <w:tcPr>
            <w:tcW w:w="1080" w:type="dxa"/>
            <w:shd w:val="clear" w:color="auto" w:fill="auto"/>
            <w:noWrap/>
          </w:tcPr>
          <w:p w:rsidR="00D86A11" w:rsidRPr="0039644D" w:rsidRDefault="00D86A11" w:rsidP="00D86A11">
            <w:pPr>
              <w:spacing w:after="0" w:line="240" w:lineRule="auto"/>
              <w:jc w:val="center"/>
              <w:rPr>
                <w:rFonts w:ascii="Calibri" w:eastAsia="Times New Roman" w:hAnsi="Calibri" w:cs="Arial"/>
                <w:b/>
                <w:color w:val="013161"/>
                <w:sz w:val="20"/>
              </w:rPr>
            </w:pPr>
            <w:r w:rsidRPr="0039644D">
              <w:rPr>
                <w:rFonts w:ascii="Calibri" w:eastAsia="Times New Roman" w:hAnsi="Calibri" w:cs="Arial"/>
                <w:b/>
                <w:color w:val="013161"/>
                <w:sz w:val="20"/>
              </w:rPr>
              <w:t>69.5</w:t>
            </w:r>
          </w:p>
        </w:tc>
        <w:tc>
          <w:tcPr>
            <w:tcW w:w="1080" w:type="dxa"/>
            <w:shd w:val="clear" w:color="auto" w:fill="auto"/>
            <w:noWrap/>
          </w:tcPr>
          <w:p w:rsidR="00D86A11" w:rsidRPr="0039644D" w:rsidRDefault="00D86A11" w:rsidP="00D86A11">
            <w:pPr>
              <w:spacing w:after="0" w:line="240" w:lineRule="auto"/>
              <w:jc w:val="center"/>
              <w:rPr>
                <w:rFonts w:ascii="Calibri" w:eastAsia="Times New Roman" w:hAnsi="Calibri" w:cs="Arial"/>
                <w:b/>
                <w:color w:val="013161"/>
                <w:sz w:val="20"/>
              </w:rPr>
            </w:pPr>
            <w:r w:rsidRPr="0039644D">
              <w:rPr>
                <w:rFonts w:ascii="Calibri" w:eastAsia="Times New Roman" w:hAnsi="Calibri" w:cs="Arial"/>
                <w:b/>
                <w:color w:val="013161"/>
                <w:sz w:val="20"/>
              </w:rPr>
              <w:t>67.9</w:t>
            </w:r>
          </w:p>
        </w:tc>
        <w:tc>
          <w:tcPr>
            <w:tcW w:w="1134" w:type="dxa"/>
            <w:shd w:val="clear" w:color="auto" w:fill="auto"/>
            <w:noWrap/>
          </w:tcPr>
          <w:p w:rsidR="00D86A11" w:rsidRPr="0039644D" w:rsidRDefault="00D86A11" w:rsidP="00D86A11">
            <w:pPr>
              <w:spacing w:after="0" w:line="240" w:lineRule="auto"/>
              <w:jc w:val="center"/>
              <w:rPr>
                <w:rFonts w:ascii="Calibri" w:eastAsia="Times New Roman" w:hAnsi="Calibri" w:cs="Arial"/>
                <w:b/>
                <w:color w:val="013161"/>
                <w:sz w:val="20"/>
              </w:rPr>
            </w:pPr>
            <w:r w:rsidRPr="0039644D">
              <w:rPr>
                <w:rFonts w:ascii="Calibri" w:eastAsia="Times New Roman" w:hAnsi="Calibri" w:cs="Arial"/>
                <w:b/>
                <w:color w:val="013161"/>
                <w:sz w:val="20"/>
              </w:rPr>
              <w:t>67.9</w:t>
            </w:r>
          </w:p>
        </w:tc>
      </w:tr>
      <w:tr w:rsidR="00D86A11" w:rsidRPr="002E3D5C">
        <w:trPr>
          <w:trHeight w:val="279"/>
        </w:trPr>
        <w:tc>
          <w:tcPr>
            <w:tcW w:w="2934" w:type="dxa"/>
            <w:shd w:val="clear" w:color="auto" w:fill="DBE5F1"/>
            <w:noWrap/>
          </w:tcPr>
          <w:p w:rsidR="00D86A11" w:rsidRPr="0039644D" w:rsidRDefault="00D86A11" w:rsidP="00D86A11">
            <w:pPr>
              <w:spacing w:after="0" w:line="240" w:lineRule="auto"/>
              <w:rPr>
                <w:rFonts w:ascii="Calibri" w:eastAsia="Times New Roman" w:hAnsi="Calibri" w:cs="Arial"/>
                <w:b/>
                <w:color w:val="013161"/>
                <w:sz w:val="20"/>
              </w:rPr>
            </w:pPr>
            <w:r w:rsidRPr="0039644D">
              <w:rPr>
                <w:rFonts w:ascii="Calibri" w:eastAsia="Times New Roman" w:hAnsi="Calibri" w:cs="Arial"/>
                <w:b/>
                <w:color w:val="013161"/>
                <w:sz w:val="20"/>
              </w:rPr>
              <w:t>Timely dental exams (n)</w:t>
            </w:r>
          </w:p>
        </w:tc>
        <w:tc>
          <w:tcPr>
            <w:tcW w:w="1080" w:type="dxa"/>
            <w:shd w:val="clear" w:color="auto" w:fill="DBE5F1"/>
            <w:noWrap/>
          </w:tcPr>
          <w:p w:rsidR="00D86A11" w:rsidRPr="0039644D" w:rsidRDefault="00D86A11" w:rsidP="00D86A11">
            <w:pPr>
              <w:spacing w:after="0" w:line="240" w:lineRule="auto"/>
              <w:jc w:val="center"/>
              <w:rPr>
                <w:rFonts w:ascii="Calibri" w:eastAsia="Times New Roman" w:hAnsi="Calibri" w:cs="Arial"/>
                <w:b/>
                <w:color w:val="013161"/>
                <w:sz w:val="20"/>
              </w:rPr>
            </w:pPr>
            <w:r w:rsidRPr="0039644D">
              <w:rPr>
                <w:rFonts w:ascii="Calibri" w:eastAsia="Times New Roman" w:hAnsi="Calibri" w:cs="Arial"/>
                <w:b/>
                <w:color w:val="013161"/>
                <w:sz w:val="20"/>
              </w:rPr>
              <w:t>1,433</w:t>
            </w:r>
          </w:p>
        </w:tc>
        <w:tc>
          <w:tcPr>
            <w:tcW w:w="1080" w:type="dxa"/>
            <w:shd w:val="clear" w:color="auto" w:fill="DBE5F1"/>
            <w:noWrap/>
          </w:tcPr>
          <w:p w:rsidR="00D86A11" w:rsidRPr="0039644D" w:rsidRDefault="00D86A11" w:rsidP="00D86A11">
            <w:pPr>
              <w:spacing w:after="0" w:line="240" w:lineRule="auto"/>
              <w:jc w:val="center"/>
              <w:rPr>
                <w:rFonts w:ascii="Calibri" w:eastAsia="Times New Roman" w:hAnsi="Calibri" w:cs="Arial"/>
                <w:b/>
                <w:color w:val="013161"/>
                <w:sz w:val="20"/>
              </w:rPr>
            </w:pPr>
            <w:r w:rsidRPr="0039644D">
              <w:rPr>
                <w:rFonts w:ascii="Calibri" w:eastAsia="Times New Roman" w:hAnsi="Calibri" w:cs="Arial"/>
                <w:b/>
                <w:color w:val="013161"/>
                <w:sz w:val="20"/>
              </w:rPr>
              <w:t>1,311</w:t>
            </w:r>
          </w:p>
        </w:tc>
        <w:tc>
          <w:tcPr>
            <w:tcW w:w="1350" w:type="dxa"/>
            <w:shd w:val="clear" w:color="auto" w:fill="DBE5F1"/>
            <w:noWrap/>
          </w:tcPr>
          <w:p w:rsidR="00D86A11" w:rsidRPr="0039644D" w:rsidRDefault="00D86A11" w:rsidP="00D86A11">
            <w:pPr>
              <w:spacing w:after="0" w:line="240" w:lineRule="auto"/>
              <w:jc w:val="center"/>
              <w:rPr>
                <w:rFonts w:ascii="Calibri" w:eastAsia="Times New Roman" w:hAnsi="Calibri" w:cs="Arial"/>
                <w:b/>
                <w:color w:val="013161"/>
                <w:sz w:val="20"/>
              </w:rPr>
            </w:pPr>
            <w:r w:rsidRPr="0039644D">
              <w:rPr>
                <w:rFonts w:ascii="Calibri" w:eastAsia="Times New Roman" w:hAnsi="Calibri" w:cs="Arial"/>
                <w:b/>
                <w:color w:val="013161"/>
                <w:sz w:val="20"/>
              </w:rPr>
              <w:t>1,436</w:t>
            </w:r>
          </w:p>
        </w:tc>
        <w:tc>
          <w:tcPr>
            <w:tcW w:w="1080" w:type="dxa"/>
            <w:shd w:val="clear" w:color="auto" w:fill="DBE5F1"/>
            <w:noWrap/>
          </w:tcPr>
          <w:p w:rsidR="00D86A11" w:rsidRPr="0039644D" w:rsidRDefault="00D86A11" w:rsidP="00D86A11">
            <w:pPr>
              <w:spacing w:after="0" w:line="240" w:lineRule="auto"/>
              <w:jc w:val="center"/>
              <w:rPr>
                <w:rFonts w:ascii="Calibri" w:eastAsia="Times New Roman" w:hAnsi="Calibri" w:cs="Arial"/>
                <w:b/>
                <w:color w:val="013161"/>
                <w:sz w:val="20"/>
              </w:rPr>
            </w:pPr>
            <w:r w:rsidRPr="0039644D">
              <w:rPr>
                <w:rFonts w:ascii="Calibri" w:eastAsia="Times New Roman" w:hAnsi="Calibri" w:cs="Arial"/>
                <w:b/>
                <w:color w:val="013161"/>
                <w:sz w:val="20"/>
              </w:rPr>
              <w:t>1,462</w:t>
            </w:r>
          </w:p>
        </w:tc>
        <w:tc>
          <w:tcPr>
            <w:tcW w:w="1080" w:type="dxa"/>
            <w:shd w:val="clear" w:color="auto" w:fill="DBE5F1"/>
            <w:noWrap/>
          </w:tcPr>
          <w:p w:rsidR="00D86A11" w:rsidRPr="0039644D" w:rsidRDefault="00D86A11" w:rsidP="00D86A11">
            <w:pPr>
              <w:spacing w:after="0" w:line="240" w:lineRule="auto"/>
              <w:jc w:val="center"/>
              <w:rPr>
                <w:rFonts w:ascii="Calibri" w:eastAsia="Times New Roman" w:hAnsi="Calibri" w:cs="Arial"/>
                <w:b/>
                <w:color w:val="013161"/>
                <w:sz w:val="20"/>
              </w:rPr>
            </w:pPr>
            <w:r w:rsidRPr="0039644D">
              <w:rPr>
                <w:rFonts w:ascii="Calibri" w:eastAsia="Times New Roman" w:hAnsi="Calibri" w:cs="Arial"/>
                <w:b/>
                <w:color w:val="013161"/>
                <w:sz w:val="20"/>
              </w:rPr>
              <w:t>1,412</w:t>
            </w:r>
          </w:p>
        </w:tc>
        <w:tc>
          <w:tcPr>
            <w:tcW w:w="1134" w:type="dxa"/>
            <w:shd w:val="clear" w:color="auto" w:fill="DBE5F1"/>
            <w:noWrap/>
          </w:tcPr>
          <w:p w:rsidR="00D86A11" w:rsidRPr="0039644D" w:rsidRDefault="00D86A11" w:rsidP="00D86A11">
            <w:pPr>
              <w:spacing w:after="0" w:line="240" w:lineRule="auto"/>
              <w:jc w:val="center"/>
              <w:rPr>
                <w:rFonts w:ascii="Calibri" w:eastAsia="Times New Roman" w:hAnsi="Calibri" w:cs="Arial"/>
                <w:b/>
                <w:color w:val="013161"/>
                <w:sz w:val="20"/>
              </w:rPr>
            </w:pPr>
            <w:r w:rsidRPr="0039644D">
              <w:rPr>
                <w:rFonts w:ascii="Calibri" w:eastAsia="Times New Roman" w:hAnsi="Calibri" w:cs="Arial"/>
                <w:b/>
                <w:color w:val="013161"/>
                <w:sz w:val="20"/>
              </w:rPr>
              <w:t>1,339</w:t>
            </w:r>
          </w:p>
        </w:tc>
      </w:tr>
    </w:tbl>
    <w:p w:rsidR="00D86A11" w:rsidRPr="005217F6" w:rsidRDefault="00D86A11" w:rsidP="00D86A11">
      <w:pPr>
        <w:pStyle w:val="Heading1"/>
        <w:rPr>
          <w:color w:val="2E7029"/>
          <w:sz w:val="24"/>
        </w:rPr>
      </w:pPr>
      <w:r w:rsidRPr="005217F6">
        <w:rPr>
          <w:color w:val="2E7029"/>
          <w:sz w:val="24"/>
        </w:rPr>
        <w:t>Analysis</w:t>
      </w:r>
    </w:p>
    <w:p w:rsidR="00D86A11" w:rsidRPr="00FD0076" w:rsidRDefault="00D86A11" w:rsidP="00D86A11">
      <w:pPr>
        <w:spacing w:after="0"/>
        <w:rPr>
          <w:rFonts w:ascii="Franklin Gothic Book" w:hAnsi="Franklin Gothic Book"/>
          <w:color w:val="auto"/>
          <w:spacing w:val="20"/>
          <w:szCs w:val="22"/>
        </w:rPr>
      </w:pPr>
      <w:r w:rsidRPr="00FD0076">
        <w:rPr>
          <w:rFonts w:ascii="Franklin Gothic Book" w:hAnsi="Franklin Gothic Book"/>
          <w:b/>
          <w:color w:val="auto"/>
          <w:spacing w:val="20"/>
          <w:szCs w:val="22"/>
        </w:rPr>
        <w:t>Trends:</w:t>
      </w:r>
      <w:r w:rsidRPr="00FD0076">
        <w:rPr>
          <w:rFonts w:ascii="Franklin Gothic Book" w:hAnsi="Franklin Gothic Book"/>
          <w:color w:val="auto"/>
          <w:spacing w:val="20"/>
          <w:szCs w:val="22"/>
        </w:rPr>
        <w:t xml:space="preserve"> The rate of timely health exams dropped by 2.7 percentage points between Quarter 4 2014 and Quarter 4 2015, however because the data are just for one quarter they may not reflect a trend that was consistent across the whole year. </w:t>
      </w:r>
      <w:r>
        <w:rPr>
          <w:rFonts w:ascii="Franklin Gothic Book" w:hAnsi="Franklin Gothic Book"/>
          <w:color w:val="auto"/>
          <w:spacing w:val="20"/>
          <w:szCs w:val="22"/>
        </w:rPr>
        <w:t>The County of San Diego</w:t>
      </w:r>
      <w:r w:rsidRPr="00FD0076">
        <w:rPr>
          <w:rFonts w:ascii="Franklin Gothic Book" w:hAnsi="Franklin Gothic Book"/>
          <w:color w:val="auto"/>
          <w:spacing w:val="20"/>
          <w:szCs w:val="22"/>
        </w:rPr>
        <w:t xml:space="preserve">’s rate of 89.9% is higher than the State’s rate of 83.2%. The County’s rate of timely dental exams has increased slightly from 2010 but has been relatively flat. </w:t>
      </w:r>
      <w:r>
        <w:rPr>
          <w:rFonts w:ascii="Franklin Gothic Book" w:hAnsi="Franklin Gothic Book"/>
          <w:color w:val="auto"/>
          <w:spacing w:val="20"/>
          <w:szCs w:val="22"/>
        </w:rPr>
        <w:t>The County of San Diego</w:t>
      </w:r>
      <w:r w:rsidRPr="00FD0076">
        <w:rPr>
          <w:rFonts w:ascii="Franklin Gothic Book" w:hAnsi="Franklin Gothic Book"/>
          <w:color w:val="auto"/>
          <w:spacing w:val="20"/>
          <w:szCs w:val="22"/>
        </w:rPr>
        <w:t xml:space="preserve">’s rate of 67.9% is 11 percentage points higher than the State’s rate of 56.7%. </w:t>
      </w:r>
    </w:p>
    <w:p w:rsidR="00D86A11" w:rsidRPr="00FD0076" w:rsidRDefault="00D86A11" w:rsidP="00D86A11">
      <w:pPr>
        <w:spacing w:before="240" w:after="0"/>
        <w:rPr>
          <w:rFonts w:ascii="Franklin Gothic Book" w:hAnsi="Franklin Gothic Book"/>
          <w:b/>
          <w:color w:val="auto"/>
          <w:spacing w:val="20"/>
          <w:szCs w:val="22"/>
        </w:rPr>
      </w:pPr>
      <w:r w:rsidRPr="00FD0076">
        <w:rPr>
          <w:rFonts w:ascii="Franklin Gothic Book" w:hAnsi="Franklin Gothic Book"/>
          <w:b/>
          <w:color w:val="auto"/>
          <w:spacing w:val="20"/>
          <w:szCs w:val="22"/>
        </w:rPr>
        <w:t>Race/Ethnicity:</w:t>
      </w:r>
      <w:r w:rsidRPr="00FD0076">
        <w:rPr>
          <w:rFonts w:ascii="Franklin Gothic Book" w:hAnsi="Franklin Gothic Book"/>
          <w:color w:val="auto"/>
          <w:spacing w:val="20"/>
          <w:szCs w:val="22"/>
        </w:rPr>
        <w:t xml:space="preserve"> In Q4, 2015, the rate of children who received a timely health exam ranged from 86.0% for Native American children to 94.6% for Asian/PI children. Native American children had a much lower rate of timely dental exams (56.7%), than children of other race ethnicities for which the rate ranged from 66.2% for Black children to 74.1% for Asian/PI children. </w:t>
      </w:r>
    </w:p>
    <w:p w:rsidR="00D86A11" w:rsidRPr="00FD0076" w:rsidRDefault="00D86A11" w:rsidP="00D86A11">
      <w:pPr>
        <w:spacing w:before="240" w:after="0"/>
        <w:rPr>
          <w:rFonts w:ascii="Franklin Gothic Book" w:hAnsi="Franklin Gothic Book"/>
          <w:color w:val="auto"/>
          <w:spacing w:val="20"/>
          <w:szCs w:val="22"/>
        </w:rPr>
      </w:pPr>
      <w:r w:rsidRPr="00FD0076">
        <w:rPr>
          <w:rFonts w:ascii="Franklin Gothic Book" w:hAnsi="Franklin Gothic Book"/>
          <w:b/>
          <w:color w:val="auto"/>
          <w:spacing w:val="20"/>
          <w:szCs w:val="22"/>
        </w:rPr>
        <w:t>Age:</w:t>
      </w:r>
      <w:r w:rsidRPr="00FD0076">
        <w:rPr>
          <w:rFonts w:ascii="Franklin Gothic Book" w:hAnsi="Franklin Gothic Book"/>
          <w:color w:val="auto"/>
          <w:spacing w:val="20"/>
          <w:szCs w:val="22"/>
        </w:rPr>
        <w:t xml:space="preserve"> In Q4, 2015, 16-17 year olds had the highest rate of timely health exams at 97.0%, followed by 11-15 year olds at 96.5%, 6-10 year olds at 94.4%, 18-20 year olds at 89.7%, 3-5 year olds at 88.4%, 1-2 year olds at 82.6%, and children under the age of one at 79.7%. For timely dental exams, 16-17 year olds had the highest rate at 88.6%, followed by 11-15 year olds at 81.1%, 6-10 year olds at 76.4%, and 3-5 year olds at 68.8%. Timely dental exams are not tracked for children under the age of three. </w:t>
      </w:r>
    </w:p>
    <w:p w:rsidR="00D86A11" w:rsidRPr="00DA45E2" w:rsidRDefault="00D86A11" w:rsidP="00D86A11">
      <w:pPr>
        <w:pStyle w:val="Heading3"/>
        <w:spacing w:line="276" w:lineRule="auto"/>
        <w:rPr>
          <w:b w:val="0"/>
          <w:color w:val="auto"/>
          <w:sz w:val="22"/>
        </w:rPr>
      </w:pPr>
      <w:r w:rsidRPr="00DA45E2">
        <w:rPr>
          <w:b w:val="0"/>
          <w:color w:val="auto"/>
          <w:sz w:val="22"/>
        </w:rPr>
        <w:t xml:space="preserve">The County recognizes that these rates should be higher and CWS and Public Health Nursing recently established a Public Health Quality Improvement Project </w:t>
      </w:r>
      <w:r w:rsidRPr="00DA45E2">
        <w:rPr>
          <w:b w:val="0"/>
          <w:color w:val="auto"/>
          <w:sz w:val="22"/>
        </w:rPr>
        <w:lastRenderedPageBreak/>
        <w:t xml:space="preserve">Linking Foster Children to Medical and Dental Care. An in-depth review will be conducted including process mapping for each region and a survey of caregivers. The results will lead to the development and implementation of a plan to improve these outcomes. </w:t>
      </w:r>
    </w:p>
    <w:p w:rsidR="001D1803" w:rsidRDefault="001D1803">
      <w:pPr>
        <w:spacing w:after="0" w:line="240" w:lineRule="auto"/>
        <w:rPr>
          <w:rFonts w:ascii="Franklin Gothic Book" w:hAnsi="Franklin Gothic Book"/>
          <w:b/>
          <w:color w:val="F6872B"/>
          <w:spacing w:val="20"/>
          <w:sz w:val="24"/>
          <w:szCs w:val="28"/>
        </w:rPr>
      </w:pPr>
      <w:r>
        <w:rPr>
          <w:rFonts w:ascii="Franklin Gothic Book" w:hAnsi="Franklin Gothic Book"/>
          <w:b/>
          <w:color w:val="F6872B"/>
          <w:spacing w:val="20"/>
          <w:sz w:val="24"/>
          <w:szCs w:val="28"/>
        </w:rPr>
        <w:br w:type="page"/>
      </w:r>
    </w:p>
    <w:p w:rsidR="00D86A11" w:rsidRPr="005217F6" w:rsidRDefault="00D86A11" w:rsidP="00D86A11">
      <w:pPr>
        <w:spacing w:after="0"/>
        <w:contextualSpacing/>
        <w:rPr>
          <w:rFonts w:ascii="Franklin Gothic Book" w:hAnsi="Franklin Gothic Book"/>
          <w:b/>
          <w:color w:val="F6872B"/>
          <w:spacing w:val="20"/>
          <w:sz w:val="24"/>
          <w:szCs w:val="28"/>
        </w:rPr>
      </w:pPr>
      <w:r w:rsidRPr="005217F6">
        <w:rPr>
          <w:rFonts w:ascii="Franklin Gothic Book" w:hAnsi="Franklin Gothic Book"/>
          <w:b/>
          <w:color w:val="F6872B"/>
          <w:spacing w:val="20"/>
          <w:sz w:val="24"/>
          <w:szCs w:val="28"/>
        </w:rPr>
        <w:lastRenderedPageBreak/>
        <w:t xml:space="preserve">5F Authorized for Psychotropic Medication </w:t>
      </w:r>
    </w:p>
    <w:tbl>
      <w:tblPr>
        <w:tblW w:w="9558" w:type="dxa"/>
        <w:tblBorders>
          <w:top w:val="single" w:sz="18" w:space="0" w:color="F6872B"/>
          <w:bottom w:val="single" w:sz="18" w:space="0" w:color="F6872B"/>
        </w:tblBorders>
        <w:tblLook w:val="04A0" w:firstRow="1" w:lastRow="0" w:firstColumn="1" w:lastColumn="0" w:noHBand="0" w:noVBand="1"/>
      </w:tblPr>
      <w:tblGrid>
        <w:gridCol w:w="3150"/>
        <w:gridCol w:w="1156"/>
        <w:gridCol w:w="1156"/>
        <w:gridCol w:w="1036"/>
        <w:gridCol w:w="990"/>
        <w:gridCol w:w="1080"/>
        <w:gridCol w:w="990"/>
      </w:tblGrid>
      <w:tr w:rsidR="00D86A11" w:rsidRPr="002E3D5C">
        <w:trPr>
          <w:trHeight w:val="720"/>
        </w:trPr>
        <w:tc>
          <w:tcPr>
            <w:tcW w:w="9558" w:type="dxa"/>
            <w:gridSpan w:val="7"/>
            <w:shd w:val="clear" w:color="auto" w:fill="013161"/>
            <w:noWrap/>
          </w:tcPr>
          <w:p w:rsidR="00D86A11" w:rsidRPr="00F63703" w:rsidRDefault="00D86A11" w:rsidP="00D86A11">
            <w:pPr>
              <w:spacing w:after="0"/>
              <w:jc w:val="center"/>
              <w:rPr>
                <w:rFonts w:ascii="Calibri" w:hAnsi="Calibri" w:cs="Calibri"/>
                <w:b/>
                <w:color w:val="FFFFFF"/>
                <w:sz w:val="24"/>
              </w:rPr>
            </w:pPr>
            <w:r w:rsidRPr="00F63703">
              <w:rPr>
                <w:rFonts w:ascii="Calibri" w:hAnsi="Calibri" w:cs="Calibri"/>
                <w:b/>
                <w:color w:val="FFFFFF"/>
                <w:sz w:val="24"/>
              </w:rPr>
              <w:t>Exhibit 75. County of San Diego Children, Age 0-17, Authorized for Psychotropic Medication</w:t>
            </w:r>
            <w:r>
              <w:rPr>
                <w:rFonts w:ascii="Calibri" w:hAnsi="Calibri" w:cs="Calibri"/>
                <w:b/>
                <w:color w:val="FFFFFF"/>
                <w:sz w:val="24"/>
              </w:rPr>
              <w:t xml:space="preserve"> (Calendar Year)</w:t>
            </w:r>
          </w:p>
          <w:p w:rsidR="00D86A11" w:rsidRPr="000055D1" w:rsidRDefault="00D86A11" w:rsidP="00D86A11">
            <w:pPr>
              <w:spacing w:after="0"/>
              <w:jc w:val="center"/>
              <w:rPr>
                <w:rFonts w:ascii="Calibri" w:hAnsi="Calibri" w:cs="Calibri"/>
                <w:sz w:val="20"/>
              </w:rPr>
            </w:pPr>
            <w:r w:rsidRPr="00F63703">
              <w:rPr>
                <w:rFonts w:ascii="Calibri" w:hAnsi="Calibri" w:cs="Calibri"/>
                <w:color w:val="FFFFFF"/>
              </w:rPr>
              <w:t>California at 10.2%</w:t>
            </w:r>
          </w:p>
        </w:tc>
      </w:tr>
      <w:tr w:rsidR="00D86A11" w:rsidRPr="002E3D5C">
        <w:trPr>
          <w:trHeight w:val="262"/>
        </w:trPr>
        <w:tc>
          <w:tcPr>
            <w:tcW w:w="3150" w:type="dxa"/>
            <w:shd w:val="clear" w:color="auto" w:fill="013161"/>
            <w:noWrap/>
          </w:tcPr>
          <w:p w:rsidR="00D86A11" w:rsidRPr="00721EF1" w:rsidRDefault="00D86A11" w:rsidP="00D86A11">
            <w:pPr>
              <w:spacing w:after="0"/>
              <w:rPr>
                <w:rFonts w:ascii="Calibri" w:hAnsi="Calibri" w:cs="Calibri"/>
                <w:b/>
                <w:color w:val="FFFFFF"/>
                <w:sz w:val="20"/>
              </w:rPr>
            </w:pPr>
          </w:p>
        </w:tc>
        <w:tc>
          <w:tcPr>
            <w:tcW w:w="1156" w:type="dxa"/>
            <w:shd w:val="clear" w:color="auto" w:fill="013161"/>
            <w:noWrap/>
          </w:tcPr>
          <w:p w:rsidR="00D86A11" w:rsidRPr="00D10D14" w:rsidRDefault="00D86A11" w:rsidP="00D86A11">
            <w:pPr>
              <w:spacing w:after="0"/>
              <w:jc w:val="center"/>
              <w:rPr>
                <w:rFonts w:ascii="Calibri" w:hAnsi="Calibri" w:cs="Calibri"/>
                <w:b/>
                <w:color w:val="FFFFFF"/>
              </w:rPr>
            </w:pPr>
            <w:r w:rsidRPr="00D10D14">
              <w:rPr>
                <w:rFonts w:ascii="Calibri" w:eastAsia="Times New Roman" w:hAnsi="Calibri" w:cs="Arial"/>
                <w:b/>
                <w:color w:val="FFFFFF"/>
              </w:rPr>
              <w:t>Q4 2010</w:t>
            </w:r>
          </w:p>
        </w:tc>
        <w:tc>
          <w:tcPr>
            <w:tcW w:w="1156" w:type="dxa"/>
            <w:shd w:val="clear" w:color="auto" w:fill="013161"/>
            <w:noWrap/>
          </w:tcPr>
          <w:p w:rsidR="00D86A11" w:rsidRPr="00D10D14" w:rsidRDefault="00D86A11" w:rsidP="00D86A11">
            <w:pPr>
              <w:spacing w:after="0"/>
              <w:jc w:val="center"/>
              <w:rPr>
                <w:rFonts w:ascii="Calibri" w:hAnsi="Calibri" w:cs="Calibri"/>
                <w:b/>
                <w:color w:val="FFFFFF"/>
              </w:rPr>
            </w:pPr>
            <w:r w:rsidRPr="00D10D14">
              <w:rPr>
                <w:rFonts w:ascii="Calibri" w:eastAsia="Times New Roman" w:hAnsi="Calibri" w:cs="Arial"/>
                <w:b/>
                <w:color w:val="FFFFFF"/>
              </w:rPr>
              <w:t>Q4 2011</w:t>
            </w:r>
          </w:p>
        </w:tc>
        <w:tc>
          <w:tcPr>
            <w:tcW w:w="1036" w:type="dxa"/>
            <w:shd w:val="clear" w:color="auto" w:fill="013161"/>
            <w:noWrap/>
          </w:tcPr>
          <w:p w:rsidR="00D86A11" w:rsidRPr="00D10D14" w:rsidRDefault="00D86A11" w:rsidP="00D86A11">
            <w:pPr>
              <w:spacing w:after="0"/>
              <w:jc w:val="center"/>
              <w:rPr>
                <w:rFonts w:ascii="Calibri" w:hAnsi="Calibri" w:cs="Calibri"/>
                <w:b/>
                <w:color w:val="FFFFFF"/>
              </w:rPr>
            </w:pPr>
            <w:r w:rsidRPr="00D10D14">
              <w:rPr>
                <w:rFonts w:ascii="Calibri" w:eastAsia="Times New Roman" w:hAnsi="Calibri" w:cs="Arial"/>
                <w:b/>
                <w:color w:val="FFFFFF"/>
              </w:rPr>
              <w:t>Q4 2012</w:t>
            </w:r>
          </w:p>
        </w:tc>
        <w:tc>
          <w:tcPr>
            <w:tcW w:w="990" w:type="dxa"/>
            <w:shd w:val="clear" w:color="auto" w:fill="013161"/>
            <w:noWrap/>
          </w:tcPr>
          <w:p w:rsidR="00D86A11" w:rsidRPr="00D10D14" w:rsidRDefault="00D86A11" w:rsidP="00D86A11">
            <w:pPr>
              <w:spacing w:after="0"/>
              <w:jc w:val="center"/>
              <w:rPr>
                <w:rFonts w:ascii="Calibri" w:hAnsi="Calibri" w:cs="Calibri"/>
                <w:b/>
                <w:color w:val="FFFFFF"/>
              </w:rPr>
            </w:pPr>
            <w:r w:rsidRPr="00D10D14">
              <w:rPr>
                <w:rFonts w:ascii="Calibri" w:eastAsia="Times New Roman" w:hAnsi="Calibri" w:cs="Arial"/>
                <w:b/>
                <w:color w:val="FFFFFF"/>
              </w:rPr>
              <w:t>Q4 2013</w:t>
            </w:r>
          </w:p>
        </w:tc>
        <w:tc>
          <w:tcPr>
            <w:tcW w:w="1080" w:type="dxa"/>
            <w:shd w:val="clear" w:color="auto" w:fill="013161"/>
            <w:noWrap/>
          </w:tcPr>
          <w:p w:rsidR="00D86A11" w:rsidRPr="00D10D14" w:rsidRDefault="00D86A11" w:rsidP="00D86A11">
            <w:pPr>
              <w:spacing w:after="0"/>
              <w:jc w:val="center"/>
              <w:rPr>
                <w:rFonts w:ascii="Calibri" w:hAnsi="Calibri" w:cs="Calibri"/>
                <w:b/>
                <w:color w:val="FFFFFF"/>
              </w:rPr>
            </w:pPr>
            <w:r w:rsidRPr="00D10D14">
              <w:rPr>
                <w:rFonts w:ascii="Calibri" w:eastAsia="Times New Roman" w:hAnsi="Calibri" w:cs="Arial"/>
                <w:b/>
                <w:color w:val="FFFFFF"/>
              </w:rPr>
              <w:t>Q4 2014</w:t>
            </w:r>
          </w:p>
        </w:tc>
        <w:tc>
          <w:tcPr>
            <w:tcW w:w="990" w:type="dxa"/>
            <w:shd w:val="clear" w:color="auto" w:fill="013161"/>
            <w:noWrap/>
          </w:tcPr>
          <w:p w:rsidR="00D86A11" w:rsidRPr="00D10D14" w:rsidRDefault="00D86A11" w:rsidP="00D86A11">
            <w:pPr>
              <w:spacing w:after="0"/>
              <w:jc w:val="center"/>
              <w:rPr>
                <w:rFonts w:ascii="Calibri" w:hAnsi="Calibri" w:cs="Calibri"/>
                <w:b/>
                <w:color w:val="FFFFFF"/>
              </w:rPr>
            </w:pPr>
            <w:r w:rsidRPr="00D10D14">
              <w:rPr>
                <w:rFonts w:ascii="Calibri" w:eastAsia="Times New Roman" w:hAnsi="Calibri" w:cs="Arial"/>
                <w:b/>
                <w:color w:val="FFFFFF"/>
              </w:rPr>
              <w:t>Q4 2015</w:t>
            </w:r>
          </w:p>
        </w:tc>
      </w:tr>
      <w:tr w:rsidR="00D86A11" w:rsidRPr="002E3D5C">
        <w:trPr>
          <w:trHeight w:val="262"/>
        </w:trPr>
        <w:tc>
          <w:tcPr>
            <w:tcW w:w="3150" w:type="dxa"/>
            <w:shd w:val="clear" w:color="auto" w:fill="auto"/>
            <w:noWrap/>
          </w:tcPr>
          <w:p w:rsidR="00D86A11" w:rsidRPr="00E415BF" w:rsidRDefault="00D86A11" w:rsidP="00D86A11">
            <w:pPr>
              <w:spacing w:after="0"/>
              <w:rPr>
                <w:rFonts w:ascii="Calibri" w:hAnsi="Calibri" w:cs="Calibri"/>
                <w:b/>
                <w:color w:val="013161"/>
                <w:sz w:val="20"/>
              </w:rPr>
            </w:pPr>
            <w:r w:rsidRPr="00E415BF">
              <w:rPr>
                <w:rFonts w:ascii="Calibri" w:hAnsi="Calibri" w:cs="Calibri"/>
                <w:b/>
                <w:color w:val="013161"/>
                <w:sz w:val="20"/>
              </w:rPr>
              <w:t>Authorized for psychotropic medication (%)</w:t>
            </w:r>
          </w:p>
        </w:tc>
        <w:tc>
          <w:tcPr>
            <w:tcW w:w="1156" w:type="dxa"/>
            <w:shd w:val="clear" w:color="auto" w:fill="auto"/>
            <w:noWrap/>
          </w:tcPr>
          <w:p w:rsidR="00D86A11" w:rsidRPr="000055D1" w:rsidRDefault="00D86A11" w:rsidP="00D86A11">
            <w:pPr>
              <w:spacing w:after="0"/>
              <w:jc w:val="center"/>
              <w:rPr>
                <w:rFonts w:ascii="Calibri" w:hAnsi="Calibri" w:cs="Calibri"/>
                <w:b/>
                <w:color w:val="013161"/>
                <w:sz w:val="20"/>
              </w:rPr>
            </w:pPr>
            <w:r w:rsidRPr="000055D1">
              <w:rPr>
                <w:rFonts w:ascii="Calibri" w:hAnsi="Calibri" w:cs="Calibri"/>
                <w:b/>
                <w:color w:val="013161"/>
                <w:sz w:val="20"/>
              </w:rPr>
              <w:t>14.1</w:t>
            </w:r>
          </w:p>
        </w:tc>
        <w:tc>
          <w:tcPr>
            <w:tcW w:w="1156" w:type="dxa"/>
            <w:shd w:val="clear" w:color="auto" w:fill="auto"/>
            <w:noWrap/>
          </w:tcPr>
          <w:p w:rsidR="00D86A11" w:rsidRPr="000055D1" w:rsidRDefault="00D86A11" w:rsidP="00D86A11">
            <w:pPr>
              <w:spacing w:after="0"/>
              <w:jc w:val="center"/>
              <w:rPr>
                <w:rFonts w:ascii="Calibri" w:hAnsi="Calibri" w:cs="Calibri"/>
                <w:b/>
                <w:color w:val="013161"/>
                <w:sz w:val="20"/>
              </w:rPr>
            </w:pPr>
            <w:r w:rsidRPr="000055D1">
              <w:rPr>
                <w:rFonts w:ascii="Calibri" w:hAnsi="Calibri" w:cs="Calibri"/>
                <w:b/>
                <w:color w:val="013161"/>
                <w:sz w:val="20"/>
              </w:rPr>
              <w:t>12.7</w:t>
            </w:r>
          </w:p>
        </w:tc>
        <w:tc>
          <w:tcPr>
            <w:tcW w:w="1036" w:type="dxa"/>
            <w:shd w:val="clear" w:color="auto" w:fill="auto"/>
            <w:noWrap/>
          </w:tcPr>
          <w:p w:rsidR="00D86A11" w:rsidRPr="000055D1" w:rsidRDefault="00D86A11" w:rsidP="00D86A11">
            <w:pPr>
              <w:spacing w:after="0"/>
              <w:jc w:val="center"/>
              <w:rPr>
                <w:rFonts w:ascii="Calibri" w:hAnsi="Calibri" w:cs="Calibri"/>
                <w:b/>
                <w:color w:val="013161"/>
                <w:sz w:val="20"/>
              </w:rPr>
            </w:pPr>
            <w:r w:rsidRPr="000055D1">
              <w:rPr>
                <w:rFonts w:ascii="Calibri" w:hAnsi="Calibri" w:cs="Calibri"/>
                <w:b/>
                <w:color w:val="013161"/>
                <w:sz w:val="20"/>
              </w:rPr>
              <w:t>12.2</w:t>
            </w:r>
          </w:p>
        </w:tc>
        <w:tc>
          <w:tcPr>
            <w:tcW w:w="990" w:type="dxa"/>
            <w:shd w:val="clear" w:color="auto" w:fill="auto"/>
            <w:noWrap/>
          </w:tcPr>
          <w:p w:rsidR="00D86A11" w:rsidRPr="000055D1" w:rsidRDefault="00D86A11" w:rsidP="00D86A11">
            <w:pPr>
              <w:spacing w:after="0"/>
              <w:jc w:val="center"/>
              <w:rPr>
                <w:rFonts w:ascii="Calibri" w:hAnsi="Calibri" w:cs="Calibri"/>
                <w:b/>
                <w:color w:val="013161"/>
                <w:sz w:val="20"/>
              </w:rPr>
            </w:pPr>
            <w:r w:rsidRPr="000055D1">
              <w:rPr>
                <w:rFonts w:ascii="Calibri" w:hAnsi="Calibri" w:cs="Calibri"/>
                <w:b/>
                <w:color w:val="013161"/>
                <w:sz w:val="20"/>
              </w:rPr>
              <w:t>11.8</w:t>
            </w:r>
          </w:p>
        </w:tc>
        <w:tc>
          <w:tcPr>
            <w:tcW w:w="1080" w:type="dxa"/>
            <w:shd w:val="clear" w:color="auto" w:fill="auto"/>
            <w:noWrap/>
          </w:tcPr>
          <w:p w:rsidR="00D86A11" w:rsidRPr="000055D1" w:rsidRDefault="00D86A11" w:rsidP="00D86A11">
            <w:pPr>
              <w:spacing w:after="0"/>
              <w:jc w:val="center"/>
              <w:rPr>
                <w:rFonts w:ascii="Calibri" w:hAnsi="Calibri" w:cs="Calibri"/>
                <w:b/>
                <w:color w:val="013161"/>
                <w:sz w:val="20"/>
              </w:rPr>
            </w:pPr>
            <w:r w:rsidRPr="000055D1">
              <w:rPr>
                <w:rFonts w:ascii="Calibri" w:hAnsi="Calibri" w:cs="Calibri"/>
                <w:b/>
                <w:color w:val="013161"/>
                <w:sz w:val="20"/>
              </w:rPr>
              <w:t>10.5</w:t>
            </w:r>
          </w:p>
        </w:tc>
        <w:tc>
          <w:tcPr>
            <w:tcW w:w="990" w:type="dxa"/>
            <w:shd w:val="clear" w:color="auto" w:fill="auto"/>
            <w:noWrap/>
          </w:tcPr>
          <w:p w:rsidR="00D86A11" w:rsidRPr="000055D1" w:rsidRDefault="00D86A11" w:rsidP="00D86A11">
            <w:pPr>
              <w:spacing w:after="0"/>
              <w:jc w:val="center"/>
              <w:rPr>
                <w:rFonts w:ascii="Calibri" w:hAnsi="Calibri" w:cs="Calibri"/>
                <w:b/>
                <w:color w:val="013161"/>
                <w:sz w:val="20"/>
              </w:rPr>
            </w:pPr>
            <w:r w:rsidRPr="000055D1">
              <w:rPr>
                <w:rFonts w:ascii="Calibri" w:hAnsi="Calibri" w:cs="Calibri"/>
                <w:b/>
                <w:color w:val="013161"/>
                <w:sz w:val="20"/>
              </w:rPr>
              <w:t>10.6</w:t>
            </w:r>
          </w:p>
        </w:tc>
      </w:tr>
      <w:tr w:rsidR="00D86A11" w:rsidRPr="002E3D5C">
        <w:trPr>
          <w:trHeight w:val="262"/>
        </w:trPr>
        <w:tc>
          <w:tcPr>
            <w:tcW w:w="3150" w:type="dxa"/>
            <w:shd w:val="clear" w:color="auto" w:fill="DBE5F1"/>
            <w:noWrap/>
          </w:tcPr>
          <w:p w:rsidR="00D86A11" w:rsidRPr="00E415BF" w:rsidRDefault="00D86A11" w:rsidP="00D86A11">
            <w:pPr>
              <w:spacing w:after="0"/>
              <w:rPr>
                <w:rFonts w:ascii="Calibri" w:hAnsi="Calibri" w:cs="Calibri"/>
                <w:b/>
                <w:color w:val="013161"/>
                <w:sz w:val="20"/>
              </w:rPr>
            </w:pPr>
            <w:r w:rsidRPr="00E415BF">
              <w:rPr>
                <w:rFonts w:ascii="Calibri" w:hAnsi="Calibri" w:cs="Calibri"/>
                <w:b/>
                <w:color w:val="013161"/>
                <w:sz w:val="20"/>
              </w:rPr>
              <w:t>Authorized for psychotropic medication (n)</w:t>
            </w:r>
          </w:p>
        </w:tc>
        <w:tc>
          <w:tcPr>
            <w:tcW w:w="1156" w:type="dxa"/>
            <w:shd w:val="clear" w:color="auto" w:fill="DBE5F1"/>
            <w:noWrap/>
          </w:tcPr>
          <w:p w:rsidR="00D86A11" w:rsidRPr="000055D1" w:rsidRDefault="00D86A11" w:rsidP="00D86A11">
            <w:pPr>
              <w:spacing w:after="0"/>
              <w:jc w:val="center"/>
              <w:rPr>
                <w:rFonts w:ascii="Calibri" w:hAnsi="Calibri" w:cs="Calibri"/>
                <w:b/>
                <w:color w:val="013161"/>
                <w:sz w:val="20"/>
              </w:rPr>
            </w:pPr>
            <w:r w:rsidRPr="000055D1">
              <w:rPr>
                <w:rFonts w:ascii="Calibri" w:hAnsi="Calibri" w:cs="Calibri"/>
                <w:b/>
                <w:color w:val="013161"/>
                <w:sz w:val="20"/>
              </w:rPr>
              <w:t>518</w:t>
            </w:r>
          </w:p>
        </w:tc>
        <w:tc>
          <w:tcPr>
            <w:tcW w:w="1156" w:type="dxa"/>
            <w:shd w:val="clear" w:color="auto" w:fill="DBE5F1"/>
            <w:noWrap/>
          </w:tcPr>
          <w:p w:rsidR="00D86A11" w:rsidRPr="000055D1" w:rsidRDefault="00D86A11" w:rsidP="00D86A11">
            <w:pPr>
              <w:spacing w:after="0"/>
              <w:jc w:val="center"/>
              <w:rPr>
                <w:rFonts w:ascii="Calibri" w:hAnsi="Calibri" w:cs="Calibri"/>
                <w:b/>
                <w:color w:val="013161"/>
                <w:sz w:val="20"/>
              </w:rPr>
            </w:pPr>
            <w:r w:rsidRPr="000055D1">
              <w:rPr>
                <w:rFonts w:ascii="Calibri" w:hAnsi="Calibri" w:cs="Calibri"/>
                <w:b/>
                <w:color w:val="013161"/>
                <w:sz w:val="20"/>
              </w:rPr>
              <w:t>443</w:t>
            </w:r>
          </w:p>
        </w:tc>
        <w:tc>
          <w:tcPr>
            <w:tcW w:w="1036" w:type="dxa"/>
            <w:shd w:val="clear" w:color="auto" w:fill="DBE5F1"/>
            <w:noWrap/>
          </w:tcPr>
          <w:p w:rsidR="00D86A11" w:rsidRPr="000055D1" w:rsidRDefault="00D86A11" w:rsidP="00D86A11">
            <w:pPr>
              <w:spacing w:after="0"/>
              <w:jc w:val="center"/>
              <w:rPr>
                <w:rFonts w:ascii="Calibri" w:hAnsi="Calibri" w:cs="Calibri"/>
                <w:b/>
                <w:color w:val="013161"/>
                <w:sz w:val="20"/>
              </w:rPr>
            </w:pPr>
            <w:r w:rsidRPr="000055D1">
              <w:rPr>
                <w:rFonts w:ascii="Calibri" w:hAnsi="Calibri" w:cs="Calibri"/>
                <w:b/>
                <w:color w:val="013161"/>
                <w:sz w:val="20"/>
              </w:rPr>
              <w:t>406</w:t>
            </w:r>
          </w:p>
        </w:tc>
        <w:tc>
          <w:tcPr>
            <w:tcW w:w="990" w:type="dxa"/>
            <w:shd w:val="clear" w:color="auto" w:fill="DBE5F1"/>
            <w:noWrap/>
          </w:tcPr>
          <w:p w:rsidR="00D86A11" w:rsidRPr="000055D1" w:rsidRDefault="00D86A11" w:rsidP="00D86A11">
            <w:pPr>
              <w:spacing w:after="0"/>
              <w:jc w:val="center"/>
              <w:rPr>
                <w:rFonts w:ascii="Calibri" w:hAnsi="Calibri" w:cs="Calibri"/>
                <w:b/>
                <w:color w:val="013161"/>
                <w:sz w:val="20"/>
              </w:rPr>
            </w:pPr>
            <w:r w:rsidRPr="000055D1">
              <w:rPr>
                <w:rFonts w:ascii="Calibri" w:hAnsi="Calibri" w:cs="Calibri"/>
                <w:b/>
                <w:color w:val="013161"/>
                <w:sz w:val="20"/>
              </w:rPr>
              <w:t>372</w:t>
            </w:r>
          </w:p>
        </w:tc>
        <w:tc>
          <w:tcPr>
            <w:tcW w:w="1080" w:type="dxa"/>
            <w:shd w:val="clear" w:color="auto" w:fill="DBE5F1"/>
            <w:noWrap/>
          </w:tcPr>
          <w:p w:rsidR="00D86A11" w:rsidRPr="000055D1" w:rsidRDefault="00D86A11" w:rsidP="00D86A11">
            <w:pPr>
              <w:spacing w:after="0"/>
              <w:jc w:val="center"/>
              <w:rPr>
                <w:rFonts w:ascii="Calibri" w:hAnsi="Calibri" w:cs="Calibri"/>
                <w:b/>
                <w:color w:val="013161"/>
                <w:sz w:val="20"/>
              </w:rPr>
            </w:pPr>
            <w:r w:rsidRPr="000055D1">
              <w:rPr>
                <w:rFonts w:ascii="Calibri" w:hAnsi="Calibri" w:cs="Calibri"/>
                <w:b/>
                <w:color w:val="013161"/>
                <w:sz w:val="20"/>
              </w:rPr>
              <w:t>320</w:t>
            </w:r>
          </w:p>
        </w:tc>
        <w:tc>
          <w:tcPr>
            <w:tcW w:w="990" w:type="dxa"/>
            <w:shd w:val="clear" w:color="auto" w:fill="DBE5F1"/>
            <w:noWrap/>
          </w:tcPr>
          <w:p w:rsidR="00D86A11" w:rsidRPr="000055D1" w:rsidRDefault="00D86A11" w:rsidP="00D86A11">
            <w:pPr>
              <w:spacing w:after="0"/>
              <w:jc w:val="center"/>
              <w:rPr>
                <w:rFonts w:ascii="Calibri" w:hAnsi="Calibri" w:cs="Calibri"/>
                <w:b/>
                <w:color w:val="013161"/>
                <w:sz w:val="20"/>
              </w:rPr>
            </w:pPr>
            <w:r w:rsidRPr="000055D1">
              <w:rPr>
                <w:rFonts w:ascii="Calibri" w:hAnsi="Calibri" w:cs="Calibri"/>
                <w:b/>
                <w:color w:val="013161"/>
                <w:sz w:val="20"/>
              </w:rPr>
              <w:t>303</w:t>
            </w:r>
          </w:p>
        </w:tc>
      </w:tr>
    </w:tbl>
    <w:p w:rsidR="00D86A11" w:rsidRPr="005217F6" w:rsidRDefault="00D86A11" w:rsidP="00D86A11">
      <w:pPr>
        <w:pStyle w:val="Heading1"/>
        <w:rPr>
          <w:color w:val="2E7029"/>
          <w:sz w:val="24"/>
        </w:rPr>
      </w:pPr>
      <w:r w:rsidRPr="005217F6">
        <w:rPr>
          <w:color w:val="2E7029"/>
          <w:sz w:val="24"/>
        </w:rPr>
        <w:t xml:space="preserve">Analysis </w:t>
      </w:r>
    </w:p>
    <w:p w:rsidR="00D86A11" w:rsidRPr="00DA45E2" w:rsidRDefault="00D86A11" w:rsidP="00D86A11">
      <w:pPr>
        <w:spacing w:after="0"/>
        <w:rPr>
          <w:rFonts w:ascii="Franklin Gothic Book" w:hAnsi="Franklin Gothic Book"/>
          <w:color w:val="auto"/>
          <w:spacing w:val="20"/>
          <w:szCs w:val="28"/>
        </w:rPr>
      </w:pPr>
      <w:r w:rsidRPr="00DA45E2">
        <w:rPr>
          <w:rFonts w:ascii="Franklin Gothic Book" w:hAnsi="Franklin Gothic Book"/>
          <w:color w:val="auto"/>
          <w:spacing w:val="20"/>
          <w:szCs w:val="28"/>
        </w:rPr>
        <w:t>This measure reports the percentage of children in placement episodes with a court order or parental consent that authorizes the child to receive psychotropic medication.</w:t>
      </w:r>
    </w:p>
    <w:p w:rsidR="00D86A11" w:rsidRPr="00DA45E2" w:rsidRDefault="00D86A11" w:rsidP="00D86A11">
      <w:pPr>
        <w:spacing w:before="240" w:after="0"/>
        <w:rPr>
          <w:rFonts w:ascii="Franklin Gothic Book" w:hAnsi="Franklin Gothic Book"/>
          <w:color w:val="auto"/>
          <w:spacing w:val="20"/>
          <w:szCs w:val="28"/>
        </w:rPr>
      </w:pPr>
      <w:r w:rsidRPr="00DA45E2">
        <w:rPr>
          <w:rFonts w:ascii="Franklin Gothic Book" w:hAnsi="Franklin Gothic Book"/>
          <w:b/>
          <w:color w:val="auto"/>
          <w:spacing w:val="20"/>
          <w:szCs w:val="28"/>
        </w:rPr>
        <w:t>Trends</w:t>
      </w:r>
      <w:r w:rsidRPr="00DA45E2">
        <w:rPr>
          <w:rFonts w:ascii="Franklin Gothic Book" w:hAnsi="Franklin Gothic Book"/>
          <w:color w:val="auto"/>
          <w:spacing w:val="20"/>
          <w:szCs w:val="28"/>
        </w:rPr>
        <w:t xml:space="preserve">: The percent of youth authorized for psychotropic medication in the County has dropped from 14.1% in Quarter 4, 2010 to 10.6% in 2015. The County’s rate is similar to the State’s rate of 10.2%. </w:t>
      </w:r>
    </w:p>
    <w:p w:rsidR="00D86A11" w:rsidRPr="00DA45E2" w:rsidRDefault="00D86A11" w:rsidP="00D86A11">
      <w:pPr>
        <w:spacing w:before="240" w:after="0"/>
        <w:rPr>
          <w:rFonts w:ascii="Franklin Gothic Book" w:hAnsi="Franklin Gothic Book"/>
          <w:color w:val="auto"/>
          <w:spacing w:val="20"/>
          <w:szCs w:val="28"/>
        </w:rPr>
      </w:pPr>
      <w:r w:rsidRPr="00DA45E2">
        <w:rPr>
          <w:rFonts w:ascii="Franklin Gothic Book" w:hAnsi="Franklin Gothic Book"/>
          <w:b/>
          <w:color w:val="auto"/>
          <w:spacing w:val="20"/>
          <w:szCs w:val="28"/>
        </w:rPr>
        <w:t>Race/Ethnicity:</w:t>
      </w:r>
      <w:r w:rsidRPr="00DA45E2">
        <w:rPr>
          <w:rFonts w:ascii="Franklin Gothic Book" w:hAnsi="Franklin Gothic Book"/>
          <w:color w:val="auto"/>
          <w:spacing w:val="20"/>
          <w:szCs w:val="28"/>
        </w:rPr>
        <w:t xml:space="preserve"> In Quarter 4, 2015, Black children had the highest rate of authorizations for psychotropic medications at 17.7%, followed by White children at 10.2%, and Latino children at 8.4%. Data were not provided for Asian/PI and Native American children due to small numbers.</w:t>
      </w:r>
    </w:p>
    <w:p w:rsidR="00D86A11" w:rsidRPr="00DA45E2" w:rsidRDefault="00D86A11" w:rsidP="00D86A11">
      <w:pPr>
        <w:spacing w:before="240" w:after="0"/>
        <w:rPr>
          <w:rFonts w:ascii="Franklin Gothic Book" w:hAnsi="Franklin Gothic Book"/>
          <w:color w:val="auto"/>
          <w:spacing w:val="20"/>
          <w:szCs w:val="28"/>
        </w:rPr>
      </w:pPr>
      <w:r w:rsidRPr="00DA45E2">
        <w:rPr>
          <w:rFonts w:ascii="Franklin Gothic Book" w:hAnsi="Franklin Gothic Book"/>
          <w:b/>
          <w:color w:val="auto"/>
          <w:spacing w:val="20"/>
          <w:szCs w:val="28"/>
        </w:rPr>
        <w:t>Age:</w:t>
      </w:r>
      <w:r w:rsidRPr="00DA45E2">
        <w:rPr>
          <w:rFonts w:ascii="Franklin Gothic Book" w:hAnsi="Franklin Gothic Book"/>
          <w:color w:val="auto"/>
          <w:spacing w:val="20"/>
          <w:szCs w:val="28"/>
        </w:rPr>
        <w:t xml:space="preserve"> In 2015, 16-17 year olds had the highest rate of authorizations for psychotropic medications at 30.0%, followed by 11-15 year olds at 27.9%, and 6-10 year olds at 13.2%. No data were provided for children under the age of six.</w:t>
      </w:r>
    </w:p>
    <w:p w:rsidR="00D86A11" w:rsidRPr="00DA45E2" w:rsidRDefault="00D86A11" w:rsidP="00D86A11">
      <w:pPr>
        <w:pStyle w:val="Heading3"/>
        <w:spacing w:line="276" w:lineRule="auto"/>
        <w:rPr>
          <w:b w:val="0"/>
          <w:color w:val="auto"/>
          <w:sz w:val="22"/>
        </w:rPr>
      </w:pPr>
      <w:r w:rsidRPr="00DA45E2">
        <w:rPr>
          <w:b w:val="0"/>
          <w:color w:val="auto"/>
          <w:sz w:val="22"/>
        </w:rPr>
        <w:t>In 2015, Governor Brown signed three Senate Bills (238, 319, and 484) aimed at reducing the amount of psychiatric medication prescribed to children in California's foster care system</w:t>
      </w:r>
      <w:r w:rsidRPr="00DA45E2">
        <w:rPr>
          <w:b w:val="0"/>
        </w:rPr>
        <w:endnoteReference w:id="28"/>
      </w:r>
      <w:r w:rsidRPr="00DA45E2">
        <w:rPr>
          <w:b w:val="0"/>
          <w:color w:val="auto"/>
          <w:sz w:val="22"/>
        </w:rPr>
        <w:t xml:space="preserve"> which has helped to bring attention to the disproportionate number of children in the foster care system who are prescribed psychotropic medications. In addition, at the State level there is a quality improvement project to develop new guidelines for providers and there is a data matching partnership between the CDSS and the Department of Health Care Services to determine what medications are being charged to Medi-Cal versus what has been authorized. Locally, CWS implemented Pathways to Well-Being in 2014, which instituted a review team to screen requests for psychotropic medications and determine if authorization is appropriate. </w:t>
      </w:r>
    </w:p>
    <w:p w:rsidR="001D1803" w:rsidRDefault="001D1803">
      <w:pPr>
        <w:spacing w:after="0" w:line="240" w:lineRule="auto"/>
        <w:rPr>
          <w:rFonts w:ascii="Franklin Gothic Book" w:hAnsi="Franklin Gothic Book"/>
          <w:b/>
          <w:color w:val="F6872B"/>
          <w:spacing w:val="20"/>
          <w:sz w:val="24"/>
          <w:szCs w:val="28"/>
        </w:rPr>
      </w:pPr>
      <w:r>
        <w:rPr>
          <w:rFonts w:ascii="Franklin Gothic Book" w:hAnsi="Franklin Gothic Book"/>
          <w:b/>
          <w:color w:val="F6872B"/>
          <w:spacing w:val="20"/>
          <w:sz w:val="24"/>
          <w:szCs w:val="28"/>
        </w:rPr>
        <w:br w:type="page"/>
      </w:r>
    </w:p>
    <w:p w:rsidR="00D86A11" w:rsidRPr="005217F6" w:rsidRDefault="00D86A11" w:rsidP="00D86A11">
      <w:pPr>
        <w:spacing w:after="0"/>
        <w:contextualSpacing/>
        <w:rPr>
          <w:rFonts w:ascii="Franklin Gothic Book" w:hAnsi="Franklin Gothic Book"/>
          <w:b/>
          <w:color w:val="F6872B"/>
          <w:spacing w:val="20"/>
          <w:sz w:val="24"/>
          <w:szCs w:val="28"/>
        </w:rPr>
      </w:pPr>
      <w:r w:rsidRPr="005217F6">
        <w:rPr>
          <w:rFonts w:ascii="Franklin Gothic Book" w:hAnsi="Franklin Gothic Book"/>
          <w:b/>
          <w:color w:val="F6872B"/>
          <w:spacing w:val="20"/>
          <w:sz w:val="24"/>
          <w:szCs w:val="28"/>
        </w:rPr>
        <w:lastRenderedPageBreak/>
        <w:t>6B Individualized Education Plan (IEP)</w:t>
      </w:r>
    </w:p>
    <w:tbl>
      <w:tblPr>
        <w:tblW w:w="9792" w:type="dxa"/>
        <w:tblBorders>
          <w:top w:val="single" w:sz="18" w:space="0" w:color="F6872B"/>
          <w:bottom w:val="single" w:sz="18" w:space="0" w:color="F6872B"/>
        </w:tblBorders>
        <w:tblLook w:val="04A0" w:firstRow="1" w:lastRow="0" w:firstColumn="1" w:lastColumn="0" w:noHBand="0" w:noVBand="1"/>
      </w:tblPr>
      <w:tblGrid>
        <w:gridCol w:w="3344"/>
        <w:gridCol w:w="1174"/>
        <w:gridCol w:w="990"/>
        <w:gridCol w:w="1062"/>
        <w:gridCol w:w="1023"/>
        <w:gridCol w:w="1074"/>
        <w:gridCol w:w="1125"/>
      </w:tblGrid>
      <w:tr w:rsidR="00D86A11" w:rsidRPr="002E3D5C">
        <w:trPr>
          <w:trHeight w:val="278"/>
        </w:trPr>
        <w:tc>
          <w:tcPr>
            <w:tcW w:w="9792" w:type="dxa"/>
            <w:gridSpan w:val="7"/>
            <w:shd w:val="clear" w:color="auto" w:fill="013161"/>
            <w:noWrap/>
          </w:tcPr>
          <w:p w:rsidR="00D86A11" w:rsidRPr="00E415BF" w:rsidRDefault="00D86A11" w:rsidP="00D86A11">
            <w:pPr>
              <w:spacing w:after="0"/>
              <w:contextualSpacing/>
              <w:jc w:val="center"/>
              <w:rPr>
                <w:rFonts w:ascii="Calibri" w:hAnsi="Calibri" w:cs="Calibri"/>
                <w:b/>
                <w:color w:val="FFFFFF"/>
                <w:sz w:val="24"/>
              </w:rPr>
            </w:pPr>
            <w:r>
              <w:rPr>
                <w:rFonts w:ascii="Calibri" w:hAnsi="Calibri" w:cs="Calibri"/>
                <w:b/>
                <w:color w:val="FFFFFF"/>
                <w:sz w:val="24"/>
              </w:rPr>
              <w:t>Exhibit 76. County of San Diego</w:t>
            </w:r>
            <w:r w:rsidRPr="00E415BF">
              <w:rPr>
                <w:rFonts w:ascii="Calibri" w:hAnsi="Calibri" w:cs="Calibri"/>
                <w:b/>
                <w:color w:val="FFFFFF"/>
                <w:sz w:val="24"/>
              </w:rPr>
              <w:t xml:space="preserve"> Children, Age 0-18, with IEP</w:t>
            </w:r>
            <w:r>
              <w:rPr>
                <w:rFonts w:ascii="Calibri" w:hAnsi="Calibri" w:cs="Calibri"/>
                <w:b/>
                <w:color w:val="FFFFFF"/>
                <w:sz w:val="24"/>
              </w:rPr>
              <w:t xml:space="preserve"> (Calendar Year)</w:t>
            </w:r>
          </w:p>
          <w:p w:rsidR="00D86A11" w:rsidRPr="000055D1" w:rsidRDefault="00D86A11" w:rsidP="00D86A11">
            <w:pPr>
              <w:spacing w:after="0"/>
              <w:contextualSpacing/>
              <w:jc w:val="center"/>
              <w:rPr>
                <w:rFonts w:ascii="Calibri" w:hAnsi="Calibri" w:cs="Calibri"/>
              </w:rPr>
            </w:pPr>
            <w:r w:rsidRPr="000055D1">
              <w:rPr>
                <w:rFonts w:ascii="Calibri" w:hAnsi="Calibri" w:cs="Calibri"/>
                <w:color w:val="FFFFFF"/>
              </w:rPr>
              <w:t>California at 6.0%</w:t>
            </w:r>
          </w:p>
        </w:tc>
      </w:tr>
      <w:tr w:rsidR="00D86A11" w:rsidRPr="002E3D5C">
        <w:trPr>
          <w:trHeight w:val="278"/>
        </w:trPr>
        <w:tc>
          <w:tcPr>
            <w:tcW w:w="3344" w:type="dxa"/>
            <w:shd w:val="clear" w:color="auto" w:fill="013161"/>
            <w:noWrap/>
          </w:tcPr>
          <w:p w:rsidR="00D86A11" w:rsidRPr="00721EF1" w:rsidRDefault="00D86A11" w:rsidP="00D86A11">
            <w:pPr>
              <w:spacing w:after="0"/>
              <w:contextualSpacing/>
              <w:rPr>
                <w:rFonts w:ascii="Calibri" w:hAnsi="Calibri" w:cs="Calibri"/>
                <w:color w:val="FFFFFF"/>
              </w:rPr>
            </w:pPr>
          </w:p>
        </w:tc>
        <w:tc>
          <w:tcPr>
            <w:tcW w:w="1174" w:type="dxa"/>
            <w:shd w:val="clear" w:color="auto" w:fill="013161"/>
            <w:noWrap/>
          </w:tcPr>
          <w:p w:rsidR="00D86A11" w:rsidRPr="00721EF1" w:rsidRDefault="00D86A11" w:rsidP="00D86A11">
            <w:pPr>
              <w:spacing w:after="0"/>
              <w:jc w:val="center"/>
              <w:rPr>
                <w:rFonts w:ascii="Calibri" w:hAnsi="Calibri" w:cs="Calibri"/>
                <w:b/>
                <w:color w:val="FFFFFF"/>
                <w:sz w:val="20"/>
              </w:rPr>
            </w:pPr>
            <w:r w:rsidRPr="00721EF1">
              <w:rPr>
                <w:rFonts w:ascii="Calibri" w:eastAsia="Times New Roman" w:hAnsi="Calibri" w:cs="Arial"/>
                <w:b/>
                <w:color w:val="FFFFFF"/>
                <w:sz w:val="20"/>
              </w:rPr>
              <w:t>Q4 2010</w:t>
            </w:r>
          </w:p>
        </w:tc>
        <w:tc>
          <w:tcPr>
            <w:tcW w:w="990" w:type="dxa"/>
            <w:shd w:val="clear" w:color="auto" w:fill="013161"/>
            <w:noWrap/>
          </w:tcPr>
          <w:p w:rsidR="00D86A11" w:rsidRPr="00721EF1" w:rsidRDefault="00D86A11" w:rsidP="00D86A11">
            <w:pPr>
              <w:spacing w:after="0"/>
              <w:jc w:val="center"/>
              <w:rPr>
                <w:rFonts w:ascii="Calibri" w:hAnsi="Calibri" w:cs="Calibri"/>
                <w:b/>
                <w:color w:val="FFFFFF"/>
                <w:sz w:val="20"/>
              </w:rPr>
            </w:pPr>
            <w:r w:rsidRPr="00721EF1">
              <w:rPr>
                <w:rFonts w:ascii="Calibri" w:eastAsia="Times New Roman" w:hAnsi="Calibri" w:cs="Arial"/>
                <w:b/>
                <w:color w:val="FFFFFF"/>
                <w:sz w:val="20"/>
              </w:rPr>
              <w:t>Q4 2011</w:t>
            </w:r>
          </w:p>
        </w:tc>
        <w:tc>
          <w:tcPr>
            <w:tcW w:w="1062" w:type="dxa"/>
            <w:shd w:val="clear" w:color="auto" w:fill="013161"/>
            <w:noWrap/>
          </w:tcPr>
          <w:p w:rsidR="00D86A11" w:rsidRPr="00721EF1" w:rsidRDefault="00D86A11" w:rsidP="00D86A11">
            <w:pPr>
              <w:spacing w:after="0"/>
              <w:jc w:val="center"/>
              <w:rPr>
                <w:rFonts w:ascii="Calibri" w:hAnsi="Calibri" w:cs="Calibri"/>
                <w:b/>
                <w:color w:val="FFFFFF"/>
                <w:sz w:val="20"/>
              </w:rPr>
            </w:pPr>
            <w:r w:rsidRPr="00721EF1">
              <w:rPr>
                <w:rFonts w:ascii="Calibri" w:eastAsia="Times New Roman" w:hAnsi="Calibri" w:cs="Arial"/>
                <w:b/>
                <w:color w:val="FFFFFF"/>
                <w:sz w:val="20"/>
              </w:rPr>
              <w:t>Q4 2012</w:t>
            </w:r>
          </w:p>
        </w:tc>
        <w:tc>
          <w:tcPr>
            <w:tcW w:w="1023" w:type="dxa"/>
            <w:shd w:val="clear" w:color="auto" w:fill="013161"/>
            <w:noWrap/>
          </w:tcPr>
          <w:p w:rsidR="00D86A11" w:rsidRPr="00721EF1" w:rsidRDefault="00D86A11" w:rsidP="00D86A11">
            <w:pPr>
              <w:spacing w:after="0"/>
              <w:jc w:val="center"/>
              <w:rPr>
                <w:rFonts w:ascii="Calibri" w:hAnsi="Calibri" w:cs="Calibri"/>
                <w:b/>
                <w:color w:val="FFFFFF"/>
                <w:sz w:val="20"/>
              </w:rPr>
            </w:pPr>
            <w:r w:rsidRPr="00721EF1">
              <w:rPr>
                <w:rFonts w:ascii="Calibri" w:eastAsia="Times New Roman" w:hAnsi="Calibri" w:cs="Arial"/>
                <w:b/>
                <w:color w:val="FFFFFF"/>
                <w:sz w:val="20"/>
              </w:rPr>
              <w:t>Q4 2013</w:t>
            </w:r>
          </w:p>
        </w:tc>
        <w:tc>
          <w:tcPr>
            <w:tcW w:w="1074" w:type="dxa"/>
            <w:shd w:val="clear" w:color="auto" w:fill="013161"/>
            <w:noWrap/>
          </w:tcPr>
          <w:p w:rsidR="00D86A11" w:rsidRPr="00721EF1" w:rsidRDefault="00D86A11" w:rsidP="00D86A11">
            <w:pPr>
              <w:spacing w:after="0"/>
              <w:jc w:val="center"/>
              <w:rPr>
                <w:rFonts w:ascii="Calibri" w:hAnsi="Calibri" w:cs="Calibri"/>
                <w:b/>
                <w:color w:val="FFFFFF"/>
                <w:sz w:val="20"/>
              </w:rPr>
            </w:pPr>
            <w:r w:rsidRPr="00721EF1">
              <w:rPr>
                <w:rFonts w:ascii="Calibri" w:eastAsia="Times New Roman" w:hAnsi="Calibri" w:cs="Arial"/>
                <w:b/>
                <w:color w:val="FFFFFF"/>
                <w:sz w:val="20"/>
              </w:rPr>
              <w:t>Q4 2014</w:t>
            </w:r>
          </w:p>
        </w:tc>
        <w:tc>
          <w:tcPr>
            <w:tcW w:w="1125" w:type="dxa"/>
            <w:shd w:val="clear" w:color="auto" w:fill="013161"/>
            <w:noWrap/>
          </w:tcPr>
          <w:p w:rsidR="00D86A11" w:rsidRPr="00721EF1" w:rsidRDefault="00D86A11" w:rsidP="00D86A11">
            <w:pPr>
              <w:spacing w:after="0"/>
              <w:jc w:val="center"/>
              <w:rPr>
                <w:rFonts w:ascii="Calibri" w:hAnsi="Calibri" w:cs="Calibri"/>
                <w:b/>
                <w:color w:val="FFFFFF"/>
                <w:sz w:val="20"/>
              </w:rPr>
            </w:pPr>
            <w:r w:rsidRPr="00721EF1">
              <w:rPr>
                <w:rFonts w:ascii="Calibri" w:eastAsia="Times New Roman" w:hAnsi="Calibri" w:cs="Arial"/>
                <w:b/>
                <w:color w:val="FFFFFF"/>
                <w:sz w:val="20"/>
              </w:rPr>
              <w:t>Q4 2015</w:t>
            </w:r>
          </w:p>
        </w:tc>
      </w:tr>
      <w:tr w:rsidR="00D86A11" w:rsidRPr="002E3D5C">
        <w:trPr>
          <w:trHeight w:val="278"/>
        </w:trPr>
        <w:tc>
          <w:tcPr>
            <w:tcW w:w="3344" w:type="dxa"/>
            <w:shd w:val="clear" w:color="auto" w:fill="auto"/>
            <w:noWrap/>
          </w:tcPr>
          <w:p w:rsidR="00D86A11" w:rsidRPr="00E415BF" w:rsidRDefault="00D86A11" w:rsidP="00D86A11">
            <w:pPr>
              <w:spacing w:after="0"/>
              <w:contextualSpacing/>
              <w:rPr>
                <w:rFonts w:ascii="Calibri" w:hAnsi="Calibri" w:cs="Calibri"/>
                <w:b/>
                <w:color w:val="013161"/>
              </w:rPr>
            </w:pPr>
            <w:r w:rsidRPr="00E415BF">
              <w:rPr>
                <w:rFonts w:ascii="Calibri" w:hAnsi="Calibri" w:cs="Calibri"/>
                <w:b/>
                <w:color w:val="013161"/>
              </w:rPr>
              <w:t>Individualized education plan (%)</w:t>
            </w:r>
          </w:p>
        </w:tc>
        <w:tc>
          <w:tcPr>
            <w:tcW w:w="1174" w:type="dxa"/>
            <w:shd w:val="clear" w:color="auto" w:fill="auto"/>
            <w:noWrap/>
          </w:tcPr>
          <w:p w:rsidR="00D86A11" w:rsidRPr="000055D1" w:rsidRDefault="00D86A11" w:rsidP="00D86A11">
            <w:pPr>
              <w:spacing w:after="0"/>
              <w:contextualSpacing/>
              <w:jc w:val="center"/>
              <w:rPr>
                <w:rFonts w:ascii="Calibri" w:hAnsi="Calibri" w:cs="Calibri"/>
                <w:b/>
                <w:color w:val="013161"/>
              </w:rPr>
            </w:pPr>
            <w:r w:rsidRPr="000055D1">
              <w:rPr>
                <w:rFonts w:ascii="Calibri" w:hAnsi="Calibri" w:cs="Calibri"/>
                <w:b/>
                <w:color w:val="013161"/>
              </w:rPr>
              <w:t>5.7</w:t>
            </w:r>
          </w:p>
        </w:tc>
        <w:tc>
          <w:tcPr>
            <w:tcW w:w="990" w:type="dxa"/>
            <w:shd w:val="clear" w:color="auto" w:fill="auto"/>
            <w:noWrap/>
          </w:tcPr>
          <w:p w:rsidR="00D86A11" w:rsidRPr="000055D1" w:rsidRDefault="00D86A11" w:rsidP="00D86A11">
            <w:pPr>
              <w:spacing w:after="0"/>
              <w:contextualSpacing/>
              <w:jc w:val="center"/>
              <w:rPr>
                <w:rFonts w:ascii="Calibri" w:hAnsi="Calibri" w:cs="Calibri"/>
                <w:b/>
                <w:color w:val="013161"/>
              </w:rPr>
            </w:pPr>
            <w:r w:rsidRPr="000055D1">
              <w:rPr>
                <w:rFonts w:ascii="Calibri" w:hAnsi="Calibri" w:cs="Calibri"/>
                <w:b/>
                <w:color w:val="013161"/>
              </w:rPr>
              <w:t>5.2</w:t>
            </w:r>
          </w:p>
        </w:tc>
        <w:tc>
          <w:tcPr>
            <w:tcW w:w="1062" w:type="dxa"/>
            <w:shd w:val="clear" w:color="auto" w:fill="auto"/>
            <w:noWrap/>
          </w:tcPr>
          <w:p w:rsidR="00D86A11" w:rsidRPr="000055D1" w:rsidRDefault="00D86A11" w:rsidP="00D86A11">
            <w:pPr>
              <w:spacing w:after="0"/>
              <w:contextualSpacing/>
              <w:jc w:val="center"/>
              <w:rPr>
                <w:rFonts w:ascii="Calibri" w:hAnsi="Calibri" w:cs="Calibri"/>
                <w:b/>
                <w:color w:val="013161"/>
              </w:rPr>
            </w:pPr>
            <w:r w:rsidRPr="000055D1">
              <w:rPr>
                <w:rFonts w:ascii="Calibri" w:hAnsi="Calibri" w:cs="Calibri"/>
                <w:b/>
                <w:color w:val="013161"/>
              </w:rPr>
              <w:t>4.3</w:t>
            </w:r>
          </w:p>
        </w:tc>
        <w:tc>
          <w:tcPr>
            <w:tcW w:w="1023" w:type="dxa"/>
            <w:shd w:val="clear" w:color="auto" w:fill="auto"/>
            <w:noWrap/>
          </w:tcPr>
          <w:p w:rsidR="00D86A11" w:rsidRPr="000055D1" w:rsidRDefault="00D86A11" w:rsidP="00D86A11">
            <w:pPr>
              <w:spacing w:after="0"/>
              <w:contextualSpacing/>
              <w:jc w:val="center"/>
              <w:rPr>
                <w:rFonts w:ascii="Calibri" w:hAnsi="Calibri" w:cs="Calibri"/>
                <w:b/>
                <w:color w:val="013161"/>
              </w:rPr>
            </w:pPr>
            <w:r w:rsidRPr="000055D1">
              <w:rPr>
                <w:rFonts w:ascii="Calibri" w:hAnsi="Calibri" w:cs="Calibri"/>
                <w:b/>
                <w:color w:val="013161"/>
              </w:rPr>
              <w:t>3.5</w:t>
            </w:r>
          </w:p>
        </w:tc>
        <w:tc>
          <w:tcPr>
            <w:tcW w:w="1074" w:type="dxa"/>
            <w:shd w:val="clear" w:color="auto" w:fill="auto"/>
            <w:noWrap/>
          </w:tcPr>
          <w:p w:rsidR="00D86A11" w:rsidRPr="000055D1" w:rsidRDefault="00D86A11" w:rsidP="00D86A11">
            <w:pPr>
              <w:spacing w:after="0"/>
              <w:contextualSpacing/>
              <w:jc w:val="center"/>
              <w:rPr>
                <w:rFonts w:ascii="Calibri" w:hAnsi="Calibri" w:cs="Calibri"/>
                <w:b/>
                <w:color w:val="013161"/>
              </w:rPr>
            </w:pPr>
            <w:r w:rsidRPr="000055D1">
              <w:rPr>
                <w:rFonts w:ascii="Calibri" w:hAnsi="Calibri" w:cs="Calibri"/>
                <w:b/>
                <w:color w:val="013161"/>
              </w:rPr>
              <w:t>2.9</w:t>
            </w:r>
          </w:p>
        </w:tc>
        <w:tc>
          <w:tcPr>
            <w:tcW w:w="1125" w:type="dxa"/>
            <w:shd w:val="clear" w:color="auto" w:fill="auto"/>
            <w:noWrap/>
          </w:tcPr>
          <w:p w:rsidR="00D86A11" w:rsidRPr="000055D1" w:rsidRDefault="00D86A11" w:rsidP="00D86A11">
            <w:pPr>
              <w:spacing w:after="0"/>
              <w:contextualSpacing/>
              <w:jc w:val="center"/>
              <w:rPr>
                <w:rFonts w:ascii="Calibri" w:hAnsi="Calibri" w:cs="Calibri"/>
                <w:b/>
                <w:color w:val="013161"/>
              </w:rPr>
            </w:pPr>
            <w:r w:rsidRPr="000055D1">
              <w:rPr>
                <w:rFonts w:ascii="Calibri" w:hAnsi="Calibri" w:cs="Calibri"/>
                <w:b/>
                <w:color w:val="013161"/>
              </w:rPr>
              <w:t>2.3</w:t>
            </w:r>
          </w:p>
        </w:tc>
      </w:tr>
      <w:tr w:rsidR="00D86A11" w:rsidRPr="002E3D5C">
        <w:trPr>
          <w:trHeight w:val="278"/>
        </w:trPr>
        <w:tc>
          <w:tcPr>
            <w:tcW w:w="3344" w:type="dxa"/>
            <w:shd w:val="clear" w:color="auto" w:fill="DBE5F1"/>
            <w:noWrap/>
          </w:tcPr>
          <w:p w:rsidR="00D86A11" w:rsidRPr="00E415BF" w:rsidRDefault="00D86A11" w:rsidP="00D86A11">
            <w:pPr>
              <w:spacing w:after="0"/>
              <w:contextualSpacing/>
              <w:rPr>
                <w:rFonts w:ascii="Calibri" w:hAnsi="Calibri" w:cs="Calibri"/>
                <w:b/>
                <w:color w:val="013161"/>
              </w:rPr>
            </w:pPr>
            <w:r w:rsidRPr="00E415BF">
              <w:rPr>
                <w:rFonts w:ascii="Calibri" w:hAnsi="Calibri" w:cs="Calibri"/>
                <w:b/>
                <w:color w:val="013161"/>
              </w:rPr>
              <w:t>Individualized education plan (n)</w:t>
            </w:r>
          </w:p>
        </w:tc>
        <w:tc>
          <w:tcPr>
            <w:tcW w:w="1174" w:type="dxa"/>
            <w:shd w:val="clear" w:color="auto" w:fill="DBE5F1"/>
            <w:noWrap/>
          </w:tcPr>
          <w:p w:rsidR="00D86A11" w:rsidRPr="000055D1" w:rsidRDefault="00D86A11" w:rsidP="00D86A11">
            <w:pPr>
              <w:spacing w:after="0"/>
              <w:contextualSpacing/>
              <w:jc w:val="center"/>
              <w:rPr>
                <w:rFonts w:ascii="Calibri" w:hAnsi="Calibri" w:cs="Calibri"/>
                <w:b/>
                <w:color w:val="013161"/>
              </w:rPr>
            </w:pPr>
            <w:r w:rsidRPr="000055D1">
              <w:rPr>
                <w:rFonts w:ascii="Calibri" w:hAnsi="Calibri" w:cs="Calibri"/>
                <w:b/>
                <w:color w:val="013161"/>
              </w:rPr>
              <w:t>191</w:t>
            </w:r>
          </w:p>
        </w:tc>
        <w:tc>
          <w:tcPr>
            <w:tcW w:w="990" w:type="dxa"/>
            <w:shd w:val="clear" w:color="auto" w:fill="DBE5F1"/>
            <w:noWrap/>
          </w:tcPr>
          <w:p w:rsidR="00D86A11" w:rsidRPr="000055D1" w:rsidRDefault="00D86A11" w:rsidP="00D86A11">
            <w:pPr>
              <w:spacing w:after="0"/>
              <w:contextualSpacing/>
              <w:jc w:val="center"/>
              <w:rPr>
                <w:rFonts w:ascii="Calibri" w:hAnsi="Calibri" w:cs="Calibri"/>
                <w:b/>
                <w:color w:val="013161"/>
              </w:rPr>
            </w:pPr>
            <w:r w:rsidRPr="000055D1">
              <w:rPr>
                <w:rFonts w:ascii="Calibri" w:hAnsi="Calibri" w:cs="Calibri"/>
                <w:b/>
                <w:color w:val="013161"/>
              </w:rPr>
              <w:t>164</w:t>
            </w:r>
          </w:p>
        </w:tc>
        <w:tc>
          <w:tcPr>
            <w:tcW w:w="1062" w:type="dxa"/>
            <w:shd w:val="clear" w:color="auto" w:fill="DBE5F1"/>
            <w:noWrap/>
          </w:tcPr>
          <w:p w:rsidR="00D86A11" w:rsidRPr="000055D1" w:rsidRDefault="00D86A11" w:rsidP="00D86A11">
            <w:pPr>
              <w:spacing w:after="0"/>
              <w:contextualSpacing/>
              <w:jc w:val="center"/>
              <w:rPr>
                <w:rFonts w:ascii="Calibri" w:hAnsi="Calibri" w:cs="Calibri"/>
                <w:b/>
                <w:color w:val="013161"/>
              </w:rPr>
            </w:pPr>
            <w:r w:rsidRPr="000055D1">
              <w:rPr>
                <w:rFonts w:ascii="Calibri" w:hAnsi="Calibri" w:cs="Calibri"/>
                <w:b/>
                <w:color w:val="013161"/>
              </w:rPr>
              <w:t>137</w:t>
            </w:r>
          </w:p>
        </w:tc>
        <w:tc>
          <w:tcPr>
            <w:tcW w:w="1023" w:type="dxa"/>
            <w:shd w:val="clear" w:color="auto" w:fill="DBE5F1"/>
            <w:noWrap/>
          </w:tcPr>
          <w:p w:rsidR="00D86A11" w:rsidRPr="000055D1" w:rsidRDefault="00D86A11" w:rsidP="00D86A11">
            <w:pPr>
              <w:spacing w:after="0"/>
              <w:contextualSpacing/>
              <w:jc w:val="center"/>
              <w:rPr>
                <w:rFonts w:ascii="Calibri" w:hAnsi="Calibri" w:cs="Calibri"/>
                <w:b/>
                <w:color w:val="013161"/>
              </w:rPr>
            </w:pPr>
            <w:r w:rsidRPr="000055D1">
              <w:rPr>
                <w:rFonts w:ascii="Calibri" w:hAnsi="Calibri" w:cs="Calibri"/>
                <w:b/>
                <w:color w:val="013161"/>
              </w:rPr>
              <w:t>106</w:t>
            </w:r>
          </w:p>
        </w:tc>
        <w:tc>
          <w:tcPr>
            <w:tcW w:w="1074" w:type="dxa"/>
            <w:shd w:val="clear" w:color="auto" w:fill="DBE5F1"/>
            <w:noWrap/>
          </w:tcPr>
          <w:p w:rsidR="00D86A11" w:rsidRPr="000055D1" w:rsidRDefault="00D86A11" w:rsidP="00D86A11">
            <w:pPr>
              <w:tabs>
                <w:tab w:val="center" w:pos="432"/>
                <w:tab w:val="right" w:pos="864"/>
              </w:tabs>
              <w:spacing w:after="0"/>
              <w:contextualSpacing/>
              <w:jc w:val="center"/>
              <w:rPr>
                <w:rFonts w:ascii="Calibri" w:hAnsi="Calibri" w:cs="Calibri"/>
                <w:b/>
                <w:color w:val="013161"/>
              </w:rPr>
            </w:pPr>
            <w:r w:rsidRPr="000055D1">
              <w:rPr>
                <w:rFonts w:ascii="Calibri" w:hAnsi="Calibri" w:cs="Calibri"/>
                <w:b/>
                <w:color w:val="013161"/>
              </w:rPr>
              <w:t>85</w:t>
            </w:r>
          </w:p>
        </w:tc>
        <w:tc>
          <w:tcPr>
            <w:tcW w:w="1125" w:type="dxa"/>
            <w:shd w:val="clear" w:color="auto" w:fill="DBE5F1"/>
            <w:noWrap/>
          </w:tcPr>
          <w:p w:rsidR="00D86A11" w:rsidRPr="000055D1" w:rsidRDefault="00D86A11" w:rsidP="00D86A11">
            <w:pPr>
              <w:spacing w:after="0"/>
              <w:contextualSpacing/>
              <w:jc w:val="center"/>
              <w:rPr>
                <w:rFonts w:ascii="Calibri" w:hAnsi="Calibri" w:cs="Calibri"/>
                <w:b/>
                <w:color w:val="013161"/>
              </w:rPr>
            </w:pPr>
            <w:r w:rsidRPr="000055D1">
              <w:rPr>
                <w:rFonts w:ascii="Calibri" w:hAnsi="Calibri" w:cs="Calibri"/>
                <w:b/>
                <w:color w:val="013161"/>
              </w:rPr>
              <w:t>62</w:t>
            </w:r>
          </w:p>
        </w:tc>
      </w:tr>
    </w:tbl>
    <w:p w:rsidR="00D86A11" w:rsidRPr="001D3B2C" w:rsidRDefault="00D86A11" w:rsidP="00D86A11">
      <w:pPr>
        <w:pStyle w:val="Heading1"/>
        <w:rPr>
          <w:rFonts w:ascii="Calibri" w:hAnsi="Calibri" w:cs="Calibri"/>
          <w:b w:val="0"/>
          <w:smallCaps/>
          <w:color w:val="auto"/>
          <w:szCs w:val="28"/>
        </w:rPr>
      </w:pPr>
      <w:r w:rsidRPr="005217F6">
        <w:rPr>
          <w:color w:val="2E7029"/>
          <w:sz w:val="24"/>
        </w:rPr>
        <w:t>Analysis</w:t>
      </w:r>
    </w:p>
    <w:p w:rsidR="00D86A11" w:rsidRPr="003D4B8C" w:rsidRDefault="00D86A11" w:rsidP="00D86A11">
      <w:pPr>
        <w:spacing w:after="0"/>
        <w:contextualSpacing/>
        <w:rPr>
          <w:rFonts w:ascii="Franklin Gothic Book" w:hAnsi="Franklin Gothic Book"/>
          <w:color w:val="auto"/>
          <w:spacing w:val="20"/>
          <w:szCs w:val="22"/>
        </w:rPr>
      </w:pPr>
      <w:r w:rsidRPr="003D4B8C">
        <w:rPr>
          <w:rFonts w:ascii="Franklin Gothic Book" w:hAnsi="Franklin Gothic Book"/>
          <w:color w:val="auto"/>
          <w:spacing w:val="20"/>
          <w:szCs w:val="22"/>
        </w:rPr>
        <w:t>This measure reports the number of children in out-of-home placements who have ever had an IEP.</w:t>
      </w:r>
    </w:p>
    <w:p w:rsidR="00D86A11" w:rsidRPr="003D4B8C" w:rsidRDefault="00D86A11" w:rsidP="00D86A11">
      <w:pPr>
        <w:spacing w:before="240" w:after="0"/>
        <w:rPr>
          <w:rFonts w:ascii="Franklin Gothic Book" w:hAnsi="Franklin Gothic Book"/>
          <w:color w:val="auto"/>
          <w:spacing w:val="20"/>
          <w:szCs w:val="22"/>
        </w:rPr>
      </w:pPr>
      <w:r w:rsidRPr="003D4B8C">
        <w:rPr>
          <w:rFonts w:ascii="Franklin Gothic Book" w:hAnsi="Franklin Gothic Book"/>
          <w:b/>
          <w:color w:val="auto"/>
          <w:spacing w:val="20"/>
          <w:szCs w:val="22"/>
        </w:rPr>
        <w:t>Trends:</w:t>
      </w:r>
      <w:r w:rsidRPr="003D4B8C">
        <w:rPr>
          <w:rFonts w:ascii="Franklin Gothic Book" w:hAnsi="Franklin Gothic Book"/>
          <w:color w:val="auto"/>
          <w:spacing w:val="20"/>
          <w:szCs w:val="22"/>
        </w:rPr>
        <w:t xml:space="preserve"> The percent of children that have an IEP dropped from 5.7% in Quarter 4, 2010 to 2.3% in 2015. The County’s rate is much lower than the State’s rate of 6.0%. </w:t>
      </w:r>
    </w:p>
    <w:p w:rsidR="00D86A11" w:rsidRPr="003D4B8C" w:rsidRDefault="00D86A11" w:rsidP="00D86A11">
      <w:pPr>
        <w:spacing w:before="240" w:after="0"/>
        <w:rPr>
          <w:rFonts w:ascii="Franklin Gothic Book" w:hAnsi="Franklin Gothic Book"/>
          <w:color w:val="auto"/>
          <w:spacing w:val="20"/>
          <w:szCs w:val="22"/>
        </w:rPr>
      </w:pPr>
      <w:r w:rsidRPr="003D4B8C">
        <w:rPr>
          <w:rFonts w:ascii="Franklin Gothic Book" w:hAnsi="Franklin Gothic Book"/>
          <w:b/>
          <w:color w:val="auto"/>
          <w:spacing w:val="20"/>
          <w:szCs w:val="22"/>
        </w:rPr>
        <w:t>Race/Ethnicity:</w:t>
      </w:r>
      <w:r w:rsidRPr="003D4B8C">
        <w:rPr>
          <w:rFonts w:ascii="Franklin Gothic Book" w:hAnsi="Franklin Gothic Book"/>
          <w:color w:val="auto"/>
          <w:spacing w:val="20"/>
          <w:szCs w:val="22"/>
        </w:rPr>
        <w:t xml:space="preserve"> In Q4 2015, the percent of children with IEPs ranged from 1.2% for Asian/PI children to 4.0% for Black children. </w:t>
      </w:r>
    </w:p>
    <w:p w:rsidR="00D86A11" w:rsidRPr="003D4B8C" w:rsidRDefault="00D86A11" w:rsidP="00D86A11">
      <w:pPr>
        <w:spacing w:before="240" w:after="0"/>
        <w:rPr>
          <w:rFonts w:ascii="Franklin Gothic Book" w:hAnsi="Franklin Gothic Book"/>
          <w:color w:val="auto"/>
          <w:spacing w:val="20"/>
          <w:szCs w:val="22"/>
        </w:rPr>
      </w:pPr>
      <w:r w:rsidRPr="003D4B8C">
        <w:rPr>
          <w:rFonts w:ascii="Franklin Gothic Book" w:hAnsi="Franklin Gothic Book"/>
          <w:b/>
          <w:color w:val="auto"/>
          <w:spacing w:val="20"/>
          <w:szCs w:val="22"/>
        </w:rPr>
        <w:t>Age:</w:t>
      </w:r>
      <w:r w:rsidRPr="003D4B8C">
        <w:rPr>
          <w:rFonts w:ascii="Franklin Gothic Book" w:hAnsi="Franklin Gothic Book"/>
          <w:color w:val="auto"/>
          <w:spacing w:val="20"/>
          <w:szCs w:val="22"/>
        </w:rPr>
        <w:t xml:space="preserve"> The highest percent of IEPs was among the 16-17 year olds at 10.1%, followed by 18 year olds at 7.4%, 11-15 year olds at 5.1%, 6-10 year olds at 1.0% and 3-5 year olds at .4%. </w:t>
      </w:r>
    </w:p>
    <w:p w:rsidR="00D86A11" w:rsidRPr="00221C01" w:rsidRDefault="00D86A11" w:rsidP="00D86A11">
      <w:pPr>
        <w:pStyle w:val="Heading3"/>
        <w:spacing w:line="276" w:lineRule="auto"/>
        <w:rPr>
          <w:b w:val="0"/>
          <w:color w:val="auto"/>
          <w:sz w:val="22"/>
        </w:rPr>
      </w:pPr>
      <w:r w:rsidRPr="00221C01">
        <w:rPr>
          <w:b w:val="0"/>
          <w:color w:val="auto"/>
          <w:sz w:val="22"/>
        </w:rPr>
        <w:t xml:space="preserve">It is not clear why the percent of children that have ever had an IEP has decreased in recent years. The California Department of Education, California Basic Educational Data System (CBEDS), reports that 12% of public school students in </w:t>
      </w:r>
      <w:r>
        <w:rPr>
          <w:b w:val="0"/>
          <w:color w:val="auto"/>
          <w:sz w:val="22"/>
        </w:rPr>
        <w:t>the County of San Diego</w:t>
      </w:r>
      <w:r w:rsidRPr="00221C01">
        <w:rPr>
          <w:b w:val="0"/>
          <w:color w:val="auto"/>
          <w:sz w:val="22"/>
        </w:rPr>
        <w:t xml:space="preserve"> are enrolled in special </w:t>
      </w:r>
      <w:r w:rsidR="002B386D" w:rsidRPr="00221C01">
        <w:rPr>
          <w:b w:val="0"/>
          <w:color w:val="auto"/>
          <w:sz w:val="22"/>
        </w:rPr>
        <w:t>ed</w:t>
      </w:r>
      <w:r w:rsidR="002B386D">
        <w:rPr>
          <w:b w:val="0"/>
          <w:color w:val="auto"/>
          <w:sz w:val="22"/>
        </w:rPr>
        <w:t>u</w:t>
      </w:r>
      <w:r w:rsidR="002B386D" w:rsidRPr="00221C01">
        <w:rPr>
          <w:b w:val="0"/>
          <w:color w:val="auto"/>
          <w:sz w:val="22"/>
        </w:rPr>
        <w:t>cation</w:t>
      </w:r>
      <w:r w:rsidRPr="00221C01">
        <w:rPr>
          <w:b w:val="0"/>
          <w:color w:val="auto"/>
          <w:sz w:val="22"/>
        </w:rPr>
        <w:t xml:space="preserve"> (retrieved from </w:t>
      </w:r>
      <w:hyperlink r:id="rId40" w:history="1">
        <w:r w:rsidR="00F1013C" w:rsidRPr="00F1013C">
          <w:rPr>
            <w:b w:val="0"/>
            <w:color w:val="auto"/>
            <w:sz w:val="22"/>
          </w:rPr>
          <w:t>www.kidsdata.org</w:t>
        </w:r>
      </w:hyperlink>
      <w:r w:rsidRPr="00221C01">
        <w:rPr>
          <w:b w:val="0"/>
          <w:color w:val="auto"/>
          <w:sz w:val="22"/>
        </w:rPr>
        <w:t>). Further review of CWS/CMS data could inform why there is a reduction in IEP rates and identify appropriate solutions.</w:t>
      </w:r>
    </w:p>
    <w:p w:rsidR="00D86A11" w:rsidRPr="00E024F4" w:rsidRDefault="00D86A11" w:rsidP="00D86A11">
      <w:pPr>
        <w:spacing w:after="0"/>
        <w:contextualSpacing/>
        <w:rPr>
          <w:rFonts w:ascii="Calibri" w:hAnsi="Calibri" w:cs="Calibri"/>
          <w:b/>
          <w:smallCaps/>
          <w:color w:val="auto"/>
          <w:sz w:val="28"/>
          <w:szCs w:val="28"/>
        </w:rPr>
      </w:pPr>
      <w:r w:rsidRPr="005217F6">
        <w:rPr>
          <w:rFonts w:ascii="Franklin Gothic Book" w:hAnsi="Franklin Gothic Book"/>
          <w:b/>
          <w:color w:val="F6872B"/>
          <w:spacing w:val="20"/>
          <w:sz w:val="24"/>
          <w:szCs w:val="28"/>
        </w:rPr>
        <w:t>8A Exit Outcomes for Youth Aging Out of Foster Care</w:t>
      </w:r>
    </w:p>
    <w:tbl>
      <w:tblPr>
        <w:tblW w:w="9828" w:type="dxa"/>
        <w:tblBorders>
          <w:top w:val="single" w:sz="18" w:space="0" w:color="F6872B"/>
          <w:bottom w:val="single" w:sz="18" w:space="0" w:color="F6872B"/>
        </w:tblBorders>
        <w:tblLook w:val="04A0" w:firstRow="1" w:lastRow="0" w:firstColumn="1" w:lastColumn="0" w:noHBand="0" w:noVBand="1"/>
      </w:tblPr>
      <w:tblGrid>
        <w:gridCol w:w="2448"/>
        <w:gridCol w:w="180"/>
        <w:gridCol w:w="810"/>
        <w:gridCol w:w="180"/>
        <w:gridCol w:w="810"/>
        <w:gridCol w:w="180"/>
        <w:gridCol w:w="810"/>
        <w:gridCol w:w="180"/>
        <w:gridCol w:w="810"/>
        <w:gridCol w:w="180"/>
        <w:gridCol w:w="810"/>
        <w:gridCol w:w="180"/>
        <w:gridCol w:w="810"/>
        <w:gridCol w:w="180"/>
        <w:gridCol w:w="1260"/>
      </w:tblGrid>
      <w:tr w:rsidR="00D86A11" w:rsidRPr="002E3D5C" w:rsidTr="001D1803">
        <w:trPr>
          <w:trHeight w:val="261"/>
        </w:trPr>
        <w:tc>
          <w:tcPr>
            <w:tcW w:w="9828" w:type="dxa"/>
            <w:gridSpan w:val="15"/>
            <w:shd w:val="clear" w:color="auto" w:fill="013161"/>
            <w:noWrap/>
          </w:tcPr>
          <w:p w:rsidR="00D86A11" w:rsidRPr="000055D1" w:rsidRDefault="00D86A11" w:rsidP="00D86A11">
            <w:pPr>
              <w:spacing w:after="0"/>
              <w:jc w:val="center"/>
              <w:rPr>
                <w:rFonts w:ascii="Calibri" w:hAnsi="Calibri" w:cs="Calibri"/>
                <w:b/>
                <w:color w:val="FFFFFF"/>
                <w:sz w:val="20"/>
              </w:rPr>
            </w:pPr>
            <w:r>
              <w:rPr>
                <w:rFonts w:ascii="Calibri" w:hAnsi="Calibri" w:cs="Calibri"/>
                <w:b/>
                <w:color w:val="FFFFFF"/>
              </w:rPr>
              <w:t>Exhibit 77. County of San Diego</w:t>
            </w:r>
            <w:r w:rsidRPr="00E415BF">
              <w:rPr>
                <w:rFonts w:ascii="Calibri" w:hAnsi="Calibri" w:cs="Calibri"/>
                <w:b/>
                <w:color w:val="FFFFFF"/>
              </w:rPr>
              <w:t xml:space="preserve"> Outcomes for Youth Exiting Foster Care at Age 18 or Older*</w:t>
            </w:r>
            <w:r>
              <w:rPr>
                <w:rFonts w:ascii="Calibri" w:hAnsi="Calibri" w:cs="Calibri"/>
                <w:b/>
                <w:color w:val="FFFFFF"/>
              </w:rPr>
              <w:t xml:space="preserve"> (Calendar Year)</w:t>
            </w:r>
          </w:p>
        </w:tc>
      </w:tr>
      <w:tr w:rsidR="00D86A11" w:rsidRPr="002E3D5C" w:rsidTr="001D1803">
        <w:trPr>
          <w:trHeight w:val="261"/>
        </w:trPr>
        <w:tc>
          <w:tcPr>
            <w:tcW w:w="2628" w:type="dxa"/>
            <w:gridSpan w:val="2"/>
            <w:shd w:val="clear" w:color="auto" w:fill="013161"/>
            <w:noWrap/>
          </w:tcPr>
          <w:p w:rsidR="00D86A11" w:rsidRPr="00721EF1" w:rsidRDefault="00D86A11" w:rsidP="00D86A11">
            <w:pPr>
              <w:spacing w:after="0"/>
              <w:rPr>
                <w:rFonts w:ascii="Calibri" w:hAnsi="Calibri" w:cs="Calibri"/>
                <w:b/>
                <w:color w:val="FFFFFF"/>
                <w:sz w:val="20"/>
              </w:rPr>
            </w:pPr>
          </w:p>
        </w:tc>
        <w:tc>
          <w:tcPr>
            <w:tcW w:w="990" w:type="dxa"/>
            <w:gridSpan w:val="2"/>
            <w:shd w:val="clear" w:color="auto" w:fill="013161"/>
            <w:noWrap/>
          </w:tcPr>
          <w:p w:rsidR="00D86A11" w:rsidRPr="00721EF1" w:rsidRDefault="00D86A11" w:rsidP="00D86A11">
            <w:pPr>
              <w:spacing w:after="0"/>
              <w:jc w:val="center"/>
              <w:rPr>
                <w:rFonts w:ascii="Calibri" w:hAnsi="Calibri" w:cs="Calibri"/>
                <w:b/>
                <w:color w:val="FFFFFF"/>
                <w:sz w:val="20"/>
              </w:rPr>
            </w:pPr>
            <w:r w:rsidRPr="00721EF1">
              <w:rPr>
                <w:rFonts w:ascii="Calibri" w:eastAsia="Times New Roman" w:hAnsi="Calibri" w:cs="Arial"/>
                <w:b/>
                <w:color w:val="FFFFFF"/>
                <w:sz w:val="20"/>
              </w:rPr>
              <w:t>Q4 2010</w:t>
            </w:r>
          </w:p>
        </w:tc>
        <w:tc>
          <w:tcPr>
            <w:tcW w:w="990" w:type="dxa"/>
            <w:gridSpan w:val="2"/>
            <w:shd w:val="clear" w:color="auto" w:fill="013161"/>
            <w:noWrap/>
          </w:tcPr>
          <w:p w:rsidR="00D86A11" w:rsidRPr="00721EF1" w:rsidRDefault="00D86A11" w:rsidP="00D86A11">
            <w:pPr>
              <w:spacing w:after="0"/>
              <w:jc w:val="center"/>
              <w:rPr>
                <w:rFonts w:ascii="Calibri" w:hAnsi="Calibri" w:cs="Calibri"/>
                <w:b/>
                <w:color w:val="FFFFFF"/>
                <w:sz w:val="20"/>
              </w:rPr>
            </w:pPr>
            <w:r w:rsidRPr="00721EF1">
              <w:rPr>
                <w:rFonts w:ascii="Calibri" w:eastAsia="Times New Roman" w:hAnsi="Calibri" w:cs="Arial"/>
                <w:b/>
                <w:color w:val="FFFFFF"/>
                <w:sz w:val="20"/>
              </w:rPr>
              <w:t>Q4 2011</w:t>
            </w:r>
          </w:p>
        </w:tc>
        <w:tc>
          <w:tcPr>
            <w:tcW w:w="990" w:type="dxa"/>
            <w:gridSpan w:val="2"/>
            <w:shd w:val="clear" w:color="auto" w:fill="013161"/>
            <w:noWrap/>
          </w:tcPr>
          <w:p w:rsidR="00D86A11" w:rsidRPr="00721EF1" w:rsidRDefault="00D86A11" w:rsidP="00D86A11">
            <w:pPr>
              <w:spacing w:after="0"/>
              <w:jc w:val="center"/>
              <w:rPr>
                <w:rFonts w:ascii="Calibri" w:hAnsi="Calibri" w:cs="Calibri"/>
                <w:b/>
                <w:color w:val="FFFFFF"/>
                <w:sz w:val="20"/>
              </w:rPr>
            </w:pPr>
            <w:r w:rsidRPr="00721EF1">
              <w:rPr>
                <w:rFonts w:ascii="Calibri" w:eastAsia="Times New Roman" w:hAnsi="Calibri" w:cs="Arial"/>
                <w:b/>
                <w:color w:val="FFFFFF"/>
                <w:sz w:val="20"/>
              </w:rPr>
              <w:t>Q4 2012</w:t>
            </w:r>
          </w:p>
        </w:tc>
        <w:tc>
          <w:tcPr>
            <w:tcW w:w="990" w:type="dxa"/>
            <w:gridSpan w:val="2"/>
            <w:shd w:val="clear" w:color="auto" w:fill="013161"/>
            <w:noWrap/>
          </w:tcPr>
          <w:p w:rsidR="00D86A11" w:rsidRPr="00721EF1" w:rsidRDefault="00D86A11" w:rsidP="00D86A11">
            <w:pPr>
              <w:spacing w:after="0"/>
              <w:jc w:val="center"/>
              <w:rPr>
                <w:rFonts w:ascii="Calibri" w:hAnsi="Calibri" w:cs="Calibri"/>
                <w:b/>
                <w:color w:val="FFFFFF"/>
                <w:sz w:val="20"/>
              </w:rPr>
            </w:pPr>
            <w:r w:rsidRPr="00721EF1">
              <w:rPr>
                <w:rFonts w:ascii="Calibri" w:eastAsia="Times New Roman" w:hAnsi="Calibri" w:cs="Arial"/>
                <w:b/>
                <w:color w:val="FFFFFF"/>
                <w:sz w:val="20"/>
              </w:rPr>
              <w:t>Q4 2013</w:t>
            </w:r>
          </w:p>
        </w:tc>
        <w:tc>
          <w:tcPr>
            <w:tcW w:w="990" w:type="dxa"/>
            <w:gridSpan w:val="2"/>
            <w:shd w:val="clear" w:color="auto" w:fill="013161"/>
            <w:noWrap/>
          </w:tcPr>
          <w:p w:rsidR="00D86A11" w:rsidRPr="00721EF1" w:rsidRDefault="00D86A11" w:rsidP="00D86A11">
            <w:pPr>
              <w:spacing w:after="0"/>
              <w:jc w:val="center"/>
              <w:rPr>
                <w:rFonts w:ascii="Calibri" w:hAnsi="Calibri" w:cs="Calibri"/>
                <w:b/>
                <w:color w:val="FFFFFF"/>
                <w:sz w:val="20"/>
              </w:rPr>
            </w:pPr>
            <w:r w:rsidRPr="00721EF1">
              <w:rPr>
                <w:rFonts w:ascii="Calibri" w:eastAsia="Times New Roman" w:hAnsi="Calibri" w:cs="Arial"/>
                <w:b/>
                <w:color w:val="FFFFFF"/>
                <w:sz w:val="20"/>
              </w:rPr>
              <w:t>Q4 2014</w:t>
            </w:r>
          </w:p>
        </w:tc>
        <w:tc>
          <w:tcPr>
            <w:tcW w:w="990" w:type="dxa"/>
            <w:gridSpan w:val="2"/>
            <w:shd w:val="clear" w:color="auto" w:fill="013161"/>
            <w:noWrap/>
          </w:tcPr>
          <w:p w:rsidR="00D86A11" w:rsidRPr="00721EF1" w:rsidRDefault="00D86A11" w:rsidP="00D86A11">
            <w:pPr>
              <w:spacing w:after="0"/>
              <w:jc w:val="center"/>
              <w:rPr>
                <w:rFonts w:ascii="Calibri" w:hAnsi="Calibri" w:cs="Calibri"/>
                <w:b/>
                <w:color w:val="FFFFFF"/>
                <w:sz w:val="20"/>
              </w:rPr>
            </w:pPr>
            <w:r w:rsidRPr="00721EF1">
              <w:rPr>
                <w:rFonts w:ascii="Calibri" w:eastAsia="Times New Roman" w:hAnsi="Calibri" w:cs="Arial"/>
                <w:b/>
                <w:color w:val="FFFFFF"/>
                <w:sz w:val="20"/>
              </w:rPr>
              <w:t>Q4 2015</w:t>
            </w:r>
          </w:p>
        </w:tc>
        <w:tc>
          <w:tcPr>
            <w:tcW w:w="1260" w:type="dxa"/>
            <w:shd w:val="clear" w:color="auto" w:fill="013161"/>
          </w:tcPr>
          <w:p w:rsidR="00D86A11" w:rsidRPr="00721EF1" w:rsidRDefault="00D86A11" w:rsidP="001D1803">
            <w:pPr>
              <w:spacing w:after="0"/>
              <w:jc w:val="center"/>
              <w:rPr>
                <w:rFonts w:ascii="Calibri" w:hAnsi="Calibri" w:cs="Calibri"/>
                <w:b/>
                <w:color w:val="FFFFFF"/>
                <w:sz w:val="20"/>
              </w:rPr>
            </w:pPr>
            <w:r w:rsidRPr="00721EF1">
              <w:rPr>
                <w:rFonts w:ascii="Calibri" w:hAnsi="Calibri" w:cs="Calibri"/>
                <w:b/>
                <w:color w:val="FFFFFF"/>
                <w:sz w:val="20"/>
              </w:rPr>
              <w:t>CA</w:t>
            </w:r>
            <w:r w:rsidR="001D1803">
              <w:rPr>
                <w:rFonts w:ascii="Calibri" w:hAnsi="Calibri" w:cs="Calibri"/>
                <w:b/>
                <w:color w:val="FFFFFF"/>
                <w:sz w:val="20"/>
              </w:rPr>
              <w:t xml:space="preserve"> </w:t>
            </w:r>
            <w:r w:rsidRPr="00721EF1">
              <w:rPr>
                <w:rFonts w:ascii="Calibri" w:hAnsi="Calibri" w:cs="Calibri"/>
                <w:b/>
                <w:color w:val="FFFFFF"/>
                <w:sz w:val="20"/>
              </w:rPr>
              <w:t>2015</w:t>
            </w:r>
          </w:p>
        </w:tc>
      </w:tr>
      <w:tr w:rsidR="00D86A11" w:rsidRPr="002E3D5C" w:rsidTr="001D1803">
        <w:trPr>
          <w:trHeight w:val="261"/>
        </w:trPr>
        <w:tc>
          <w:tcPr>
            <w:tcW w:w="2448" w:type="dxa"/>
            <w:shd w:val="clear" w:color="auto" w:fill="auto"/>
            <w:noWrap/>
          </w:tcPr>
          <w:p w:rsidR="00D86A11" w:rsidRPr="00E415BF" w:rsidRDefault="00D86A11" w:rsidP="00D86A11">
            <w:pPr>
              <w:spacing w:after="0"/>
              <w:rPr>
                <w:rFonts w:ascii="Calibri" w:hAnsi="Calibri" w:cs="Calibri"/>
                <w:b/>
                <w:color w:val="013161"/>
                <w:sz w:val="20"/>
              </w:rPr>
            </w:pPr>
            <w:r w:rsidRPr="00E415BF">
              <w:rPr>
                <w:rFonts w:ascii="Calibri" w:hAnsi="Calibri" w:cs="Segoe UI"/>
                <w:b/>
                <w:color w:val="013161"/>
                <w:sz w:val="20"/>
                <w:shd w:val="clear" w:color="auto" w:fill="FFFFFF"/>
              </w:rPr>
              <w:t>Completed high school or equivalency (%)</w:t>
            </w:r>
          </w:p>
        </w:tc>
        <w:tc>
          <w:tcPr>
            <w:tcW w:w="990" w:type="dxa"/>
            <w:gridSpan w:val="2"/>
            <w:shd w:val="clear" w:color="auto" w:fill="auto"/>
            <w:noWrap/>
            <w:vAlign w:val="center"/>
          </w:tcPr>
          <w:p w:rsidR="00D86A11" w:rsidRPr="00E415BF" w:rsidRDefault="00D86A11" w:rsidP="001D1803">
            <w:pPr>
              <w:spacing w:after="0"/>
              <w:jc w:val="center"/>
              <w:rPr>
                <w:rFonts w:ascii="Calibri" w:hAnsi="Calibri" w:cs="Calibri"/>
                <w:b/>
                <w:color w:val="013161"/>
                <w:sz w:val="20"/>
              </w:rPr>
            </w:pPr>
            <w:r w:rsidRPr="00E415BF">
              <w:rPr>
                <w:rFonts w:ascii="Calibri" w:hAnsi="Calibri" w:cs="Calibri"/>
                <w:b/>
                <w:color w:val="013161"/>
                <w:sz w:val="20"/>
              </w:rPr>
              <w:t>43.2</w:t>
            </w:r>
          </w:p>
        </w:tc>
        <w:tc>
          <w:tcPr>
            <w:tcW w:w="990" w:type="dxa"/>
            <w:gridSpan w:val="2"/>
            <w:shd w:val="clear" w:color="auto" w:fill="auto"/>
            <w:noWrap/>
            <w:vAlign w:val="center"/>
          </w:tcPr>
          <w:p w:rsidR="00D86A11" w:rsidRPr="00E415BF" w:rsidRDefault="00D86A11" w:rsidP="001D1803">
            <w:pPr>
              <w:spacing w:after="0"/>
              <w:jc w:val="center"/>
              <w:rPr>
                <w:rFonts w:ascii="Calibri" w:hAnsi="Calibri" w:cs="Calibri"/>
                <w:b/>
                <w:color w:val="013161"/>
                <w:sz w:val="20"/>
              </w:rPr>
            </w:pPr>
            <w:r w:rsidRPr="00E415BF">
              <w:rPr>
                <w:rFonts w:ascii="Calibri" w:hAnsi="Calibri" w:cs="Calibri"/>
                <w:b/>
                <w:color w:val="013161"/>
                <w:sz w:val="20"/>
              </w:rPr>
              <w:t>36.1</w:t>
            </w:r>
          </w:p>
        </w:tc>
        <w:tc>
          <w:tcPr>
            <w:tcW w:w="990" w:type="dxa"/>
            <w:gridSpan w:val="2"/>
            <w:shd w:val="clear" w:color="auto" w:fill="auto"/>
            <w:noWrap/>
            <w:vAlign w:val="center"/>
          </w:tcPr>
          <w:p w:rsidR="00D86A11" w:rsidRPr="00E415BF" w:rsidRDefault="00D86A11" w:rsidP="001D1803">
            <w:pPr>
              <w:spacing w:after="0"/>
              <w:jc w:val="center"/>
              <w:rPr>
                <w:rFonts w:ascii="Calibri" w:hAnsi="Calibri" w:cs="Calibri"/>
                <w:b/>
                <w:color w:val="013161"/>
                <w:sz w:val="20"/>
              </w:rPr>
            </w:pPr>
            <w:r w:rsidRPr="00E415BF">
              <w:rPr>
                <w:rFonts w:ascii="Calibri" w:hAnsi="Calibri" w:cs="Calibri"/>
                <w:b/>
                <w:color w:val="013161"/>
                <w:sz w:val="20"/>
              </w:rPr>
              <w:t>12.5</w:t>
            </w:r>
          </w:p>
        </w:tc>
        <w:tc>
          <w:tcPr>
            <w:tcW w:w="990" w:type="dxa"/>
            <w:gridSpan w:val="2"/>
            <w:shd w:val="clear" w:color="auto" w:fill="auto"/>
            <w:noWrap/>
            <w:vAlign w:val="center"/>
          </w:tcPr>
          <w:p w:rsidR="00D86A11" w:rsidRPr="00E415BF" w:rsidRDefault="00D86A11" w:rsidP="001D1803">
            <w:pPr>
              <w:spacing w:after="0"/>
              <w:jc w:val="center"/>
              <w:rPr>
                <w:rFonts w:ascii="Calibri" w:hAnsi="Calibri" w:cs="Calibri"/>
                <w:b/>
                <w:color w:val="013161"/>
                <w:sz w:val="20"/>
              </w:rPr>
            </w:pPr>
            <w:r w:rsidRPr="00E415BF">
              <w:rPr>
                <w:rFonts w:ascii="Calibri" w:hAnsi="Calibri" w:cs="Calibri"/>
                <w:b/>
                <w:color w:val="013161"/>
                <w:sz w:val="20"/>
              </w:rPr>
              <w:t>36.4</w:t>
            </w:r>
          </w:p>
        </w:tc>
        <w:tc>
          <w:tcPr>
            <w:tcW w:w="990" w:type="dxa"/>
            <w:gridSpan w:val="2"/>
            <w:shd w:val="clear" w:color="auto" w:fill="auto"/>
            <w:noWrap/>
            <w:vAlign w:val="center"/>
          </w:tcPr>
          <w:p w:rsidR="00D86A11" w:rsidRPr="00E415BF" w:rsidRDefault="00D86A11" w:rsidP="001D1803">
            <w:pPr>
              <w:spacing w:after="0"/>
              <w:jc w:val="center"/>
              <w:rPr>
                <w:rFonts w:ascii="Calibri" w:hAnsi="Calibri" w:cs="Calibri"/>
                <w:b/>
                <w:color w:val="013161"/>
                <w:sz w:val="20"/>
              </w:rPr>
            </w:pPr>
            <w:r w:rsidRPr="00E415BF">
              <w:rPr>
                <w:rFonts w:ascii="Calibri" w:hAnsi="Calibri" w:cs="Calibri"/>
                <w:b/>
                <w:color w:val="013161"/>
                <w:sz w:val="20"/>
              </w:rPr>
              <w:t>33.3</w:t>
            </w:r>
          </w:p>
        </w:tc>
        <w:tc>
          <w:tcPr>
            <w:tcW w:w="990" w:type="dxa"/>
            <w:gridSpan w:val="2"/>
            <w:shd w:val="clear" w:color="auto" w:fill="auto"/>
            <w:noWrap/>
            <w:vAlign w:val="center"/>
          </w:tcPr>
          <w:p w:rsidR="00D86A11" w:rsidRPr="00E415BF" w:rsidRDefault="00D86A11" w:rsidP="001D1803">
            <w:pPr>
              <w:spacing w:after="0"/>
              <w:jc w:val="center"/>
              <w:rPr>
                <w:rFonts w:ascii="Calibri" w:hAnsi="Calibri" w:cs="Calibri"/>
                <w:b/>
                <w:color w:val="013161"/>
                <w:sz w:val="20"/>
              </w:rPr>
            </w:pPr>
            <w:r w:rsidRPr="00E415BF">
              <w:rPr>
                <w:rFonts w:ascii="Calibri" w:hAnsi="Calibri" w:cs="Calibri"/>
                <w:b/>
                <w:color w:val="013161"/>
                <w:sz w:val="20"/>
              </w:rPr>
              <w:t>81.0</w:t>
            </w:r>
          </w:p>
        </w:tc>
        <w:tc>
          <w:tcPr>
            <w:tcW w:w="1440" w:type="dxa"/>
            <w:gridSpan w:val="2"/>
            <w:shd w:val="clear" w:color="auto" w:fill="auto"/>
            <w:vAlign w:val="center"/>
          </w:tcPr>
          <w:p w:rsidR="00D86A11" w:rsidRPr="00E415BF" w:rsidRDefault="00D86A11" w:rsidP="001D1803">
            <w:pPr>
              <w:spacing w:after="0"/>
              <w:jc w:val="center"/>
              <w:rPr>
                <w:rFonts w:ascii="Calibri" w:hAnsi="Calibri" w:cs="Calibri"/>
                <w:b/>
                <w:color w:val="2E7029"/>
                <w:sz w:val="20"/>
              </w:rPr>
            </w:pPr>
            <w:r w:rsidRPr="00E415BF">
              <w:rPr>
                <w:rFonts w:ascii="Calibri" w:hAnsi="Calibri" w:cs="Calibri"/>
                <w:b/>
                <w:color w:val="2E7029"/>
                <w:sz w:val="20"/>
              </w:rPr>
              <w:t>63.3</w:t>
            </w:r>
          </w:p>
        </w:tc>
      </w:tr>
      <w:tr w:rsidR="00D86A11" w:rsidRPr="002E3D5C" w:rsidTr="001D1803">
        <w:trPr>
          <w:trHeight w:val="261"/>
        </w:trPr>
        <w:tc>
          <w:tcPr>
            <w:tcW w:w="2448" w:type="dxa"/>
            <w:shd w:val="clear" w:color="auto" w:fill="DBE5F1"/>
            <w:noWrap/>
          </w:tcPr>
          <w:p w:rsidR="00D86A11" w:rsidRPr="00E415BF" w:rsidRDefault="00D86A11" w:rsidP="00D86A11">
            <w:pPr>
              <w:spacing w:after="0"/>
              <w:rPr>
                <w:rFonts w:ascii="Calibri" w:hAnsi="Calibri" w:cs="Calibri"/>
                <w:b/>
                <w:color w:val="013161"/>
                <w:sz w:val="20"/>
              </w:rPr>
            </w:pPr>
            <w:r w:rsidRPr="00721EF1">
              <w:rPr>
                <w:rFonts w:ascii="Calibri" w:hAnsi="Calibri" w:cs="Segoe UI"/>
                <w:b/>
                <w:color w:val="013161"/>
                <w:sz w:val="20"/>
                <w:shd w:val="clear" w:color="auto" w:fill="DBE5F1"/>
              </w:rPr>
              <w:t>Completed high school or equivalency (n)</w:t>
            </w:r>
          </w:p>
        </w:tc>
        <w:tc>
          <w:tcPr>
            <w:tcW w:w="990" w:type="dxa"/>
            <w:gridSpan w:val="2"/>
            <w:shd w:val="clear" w:color="auto" w:fill="DBE5F1"/>
            <w:noWrap/>
            <w:vAlign w:val="center"/>
          </w:tcPr>
          <w:p w:rsidR="00D86A11" w:rsidRPr="00E415BF" w:rsidRDefault="00D86A11" w:rsidP="001D1803">
            <w:pPr>
              <w:spacing w:after="0"/>
              <w:jc w:val="center"/>
              <w:rPr>
                <w:rFonts w:ascii="Calibri" w:hAnsi="Calibri" w:cs="Calibri"/>
                <w:b/>
                <w:color w:val="013161"/>
                <w:sz w:val="20"/>
              </w:rPr>
            </w:pPr>
            <w:r w:rsidRPr="00E415BF">
              <w:rPr>
                <w:rFonts w:ascii="Calibri" w:hAnsi="Calibri" w:cs="Calibri"/>
                <w:b/>
                <w:color w:val="013161"/>
                <w:sz w:val="20"/>
              </w:rPr>
              <w:t>16</w:t>
            </w:r>
          </w:p>
        </w:tc>
        <w:tc>
          <w:tcPr>
            <w:tcW w:w="990" w:type="dxa"/>
            <w:gridSpan w:val="2"/>
            <w:shd w:val="clear" w:color="auto" w:fill="DBE5F1"/>
            <w:noWrap/>
            <w:vAlign w:val="center"/>
          </w:tcPr>
          <w:p w:rsidR="00D86A11" w:rsidRPr="00E415BF" w:rsidRDefault="00D86A11" w:rsidP="001D1803">
            <w:pPr>
              <w:spacing w:after="0"/>
              <w:jc w:val="center"/>
              <w:rPr>
                <w:rFonts w:ascii="Calibri" w:hAnsi="Calibri" w:cs="Calibri"/>
                <w:b/>
                <w:color w:val="013161"/>
                <w:sz w:val="20"/>
              </w:rPr>
            </w:pPr>
            <w:r w:rsidRPr="00E415BF">
              <w:rPr>
                <w:rFonts w:ascii="Calibri" w:hAnsi="Calibri" w:cs="Calibri"/>
                <w:b/>
                <w:color w:val="013161"/>
                <w:sz w:val="20"/>
              </w:rPr>
              <w:t>13</w:t>
            </w:r>
          </w:p>
        </w:tc>
        <w:tc>
          <w:tcPr>
            <w:tcW w:w="990" w:type="dxa"/>
            <w:gridSpan w:val="2"/>
            <w:shd w:val="clear" w:color="auto" w:fill="DBE5F1"/>
            <w:noWrap/>
            <w:vAlign w:val="center"/>
          </w:tcPr>
          <w:p w:rsidR="00D86A11" w:rsidRPr="00E415BF" w:rsidRDefault="00D86A11" w:rsidP="001D1803">
            <w:pPr>
              <w:spacing w:after="0"/>
              <w:jc w:val="center"/>
              <w:rPr>
                <w:rFonts w:ascii="Calibri" w:hAnsi="Calibri" w:cs="Calibri"/>
                <w:b/>
                <w:color w:val="013161"/>
                <w:sz w:val="20"/>
              </w:rPr>
            </w:pPr>
            <w:r w:rsidRPr="00E415BF">
              <w:rPr>
                <w:rFonts w:ascii="Calibri" w:hAnsi="Calibri" w:cs="Calibri"/>
                <w:b/>
                <w:color w:val="013161"/>
                <w:sz w:val="20"/>
              </w:rPr>
              <w:t>1</w:t>
            </w:r>
          </w:p>
        </w:tc>
        <w:tc>
          <w:tcPr>
            <w:tcW w:w="990" w:type="dxa"/>
            <w:gridSpan w:val="2"/>
            <w:shd w:val="clear" w:color="auto" w:fill="DBE5F1"/>
            <w:noWrap/>
            <w:vAlign w:val="center"/>
          </w:tcPr>
          <w:p w:rsidR="00D86A11" w:rsidRPr="00E415BF" w:rsidRDefault="00D86A11" w:rsidP="001D1803">
            <w:pPr>
              <w:spacing w:after="0"/>
              <w:jc w:val="center"/>
              <w:rPr>
                <w:rFonts w:ascii="Calibri" w:hAnsi="Calibri" w:cs="Calibri"/>
                <w:b/>
                <w:color w:val="013161"/>
                <w:sz w:val="20"/>
              </w:rPr>
            </w:pPr>
            <w:r w:rsidRPr="00E415BF">
              <w:rPr>
                <w:rFonts w:ascii="Calibri" w:hAnsi="Calibri" w:cs="Calibri"/>
                <w:b/>
                <w:color w:val="013161"/>
                <w:sz w:val="20"/>
              </w:rPr>
              <w:t>4</w:t>
            </w:r>
          </w:p>
        </w:tc>
        <w:tc>
          <w:tcPr>
            <w:tcW w:w="990" w:type="dxa"/>
            <w:gridSpan w:val="2"/>
            <w:shd w:val="clear" w:color="auto" w:fill="DBE5F1"/>
            <w:noWrap/>
            <w:vAlign w:val="center"/>
          </w:tcPr>
          <w:p w:rsidR="00D86A11" w:rsidRPr="00E415BF" w:rsidRDefault="00D86A11" w:rsidP="001D1803">
            <w:pPr>
              <w:spacing w:after="0"/>
              <w:jc w:val="center"/>
              <w:rPr>
                <w:rFonts w:ascii="Calibri" w:hAnsi="Calibri" w:cs="Calibri"/>
                <w:b/>
                <w:color w:val="013161"/>
                <w:sz w:val="20"/>
              </w:rPr>
            </w:pPr>
            <w:r w:rsidRPr="00E415BF">
              <w:rPr>
                <w:rFonts w:ascii="Calibri" w:hAnsi="Calibri" w:cs="Calibri"/>
                <w:b/>
                <w:color w:val="013161"/>
                <w:sz w:val="20"/>
              </w:rPr>
              <w:t>9</w:t>
            </w:r>
          </w:p>
        </w:tc>
        <w:tc>
          <w:tcPr>
            <w:tcW w:w="990" w:type="dxa"/>
            <w:gridSpan w:val="2"/>
            <w:shd w:val="clear" w:color="auto" w:fill="DBE5F1"/>
            <w:noWrap/>
            <w:vAlign w:val="center"/>
          </w:tcPr>
          <w:p w:rsidR="00D86A11" w:rsidRPr="00E415BF" w:rsidRDefault="00D86A11" w:rsidP="001D1803">
            <w:pPr>
              <w:spacing w:after="0"/>
              <w:jc w:val="center"/>
              <w:rPr>
                <w:rFonts w:ascii="Calibri" w:hAnsi="Calibri" w:cs="Calibri"/>
                <w:b/>
                <w:color w:val="013161"/>
                <w:sz w:val="20"/>
              </w:rPr>
            </w:pPr>
            <w:r w:rsidRPr="00E415BF">
              <w:rPr>
                <w:rFonts w:ascii="Calibri" w:hAnsi="Calibri" w:cs="Calibri"/>
                <w:b/>
                <w:color w:val="013161"/>
                <w:sz w:val="20"/>
              </w:rPr>
              <w:t>34</w:t>
            </w:r>
          </w:p>
        </w:tc>
        <w:tc>
          <w:tcPr>
            <w:tcW w:w="1440" w:type="dxa"/>
            <w:gridSpan w:val="2"/>
            <w:shd w:val="clear" w:color="auto" w:fill="DBE5F1"/>
            <w:vAlign w:val="center"/>
          </w:tcPr>
          <w:p w:rsidR="00D86A11" w:rsidRPr="00E415BF" w:rsidRDefault="00D86A11" w:rsidP="001D1803">
            <w:pPr>
              <w:spacing w:after="0"/>
              <w:jc w:val="center"/>
              <w:rPr>
                <w:rFonts w:ascii="Calibri" w:hAnsi="Calibri" w:cs="Calibri"/>
                <w:b/>
                <w:color w:val="2E7029"/>
                <w:sz w:val="20"/>
              </w:rPr>
            </w:pPr>
            <w:r w:rsidRPr="00E415BF">
              <w:rPr>
                <w:rFonts w:ascii="Calibri" w:hAnsi="Calibri" w:cs="Calibri"/>
                <w:b/>
                <w:color w:val="2E7029"/>
                <w:sz w:val="20"/>
              </w:rPr>
              <w:t>-</w:t>
            </w:r>
          </w:p>
        </w:tc>
      </w:tr>
      <w:tr w:rsidR="00D86A11" w:rsidRPr="002E3D5C" w:rsidTr="001D1803">
        <w:trPr>
          <w:trHeight w:val="261"/>
        </w:trPr>
        <w:tc>
          <w:tcPr>
            <w:tcW w:w="2448" w:type="dxa"/>
            <w:shd w:val="clear" w:color="auto" w:fill="auto"/>
            <w:noWrap/>
          </w:tcPr>
          <w:p w:rsidR="00D86A11" w:rsidRPr="00E415BF" w:rsidRDefault="00D86A11" w:rsidP="00D86A11">
            <w:pPr>
              <w:spacing w:after="0" w:line="240" w:lineRule="auto"/>
              <w:rPr>
                <w:rFonts w:ascii="Calibri" w:eastAsia="Times New Roman" w:hAnsi="Calibri" w:cs="Arial"/>
                <w:b/>
                <w:color w:val="013161"/>
                <w:sz w:val="20"/>
              </w:rPr>
            </w:pPr>
            <w:r w:rsidRPr="00E415BF">
              <w:rPr>
                <w:rFonts w:ascii="Calibri" w:eastAsia="Times New Roman" w:hAnsi="Calibri" w:cs="Arial"/>
                <w:b/>
                <w:color w:val="013161"/>
                <w:sz w:val="20"/>
              </w:rPr>
              <w:t>Obtained employment (%)</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35.1</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27.8</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25.0</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27.3</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3.7</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35.7</w:t>
            </w:r>
          </w:p>
        </w:tc>
        <w:tc>
          <w:tcPr>
            <w:tcW w:w="1440" w:type="dxa"/>
            <w:gridSpan w:val="2"/>
            <w:shd w:val="clear" w:color="auto" w:fill="auto"/>
            <w:vAlign w:val="center"/>
          </w:tcPr>
          <w:p w:rsidR="00D86A11" w:rsidRPr="00E415BF" w:rsidRDefault="00D86A11" w:rsidP="001D1803">
            <w:pPr>
              <w:spacing w:after="0" w:line="240" w:lineRule="auto"/>
              <w:jc w:val="center"/>
              <w:rPr>
                <w:rFonts w:ascii="Calibri" w:eastAsia="Times New Roman" w:hAnsi="Calibri" w:cs="Arial"/>
                <w:b/>
                <w:color w:val="2E7029"/>
                <w:sz w:val="20"/>
              </w:rPr>
            </w:pPr>
            <w:r w:rsidRPr="00E415BF">
              <w:rPr>
                <w:rFonts w:ascii="Calibri" w:eastAsia="Times New Roman" w:hAnsi="Calibri" w:cs="Arial"/>
                <w:b/>
                <w:color w:val="2E7029"/>
                <w:sz w:val="20"/>
              </w:rPr>
              <w:t>37.8</w:t>
            </w:r>
          </w:p>
        </w:tc>
      </w:tr>
      <w:tr w:rsidR="00D86A11" w:rsidRPr="002E3D5C" w:rsidTr="001D1803">
        <w:trPr>
          <w:trHeight w:val="261"/>
        </w:trPr>
        <w:tc>
          <w:tcPr>
            <w:tcW w:w="2448" w:type="dxa"/>
            <w:shd w:val="clear" w:color="auto" w:fill="DBE5F1"/>
            <w:noWrap/>
          </w:tcPr>
          <w:p w:rsidR="00D86A11" w:rsidRPr="00E415BF" w:rsidRDefault="00D86A11" w:rsidP="00D86A11">
            <w:pPr>
              <w:spacing w:after="0" w:line="240" w:lineRule="auto"/>
              <w:rPr>
                <w:rFonts w:ascii="Calibri" w:eastAsia="Times New Roman" w:hAnsi="Calibri" w:cs="Arial"/>
                <w:b/>
                <w:color w:val="013161"/>
                <w:sz w:val="20"/>
              </w:rPr>
            </w:pPr>
            <w:r w:rsidRPr="00E415BF">
              <w:rPr>
                <w:rFonts w:ascii="Calibri" w:eastAsia="Times New Roman" w:hAnsi="Calibri" w:cs="Arial"/>
                <w:b/>
                <w:color w:val="013161"/>
                <w:sz w:val="20"/>
              </w:rPr>
              <w:t>Obtained employment (n)</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13</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10</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2</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3</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1</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15</w:t>
            </w:r>
          </w:p>
        </w:tc>
        <w:tc>
          <w:tcPr>
            <w:tcW w:w="1440" w:type="dxa"/>
            <w:gridSpan w:val="2"/>
            <w:shd w:val="clear" w:color="auto" w:fill="DBE5F1"/>
            <w:vAlign w:val="center"/>
          </w:tcPr>
          <w:p w:rsidR="00D86A11" w:rsidRPr="00E415BF" w:rsidRDefault="00D86A11" w:rsidP="001D1803">
            <w:pPr>
              <w:spacing w:after="0" w:line="240" w:lineRule="auto"/>
              <w:jc w:val="center"/>
              <w:rPr>
                <w:rFonts w:ascii="Calibri" w:eastAsia="Times New Roman" w:hAnsi="Calibri" w:cs="Arial"/>
                <w:b/>
                <w:color w:val="2E7029"/>
                <w:sz w:val="20"/>
              </w:rPr>
            </w:pPr>
            <w:r w:rsidRPr="00E415BF">
              <w:rPr>
                <w:rFonts w:ascii="Calibri" w:eastAsia="Times New Roman" w:hAnsi="Calibri" w:cs="Arial"/>
                <w:b/>
                <w:color w:val="2E7029"/>
                <w:sz w:val="20"/>
              </w:rPr>
              <w:t>-</w:t>
            </w:r>
          </w:p>
        </w:tc>
      </w:tr>
      <w:tr w:rsidR="00D86A11" w:rsidRPr="002E3D5C" w:rsidTr="001D1803">
        <w:trPr>
          <w:trHeight w:val="261"/>
        </w:trPr>
        <w:tc>
          <w:tcPr>
            <w:tcW w:w="2448" w:type="dxa"/>
            <w:shd w:val="clear" w:color="auto" w:fill="auto"/>
            <w:noWrap/>
          </w:tcPr>
          <w:p w:rsidR="00D86A11" w:rsidRPr="00E415BF" w:rsidRDefault="00D86A11" w:rsidP="00D86A11">
            <w:pPr>
              <w:spacing w:after="0" w:line="240" w:lineRule="auto"/>
              <w:rPr>
                <w:rFonts w:ascii="Calibri" w:eastAsia="Times New Roman" w:hAnsi="Calibri" w:cs="Arial"/>
                <w:b/>
                <w:color w:val="013161"/>
                <w:sz w:val="20"/>
              </w:rPr>
            </w:pPr>
            <w:r w:rsidRPr="00E415BF">
              <w:rPr>
                <w:rFonts w:ascii="Calibri" w:eastAsia="Times New Roman" w:hAnsi="Calibri" w:cs="Arial"/>
                <w:b/>
                <w:color w:val="013161"/>
                <w:sz w:val="20"/>
              </w:rPr>
              <w:t>Have housing arrangements (%)</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94.6</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97.2</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100.0</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90.9</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92.6</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88.1</w:t>
            </w:r>
          </w:p>
        </w:tc>
        <w:tc>
          <w:tcPr>
            <w:tcW w:w="1440" w:type="dxa"/>
            <w:gridSpan w:val="2"/>
            <w:shd w:val="clear" w:color="auto" w:fill="auto"/>
            <w:vAlign w:val="center"/>
          </w:tcPr>
          <w:p w:rsidR="00D86A11" w:rsidRPr="00E415BF" w:rsidRDefault="00D86A11" w:rsidP="001D1803">
            <w:pPr>
              <w:spacing w:after="0" w:line="240" w:lineRule="auto"/>
              <w:jc w:val="center"/>
              <w:rPr>
                <w:rFonts w:ascii="Calibri" w:eastAsia="Times New Roman" w:hAnsi="Calibri" w:cs="Arial"/>
                <w:b/>
                <w:color w:val="2E7029"/>
                <w:sz w:val="20"/>
              </w:rPr>
            </w:pPr>
            <w:r w:rsidRPr="00E415BF">
              <w:rPr>
                <w:rFonts w:ascii="Calibri" w:eastAsia="Times New Roman" w:hAnsi="Calibri" w:cs="Arial"/>
                <w:b/>
                <w:color w:val="2E7029"/>
                <w:sz w:val="20"/>
              </w:rPr>
              <w:t>88.0</w:t>
            </w:r>
          </w:p>
        </w:tc>
      </w:tr>
      <w:tr w:rsidR="00D86A11" w:rsidRPr="002E3D5C" w:rsidTr="001D1803">
        <w:trPr>
          <w:trHeight w:val="261"/>
        </w:trPr>
        <w:tc>
          <w:tcPr>
            <w:tcW w:w="2448" w:type="dxa"/>
            <w:shd w:val="clear" w:color="auto" w:fill="DBE5F1"/>
            <w:noWrap/>
          </w:tcPr>
          <w:p w:rsidR="00D86A11" w:rsidRPr="00E415BF" w:rsidRDefault="00D86A11" w:rsidP="00D86A11">
            <w:pPr>
              <w:spacing w:after="0" w:line="240" w:lineRule="auto"/>
              <w:rPr>
                <w:rFonts w:ascii="Calibri" w:eastAsia="Times New Roman" w:hAnsi="Calibri" w:cs="Arial"/>
                <w:b/>
                <w:color w:val="013161"/>
                <w:sz w:val="20"/>
              </w:rPr>
            </w:pPr>
            <w:r w:rsidRPr="00E415BF">
              <w:rPr>
                <w:rFonts w:ascii="Calibri" w:eastAsia="Times New Roman" w:hAnsi="Calibri" w:cs="Arial"/>
                <w:b/>
                <w:color w:val="013161"/>
                <w:sz w:val="20"/>
              </w:rPr>
              <w:t>Have housing arrangements (n)</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35</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35</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8</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10</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25</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37</w:t>
            </w:r>
          </w:p>
        </w:tc>
        <w:tc>
          <w:tcPr>
            <w:tcW w:w="1440" w:type="dxa"/>
            <w:gridSpan w:val="2"/>
            <w:shd w:val="clear" w:color="auto" w:fill="DBE5F1"/>
            <w:vAlign w:val="center"/>
          </w:tcPr>
          <w:p w:rsidR="00D86A11" w:rsidRPr="00E415BF" w:rsidRDefault="00D86A11" w:rsidP="001D1803">
            <w:pPr>
              <w:spacing w:after="0" w:line="240" w:lineRule="auto"/>
              <w:jc w:val="center"/>
              <w:rPr>
                <w:rFonts w:ascii="Calibri" w:eastAsia="Times New Roman" w:hAnsi="Calibri" w:cs="Arial"/>
                <w:b/>
                <w:color w:val="2E7029"/>
                <w:sz w:val="20"/>
              </w:rPr>
            </w:pPr>
            <w:r w:rsidRPr="00E415BF">
              <w:rPr>
                <w:rFonts w:ascii="Calibri" w:eastAsia="Times New Roman" w:hAnsi="Calibri" w:cs="Arial"/>
                <w:b/>
                <w:color w:val="2E7029"/>
                <w:sz w:val="20"/>
              </w:rPr>
              <w:t>-</w:t>
            </w:r>
          </w:p>
        </w:tc>
      </w:tr>
      <w:tr w:rsidR="00D86A11" w:rsidRPr="002E3D5C" w:rsidTr="001D1803">
        <w:trPr>
          <w:trHeight w:val="261"/>
        </w:trPr>
        <w:tc>
          <w:tcPr>
            <w:tcW w:w="2448" w:type="dxa"/>
            <w:shd w:val="clear" w:color="auto" w:fill="auto"/>
            <w:noWrap/>
          </w:tcPr>
          <w:p w:rsidR="00D86A11" w:rsidRPr="00E415BF" w:rsidRDefault="00D86A11" w:rsidP="00D86A11">
            <w:pPr>
              <w:spacing w:after="0" w:line="240" w:lineRule="auto"/>
              <w:rPr>
                <w:rFonts w:ascii="Calibri" w:eastAsia="Times New Roman" w:hAnsi="Calibri" w:cs="Arial"/>
                <w:b/>
                <w:color w:val="013161"/>
                <w:sz w:val="20"/>
              </w:rPr>
            </w:pPr>
            <w:r w:rsidRPr="00E415BF">
              <w:rPr>
                <w:rFonts w:ascii="Calibri" w:eastAsia="Times New Roman" w:hAnsi="Calibri" w:cs="Arial"/>
                <w:b/>
                <w:color w:val="013161"/>
                <w:sz w:val="20"/>
              </w:rPr>
              <w:t>Permanency connection with an adult (%)</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91.1</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100.0</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100.0</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90.9</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88.9</w:t>
            </w:r>
          </w:p>
        </w:tc>
        <w:tc>
          <w:tcPr>
            <w:tcW w:w="990" w:type="dxa"/>
            <w:gridSpan w:val="2"/>
            <w:shd w:val="clear" w:color="auto" w:fill="auto"/>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92.9</w:t>
            </w:r>
          </w:p>
        </w:tc>
        <w:tc>
          <w:tcPr>
            <w:tcW w:w="1440" w:type="dxa"/>
            <w:gridSpan w:val="2"/>
            <w:shd w:val="clear" w:color="auto" w:fill="auto"/>
            <w:vAlign w:val="center"/>
          </w:tcPr>
          <w:p w:rsidR="00D86A11" w:rsidRPr="00E415BF" w:rsidRDefault="00D86A11" w:rsidP="001D1803">
            <w:pPr>
              <w:spacing w:after="0" w:line="240" w:lineRule="auto"/>
              <w:jc w:val="center"/>
              <w:rPr>
                <w:rFonts w:ascii="Calibri" w:eastAsia="Times New Roman" w:hAnsi="Calibri" w:cs="Arial"/>
                <w:b/>
                <w:color w:val="2E7029"/>
                <w:sz w:val="20"/>
              </w:rPr>
            </w:pPr>
            <w:r w:rsidRPr="00E415BF">
              <w:rPr>
                <w:rFonts w:ascii="Calibri" w:eastAsia="Times New Roman" w:hAnsi="Calibri" w:cs="Arial"/>
                <w:b/>
                <w:color w:val="2E7029"/>
                <w:sz w:val="20"/>
              </w:rPr>
              <w:t>90.9</w:t>
            </w:r>
          </w:p>
        </w:tc>
      </w:tr>
      <w:tr w:rsidR="00D86A11" w:rsidRPr="002E3D5C" w:rsidTr="001D1803">
        <w:trPr>
          <w:trHeight w:val="261"/>
        </w:trPr>
        <w:tc>
          <w:tcPr>
            <w:tcW w:w="2448" w:type="dxa"/>
            <w:shd w:val="clear" w:color="auto" w:fill="DBE5F1"/>
            <w:noWrap/>
          </w:tcPr>
          <w:p w:rsidR="00D86A11" w:rsidRPr="00E415BF" w:rsidRDefault="00D86A11" w:rsidP="00D86A11">
            <w:pPr>
              <w:spacing w:after="0" w:line="240" w:lineRule="auto"/>
              <w:rPr>
                <w:rFonts w:ascii="Calibri" w:eastAsia="Times New Roman" w:hAnsi="Calibri" w:cs="Arial"/>
                <w:b/>
                <w:color w:val="013161"/>
                <w:sz w:val="20"/>
              </w:rPr>
            </w:pPr>
            <w:r w:rsidRPr="00E415BF">
              <w:rPr>
                <w:rFonts w:ascii="Calibri" w:eastAsia="Times New Roman" w:hAnsi="Calibri" w:cs="Arial"/>
                <w:b/>
                <w:color w:val="013161"/>
                <w:sz w:val="20"/>
              </w:rPr>
              <w:t>Permanency connection with an adult (n)</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34</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36</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8</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10</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24</w:t>
            </w:r>
          </w:p>
        </w:tc>
        <w:tc>
          <w:tcPr>
            <w:tcW w:w="990" w:type="dxa"/>
            <w:gridSpan w:val="2"/>
            <w:shd w:val="clear" w:color="auto" w:fill="DBE5F1"/>
            <w:noWrap/>
            <w:vAlign w:val="center"/>
          </w:tcPr>
          <w:p w:rsidR="00D86A11" w:rsidRPr="00E415BF" w:rsidRDefault="00D86A11" w:rsidP="001D1803">
            <w:pPr>
              <w:spacing w:after="0" w:line="240" w:lineRule="auto"/>
              <w:jc w:val="center"/>
              <w:rPr>
                <w:rFonts w:ascii="Calibri" w:eastAsia="Times New Roman" w:hAnsi="Calibri" w:cs="Arial"/>
                <w:b/>
                <w:color w:val="013161"/>
                <w:sz w:val="20"/>
              </w:rPr>
            </w:pPr>
            <w:r w:rsidRPr="00E415BF">
              <w:rPr>
                <w:rFonts w:ascii="Calibri" w:eastAsia="Times New Roman" w:hAnsi="Calibri" w:cs="Arial"/>
                <w:b/>
                <w:color w:val="013161"/>
                <w:sz w:val="20"/>
              </w:rPr>
              <w:t>39</w:t>
            </w:r>
          </w:p>
        </w:tc>
        <w:tc>
          <w:tcPr>
            <w:tcW w:w="1440" w:type="dxa"/>
            <w:gridSpan w:val="2"/>
            <w:shd w:val="clear" w:color="auto" w:fill="DBE5F1"/>
            <w:vAlign w:val="center"/>
          </w:tcPr>
          <w:p w:rsidR="00D86A11" w:rsidRPr="00E415BF" w:rsidRDefault="00D86A11" w:rsidP="001D1803">
            <w:pPr>
              <w:spacing w:after="0" w:line="240" w:lineRule="auto"/>
              <w:jc w:val="center"/>
              <w:rPr>
                <w:rFonts w:ascii="Calibri" w:eastAsia="Times New Roman" w:hAnsi="Calibri" w:cs="Arial"/>
                <w:b/>
                <w:color w:val="2E7029"/>
                <w:sz w:val="20"/>
              </w:rPr>
            </w:pPr>
            <w:r w:rsidRPr="00E415BF">
              <w:rPr>
                <w:rFonts w:ascii="Calibri" w:eastAsia="Times New Roman" w:hAnsi="Calibri" w:cs="Arial"/>
                <w:b/>
                <w:color w:val="2E7029"/>
                <w:sz w:val="20"/>
              </w:rPr>
              <w:t>-</w:t>
            </w:r>
          </w:p>
        </w:tc>
      </w:tr>
    </w:tbl>
    <w:p w:rsidR="00D86A11" w:rsidRPr="0036432F" w:rsidRDefault="00D86A11" w:rsidP="00D86A11">
      <w:pPr>
        <w:spacing w:after="0"/>
        <w:rPr>
          <w:rFonts w:ascii="Calibri" w:hAnsi="Calibri" w:cs="Calibri"/>
          <w:sz w:val="18"/>
          <w:szCs w:val="18"/>
        </w:rPr>
      </w:pPr>
      <w:r w:rsidRPr="0036432F">
        <w:rPr>
          <w:rFonts w:ascii="Calibri" w:hAnsi="Calibri" w:cs="Calibri"/>
          <w:sz w:val="18"/>
          <w:szCs w:val="18"/>
        </w:rPr>
        <w:t>* Q1 2015 data were used because Q1 is the most recent quarter for which comparison data for other years are available.</w:t>
      </w:r>
    </w:p>
    <w:p w:rsidR="00D86A11" w:rsidRPr="005217F6" w:rsidRDefault="00D86A11" w:rsidP="00D86A11">
      <w:pPr>
        <w:pStyle w:val="Heading1"/>
        <w:rPr>
          <w:color w:val="2E7029"/>
          <w:sz w:val="24"/>
        </w:rPr>
      </w:pPr>
      <w:r w:rsidRPr="005217F6">
        <w:rPr>
          <w:color w:val="2E7029"/>
          <w:sz w:val="24"/>
        </w:rPr>
        <w:lastRenderedPageBreak/>
        <w:t xml:space="preserve">Analysis </w:t>
      </w:r>
    </w:p>
    <w:p w:rsidR="00D86A11" w:rsidRPr="00221C01" w:rsidRDefault="00D86A11" w:rsidP="00D86A11">
      <w:pPr>
        <w:spacing w:after="0"/>
        <w:contextualSpacing/>
        <w:rPr>
          <w:rFonts w:ascii="Franklin Gothic Book" w:hAnsi="Franklin Gothic Book"/>
          <w:color w:val="auto"/>
          <w:spacing w:val="20"/>
          <w:szCs w:val="28"/>
        </w:rPr>
      </w:pPr>
      <w:r w:rsidRPr="00221C01">
        <w:rPr>
          <w:rFonts w:ascii="Franklin Gothic Book" w:hAnsi="Franklin Gothic Book"/>
          <w:color w:val="auto"/>
          <w:spacing w:val="20"/>
          <w:szCs w:val="28"/>
        </w:rPr>
        <w:t>This measure reports quarterly outcomes for youth who exited foster care placement due to attaining age 18 or 19, or were under age 18 but were legally emancipated from foster care. The information reported for each youth is based on what is known about the youth’s status at the month of exiting care. Because the data presented are just for one quarter and are based on the small number of youth exiting that quarter, percentages can vary significantly from one reporting period to the next. Data are not available by race/ethnicity for this measure.</w:t>
      </w:r>
    </w:p>
    <w:p w:rsidR="00D86A11" w:rsidRPr="00221C01" w:rsidRDefault="00D86A11" w:rsidP="00D86A11">
      <w:pPr>
        <w:spacing w:after="0"/>
        <w:contextualSpacing/>
        <w:rPr>
          <w:rFonts w:ascii="Franklin Gothic Book" w:hAnsi="Franklin Gothic Book"/>
          <w:color w:val="auto"/>
          <w:spacing w:val="20"/>
          <w:szCs w:val="28"/>
        </w:rPr>
      </w:pPr>
    </w:p>
    <w:p w:rsidR="00D86A11" w:rsidRPr="00221C01" w:rsidRDefault="00D86A11" w:rsidP="00D86A11">
      <w:pPr>
        <w:spacing w:after="0"/>
        <w:rPr>
          <w:rFonts w:ascii="Franklin Gothic Book" w:hAnsi="Franklin Gothic Book"/>
          <w:b/>
          <w:color w:val="auto"/>
          <w:spacing w:val="20"/>
          <w:szCs w:val="28"/>
        </w:rPr>
      </w:pPr>
      <w:r w:rsidRPr="00221C01">
        <w:rPr>
          <w:rFonts w:ascii="Franklin Gothic Book" w:hAnsi="Franklin Gothic Book"/>
          <w:b/>
          <w:color w:val="auto"/>
          <w:spacing w:val="20"/>
          <w:szCs w:val="28"/>
        </w:rPr>
        <w:t xml:space="preserve">Trends:  </w:t>
      </w:r>
    </w:p>
    <w:p w:rsidR="00D86A11" w:rsidRPr="00221C01" w:rsidRDefault="00D86A11" w:rsidP="00D86A11">
      <w:pPr>
        <w:numPr>
          <w:ilvl w:val="0"/>
          <w:numId w:val="14"/>
        </w:numPr>
        <w:spacing w:after="0"/>
        <w:rPr>
          <w:rFonts w:ascii="Franklin Gothic Book" w:hAnsi="Franklin Gothic Book"/>
          <w:color w:val="auto"/>
          <w:spacing w:val="20"/>
          <w:szCs w:val="28"/>
        </w:rPr>
      </w:pPr>
      <w:r>
        <w:rPr>
          <w:rFonts w:ascii="Franklin Gothic Book" w:hAnsi="Franklin Gothic Book"/>
          <w:color w:val="auto"/>
          <w:spacing w:val="20"/>
          <w:szCs w:val="28"/>
        </w:rPr>
        <w:t>The County of San Diego</w:t>
      </w:r>
      <w:r w:rsidRPr="00221C01">
        <w:rPr>
          <w:rFonts w:ascii="Franklin Gothic Book" w:hAnsi="Franklin Gothic Book"/>
          <w:color w:val="auto"/>
          <w:spacing w:val="20"/>
          <w:szCs w:val="28"/>
        </w:rPr>
        <w:t xml:space="preserve"> has seen a large increase in the percent of youth exiting foster care that have completed high school or equivalency from 43.2% in Q1 2010 to 81.0% in 2015. San Diego is performing better than the State overall on this measure.</w:t>
      </w:r>
    </w:p>
    <w:p w:rsidR="00D86A11" w:rsidRPr="00221C01" w:rsidRDefault="00D86A11" w:rsidP="00D86A11">
      <w:pPr>
        <w:numPr>
          <w:ilvl w:val="0"/>
          <w:numId w:val="14"/>
        </w:numPr>
        <w:spacing w:after="0"/>
        <w:rPr>
          <w:rFonts w:ascii="Franklin Gothic Book" w:hAnsi="Franklin Gothic Book"/>
          <w:color w:val="auto"/>
          <w:spacing w:val="20"/>
          <w:szCs w:val="28"/>
        </w:rPr>
      </w:pPr>
      <w:r w:rsidRPr="00221C01">
        <w:rPr>
          <w:rFonts w:ascii="Franklin Gothic Book" w:hAnsi="Franklin Gothic Book"/>
          <w:color w:val="auto"/>
          <w:spacing w:val="20"/>
          <w:szCs w:val="28"/>
        </w:rPr>
        <w:t>The rate of exiting youth that have obtained employment has stayed the same over the last six years. The County’s rate is slightly less than the State’s rate.</w:t>
      </w:r>
    </w:p>
    <w:p w:rsidR="00D86A11" w:rsidRPr="00221C01" w:rsidRDefault="00D86A11" w:rsidP="00D86A11">
      <w:pPr>
        <w:numPr>
          <w:ilvl w:val="0"/>
          <w:numId w:val="14"/>
        </w:numPr>
        <w:spacing w:after="0"/>
        <w:rPr>
          <w:rFonts w:ascii="Franklin Gothic Book" w:hAnsi="Franklin Gothic Book"/>
          <w:color w:val="auto"/>
          <w:spacing w:val="20"/>
          <w:szCs w:val="28"/>
        </w:rPr>
      </w:pPr>
      <w:r w:rsidRPr="00221C01">
        <w:rPr>
          <w:rFonts w:ascii="Franklin Gothic Book" w:hAnsi="Franklin Gothic Book"/>
          <w:color w:val="auto"/>
          <w:spacing w:val="20"/>
          <w:szCs w:val="28"/>
        </w:rPr>
        <w:t xml:space="preserve">The County has seen a decrease in the percent of youth that have housing arrangements from 94.6% in Q1 2010 to 88.1% in 2015. The County and State rates are similar. </w:t>
      </w:r>
    </w:p>
    <w:p w:rsidR="00D86A11" w:rsidRPr="00221C01" w:rsidRDefault="00D86A11" w:rsidP="00D86A11">
      <w:pPr>
        <w:numPr>
          <w:ilvl w:val="0"/>
          <w:numId w:val="14"/>
        </w:numPr>
        <w:spacing w:after="0"/>
        <w:rPr>
          <w:rFonts w:ascii="Franklin Gothic Book" w:hAnsi="Franklin Gothic Book"/>
          <w:color w:val="auto"/>
          <w:spacing w:val="20"/>
          <w:szCs w:val="28"/>
        </w:rPr>
      </w:pPr>
      <w:r w:rsidRPr="00221C01">
        <w:rPr>
          <w:rFonts w:ascii="Franklin Gothic Book" w:hAnsi="Franklin Gothic Book"/>
          <w:color w:val="auto"/>
          <w:spacing w:val="20"/>
          <w:szCs w:val="28"/>
        </w:rPr>
        <w:t xml:space="preserve">The County’s percent of exiting youth that have a permanency connection with an adult has increased slightly from 91.1% in Q1 2010 to 92.9% in 2015. The County’s rate is slightly higher than the State’s rate of 90.9%. </w:t>
      </w:r>
    </w:p>
    <w:p w:rsidR="00D86A11" w:rsidRPr="00221C01" w:rsidRDefault="00D86A11" w:rsidP="00D86A11">
      <w:pPr>
        <w:pStyle w:val="Heading3"/>
        <w:spacing w:line="276" w:lineRule="auto"/>
        <w:rPr>
          <w:b w:val="0"/>
          <w:color w:val="auto"/>
          <w:sz w:val="22"/>
        </w:rPr>
      </w:pPr>
      <w:r w:rsidRPr="00221C01">
        <w:rPr>
          <w:b w:val="0"/>
          <w:color w:val="auto"/>
          <w:sz w:val="22"/>
        </w:rPr>
        <w:t xml:space="preserve">The increased high school completion rate is at least in part due to better data collection and reporting. With the implementation of extended foster care (EFC), CWS began transferring the cases of all youth to the EFC unit when they reached 17.5 years of age. Now, instead of relying on social workers across all six HHSA regions to complete the Exit Outcomes form for Measure 8A, the data are now collected and reported by one Continuous Quality Improvement (CQI) Policy Analyst in the EFC Unit. </w:t>
      </w:r>
    </w:p>
    <w:p w:rsidR="00D86A11" w:rsidRPr="00221C01" w:rsidRDefault="00D86A11" w:rsidP="00D86A11">
      <w:pPr>
        <w:pStyle w:val="Heading3"/>
        <w:spacing w:line="276" w:lineRule="auto"/>
        <w:rPr>
          <w:b w:val="0"/>
          <w:color w:val="auto"/>
          <w:sz w:val="22"/>
        </w:rPr>
      </w:pPr>
      <w:r w:rsidRPr="00221C01">
        <w:rPr>
          <w:b w:val="0"/>
          <w:color w:val="auto"/>
          <w:sz w:val="22"/>
        </w:rPr>
        <w:t xml:space="preserve">The State suspended the California High School Exit Examination, effective January 1, 2016. This may lead to even higher rates of high school completion in the coming years. </w:t>
      </w:r>
    </w:p>
    <w:p w:rsidR="00D86A11" w:rsidRPr="002B151E" w:rsidRDefault="00D86A11" w:rsidP="00D86A11">
      <w:pPr>
        <w:pStyle w:val="Heading1"/>
        <w:rPr>
          <w:color w:val="013161"/>
        </w:rPr>
      </w:pPr>
      <w:r w:rsidRPr="002B151E">
        <w:rPr>
          <w:color w:val="013161"/>
        </w:rPr>
        <w:t>Probation Outcome Measures</w:t>
      </w:r>
    </w:p>
    <w:p w:rsidR="00D86A11" w:rsidRPr="000A6876" w:rsidRDefault="00D86A11" w:rsidP="00D86A11">
      <w:pPr>
        <w:spacing w:after="0"/>
        <w:rPr>
          <w:rFonts w:ascii="Franklin Gothic Book" w:hAnsi="Franklin Gothic Book"/>
          <w:color w:val="auto"/>
          <w:spacing w:val="20"/>
          <w:szCs w:val="28"/>
        </w:rPr>
      </w:pPr>
      <w:r w:rsidRPr="000A6876">
        <w:rPr>
          <w:rFonts w:ascii="Franklin Gothic Book" w:hAnsi="Franklin Gothic Book"/>
          <w:color w:val="auto"/>
          <w:spacing w:val="20"/>
          <w:szCs w:val="28"/>
        </w:rPr>
        <w:t xml:space="preserve">The statistics provided in this section were retrieved from the Child Welfare Indicators Project website, a joint venture of the California Department of Social Services and the University of California at Berkeley California (http://cssr.berkeley.edu/ucb_childwelfare). The source for outcome data is the CWS/CMS administrative data system used by all counties in the State of California (2015 Quarter 4 extract). To calculate rates, the website used child population data from the 2015 California Department of Finance: 2010-2060 - Population Projections. Outcome data are reported for calendar years (January 1 through December 31) unless otherwise noted. </w:t>
      </w:r>
    </w:p>
    <w:p w:rsidR="00D86A11" w:rsidRDefault="00D86A11" w:rsidP="00D86A11">
      <w:pPr>
        <w:pStyle w:val="Heading1"/>
        <w:rPr>
          <w:rFonts w:ascii="Calibri" w:hAnsi="Calibri" w:cs="Calibri"/>
          <w:color w:val="auto"/>
          <w:szCs w:val="28"/>
        </w:rPr>
      </w:pPr>
      <w:r w:rsidRPr="00AF204C">
        <w:rPr>
          <w:color w:val="F6872B"/>
          <w:sz w:val="24"/>
        </w:rPr>
        <w:lastRenderedPageBreak/>
        <w:t xml:space="preserve">3-S1 Maltreatment in Foster Care </w:t>
      </w:r>
    </w:p>
    <w:tbl>
      <w:tblPr>
        <w:tblW w:w="9630" w:type="dxa"/>
        <w:tblBorders>
          <w:top w:val="single" w:sz="18" w:space="0" w:color="F6872B"/>
          <w:bottom w:val="single" w:sz="18" w:space="0" w:color="F6872B"/>
        </w:tblBorders>
        <w:tblLook w:val="04A0" w:firstRow="1" w:lastRow="0" w:firstColumn="1" w:lastColumn="0" w:noHBand="0" w:noVBand="1"/>
      </w:tblPr>
      <w:tblGrid>
        <w:gridCol w:w="3330"/>
        <w:gridCol w:w="900"/>
        <w:gridCol w:w="1170"/>
        <w:gridCol w:w="1170"/>
        <w:gridCol w:w="1017"/>
        <w:gridCol w:w="1143"/>
        <w:gridCol w:w="900"/>
      </w:tblGrid>
      <w:tr w:rsidR="00D86A11" w:rsidRPr="006A32DE">
        <w:trPr>
          <w:trHeight w:val="648"/>
        </w:trPr>
        <w:tc>
          <w:tcPr>
            <w:tcW w:w="9630" w:type="dxa"/>
            <w:gridSpan w:val="7"/>
            <w:shd w:val="clear" w:color="auto" w:fill="013161"/>
            <w:noWrap/>
          </w:tcPr>
          <w:p w:rsidR="00D86A11" w:rsidRPr="00E415BF" w:rsidRDefault="00D86A11" w:rsidP="00D86A11">
            <w:pPr>
              <w:spacing w:after="0" w:line="240" w:lineRule="auto"/>
              <w:jc w:val="center"/>
              <w:rPr>
                <w:rFonts w:ascii="Calibri" w:eastAsia="Times New Roman" w:hAnsi="Calibri" w:cs="Arial"/>
                <w:b/>
                <w:color w:val="auto"/>
                <w:sz w:val="24"/>
              </w:rPr>
            </w:pPr>
            <w:r>
              <w:rPr>
                <w:rFonts w:ascii="Calibri" w:eastAsia="Times New Roman" w:hAnsi="Calibri" w:cs="Arial"/>
                <w:b/>
                <w:color w:val="auto"/>
                <w:sz w:val="24"/>
              </w:rPr>
              <w:t>Exhibit 78. County of San Diego</w:t>
            </w:r>
            <w:r w:rsidRPr="00E415BF">
              <w:rPr>
                <w:rFonts w:ascii="Calibri" w:eastAsia="Times New Roman" w:hAnsi="Calibri" w:cs="Arial"/>
                <w:b/>
                <w:color w:val="auto"/>
                <w:sz w:val="24"/>
              </w:rPr>
              <w:t xml:space="preserve"> Probation - Maltreatment in Foster Care</w:t>
            </w:r>
          </w:p>
          <w:p w:rsidR="00D86A11" w:rsidRPr="000055D1" w:rsidRDefault="00D86A11" w:rsidP="00D86A11">
            <w:pPr>
              <w:spacing w:after="0" w:line="240" w:lineRule="auto"/>
              <w:jc w:val="center"/>
              <w:rPr>
                <w:rFonts w:ascii="Calibri" w:eastAsia="Times New Roman" w:hAnsi="Calibri" w:cs="Arial"/>
                <w:color w:val="auto"/>
              </w:rPr>
            </w:pPr>
            <w:r w:rsidRPr="000055D1">
              <w:rPr>
                <w:rFonts w:ascii="Calibri" w:eastAsia="Times New Roman" w:hAnsi="Calibri" w:cs="Arial"/>
                <w:color w:val="auto"/>
              </w:rPr>
              <w:t>Federal Standard 8.50 per 100,000 days; California at 3.85</w:t>
            </w:r>
          </w:p>
        </w:tc>
      </w:tr>
      <w:tr w:rsidR="00D86A11" w:rsidRPr="006A32DE">
        <w:trPr>
          <w:trHeight w:val="255"/>
        </w:trPr>
        <w:tc>
          <w:tcPr>
            <w:tcW w:w="3330" w:type="dxa"/>
            <w:shd w:val="clear" w:color="auto" w:fill="013161"/>
            <w:noWrap/>
          </w:tcPr>
          <w:p w:rsidR="00D86A11" w:rsidRPr="00721EF1" w:rsidRDefault="00D86A11" w:rsidP="00D86A11">
            <w:pPr>
              <w:spacing w:after="0" w:line="240" w:lineRule="auto"/>
              <w:jc w:val="right"/>
              <w:rPr>
                <w:rFonts w:ascii="Calibri" w:eastAsia="Times New Roman" w:hAnsi="Calibri" w:cs="Arial"/>
                <w:b/>
                <w:color w:val="FFFFFF"/>
              </w:rPr>
            </w:pPr>
          </w:p>
        </w:tc>
        <w:tc>
          <w:tcPr>
            <w:tcW w:w="90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2010</w:t>
            </w:r>
          </w:p>
        </w:tc>
        <w:tc>
          <w:tcPr>
            <w:tcW w:w="117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2011</w:t>
            </w:r>
          </w:p>
        </w:tc>
        <w:tc>
          <w:tcPr>
            <w:tcW w:w="117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2012</w:t>
            </w:r>
          </w:p>
        </w:tc>
        <w:tc>
          <w:tcPr>
            <w:tcW w:w="1017"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2013</w:t>
            </w:r>
          </w:p>
        </w:tc>
        <w:tc>
          <w:tcPr>
            <w:tcW w:w="1143"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2014</w:t>
            </w:r>
          </w:p>
        </w:tc>
        <w:tc>
          <w:tcPr>
            <w:tcW w:w="90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2015</w:t>
            </w:r>
          </w:p>
        </w:tc>
      </w:tr>
      <w:tr w:rsidR="00D86A11" w:rsidRPr="006A32DE">
        <w:trPr>
          <w:trHeight w:val="255"/>
        </w:trPr>
        <w:tc>
          <w:tcPr>
            <w:tcW w:w="3330" w:type="dxa"/>
            <w:shd w:val="clear" w:color="auto" w:fill="auto"/>
            <w:noWrap/>
          </w:tcPr>
          <w:p w:rsidR="00D86A11" w:rsidRPr="00501E6D" w:rsidRDefault="00D86A11" w:rsidP="00D86A11">
            <w:pPr>
              <w:spacing w:after="0" w:line="240" w:lineRule="auto"/>
              <w:rPr>
                <w:rFonts w:ascii="Calibri" w:eastAsia="Times New Roman" w:hAnsi="Calibri" w:cs="Arial"/>
                <w:b/>
                <w:color w:val="013161"/>
                <w:sz w:val="20"/>
              </w:rPr>
            </w:pPr>
            <w:r w:rsidRPr="00501E6D">
              <w:rPr>
                <w:rFonts w:ascii="Calibri" w:eastAsia="Times New Roman" w:hAnsi="Calibri" w:cs="Arial"/>
                <w:b/>
                <w:color w:val="013161"/>
                <w:sz w:val="20"/>
              </w:rPr>
              <w:t>Rate of substantiated maltreatment (per 100,000 days)</w:t>
            </w:r>
          </w:p>
        </w:tc>
        <w:tc>
          <w:tcPr>
            <w:tcW w:w="900" w:type="dxa"/>
            <w:shd w:val="clear" w:color="auto" w:fill="auto"/>
            <w:noWrap/>
          </w:tcPr>
          <w:p w:rsidR="00D86A11" w:rsidRPr="00501E6D" w:rsidRDefault="00D86A11" w:rsidP="00D86A11">
            <w:pPr>
              <w:jc w:val="center"/>
              <w:rPr>
                <w:rFonts w:ascii="Calibri" w:hAnsi="Calibri"/>
                <w:b/>
                <w:color w:val="013161"/>
                <w:sz w:val="20"/>
              </w:rPr>
            </w:pPr>
            <w:r w:rsidRPr="00501E6D">
              <w:rPr>
                <w:rFonts w:ascii="Calibri" w:hAnsi="Calibri"/>
                <w:b/>
                <w:color w:val="013161"/>
                <w:sz w:val="20"/>
              </w:rPr>
              <w:t>1.76</w:t>
            </w:r>
          </w:p>
        </w:tc>
        <w:tc>
          <w:tcPr>
            <w:tcW w:w="1170" w:type="dxa"/>
            <w:shd w:val="clear" w:color="auto" w:fill="auto"/>
            <w:noWrap/>
          </w:tcPr>
          <w:p w:rsidR="00D86A11" w:rsidRPr="00501E6D" w:rsidRDefault="00D86A11" w:rsidP="00D86A11">
            <w:pPr>
              <w:jc w:val="center"/>
              <w:rPr>
                <w:rFonts w:ascii="Calibri" w:hAnsi="Calibri"/>
                <w:b/>
                <w:color w:val="013161"/>
                <w:sz w:val="20"/>
              </w:rPr>
            </w:pPr>
            <w:r w:rsidRPr="00501E6D">
              <w:rPr>
                <w:rFonts w:ascii="Calibri" w:hAnsi="Calibri"/>
                <w:b/>
                <w:color w:val="013161"/>
                <w:sz w:val="20"/>
              </w:rPr>
              <w:t>3.57</w:t>
            </w:r>
          </w:p>
        </w:tc>
        <w:tc>
          <w:tcPr>
            <w:tcW w:w="1170" w:type="dxa"/>
            <w:shd w:val="clear" w:color="auto" w:fill="auto"/>
            <w:noWrap/>
          </w:tcPr>
          <w:p w:rsidR="00D86A11" w:rsidRPr="00501E6D" w:rsidRDefault="00D86A11" w:rsidP="00D86A11">
            <w:pPr>
              <w:jc w:val="center"/>
              <w:rPr>
                <w:rFonts w:ascii="Calibri" w:hAnsi="Calibri"/>
                <w:b/>
                <w:color w:val="013161"/>
                <w:sz w:val="20"/>
              </w:rPr>
            </w:pPr>
            <w:r w:rsidRPr="00501E6D">
              <w:rPr>
                <w:rFonts w:ascii="Calibri" w:hAnsi="Calibri"/>
                <w:b/>
                <w:color w:val="013161"/>
                <w:sz w:val="20"/>
              </w:rPr>
              <w:t>7.33</w:t>
            </w:r>
          </w:p>
        </w:tc>
        <w:tc>
          <w:tcPr>
            <w:tcW w:w="1017" w:type="dxa"/>
            <w:shd w:val="clear" w:color="auto" w:fill="auto"/>
            <w:noWrap/>
          </w:tcPr>
          <w:p w:rsidR="00D86A11" w:rsidRPr="00501E6D" w:rsidRDefault="00D86A11" w:rsidP="00D86A11">
            <w:pPr>
              <w:jc w:val="center"/>
              <w:rPr>
                <w:rFonts w:ascii="Calibri" w:hAnsi="Calibri"/>
                <w:b/>
                <w:color w:val="013161"/>
                <w:sz w:val="20"/>
              </w:rPr>
            </w:pPr>
            <w:r w:rsidRPr="00501E6D">
              <w:rPr>
                <w:rFonts w:ascii="Calibri" w:hAnsi="Calibri"/>
                <w:b/>
                <w:color w:val="013161"/>
                <w:sz w:val="20"/>
              </w:rPr>
              <w:t>7.89</w:t>
            </w:r>
          </w:p>
        </w:tc>
        <w:tc>
          <w:tcPr>
            <w:tcW w:w="1143" w:type="dxa"/>
            <w:shd w:val="clear" w:color="auto" w:fill="auto"/>
            <w:noWrap/>
          </w:tcPr>
          <w:p w:rsidR="00D86A11" w:rsidRPr="00501E6D" w:rsidRDefault="00D86A11" w:rsidP="00D86A11">
            <w:pPr>
              <w:jc w:val="center"/>
              <w:rPr>
                <w:rFonts w:ascii="Calibri" w:hAnsi="Calibri"/>
                <w:b/>
                <w:color w:val="013161"/>
                <w:sz w:val="20"/>
              </w:rPr>
            </w:pPr>
            <w:r w:rsidRPr="00501E6D">
              <w:rPr>
                <w:rFonts w:ascii="Calibri" w:hAnsi="Calibri"/>
                <w:b/>
                <w:color w:val="013161"/>
                <w:sz w:val="20"/>
              </w:rPr>
              <w:t>5.43</w:t>
            </w:r>
          </w:p>
        </w:tc>
        <w:tc>
          <w:tcPr>
            <w:tcW w:w="900" w:type="dxa"/>
            <w:shd w:val="clear" w:color="auto" w:fill="auto"/>
            <w:noWrap/>
          </w:tcPr>
          <w:p w:rsidR="00D86A11" w:rsidRPr="00501E6D" w:rsidRDefault="00D86A11" w:rsidP="00D86A11">
            <w:pPr>
              <w:jc w:val="center"/>
              <w:rPr>
                <w:rFonts w:ascii="Calibri" w:hAnsi="Calibri"/>
                <w:b/>
                <w:color w:val="013161"/>
                <w:sz w:val="20"/>
              </w:rPr>
            </w:pPr>
            <w:r w:rsidRPr="00501E6D">
              <w:rPr>
                <w:rFonts w:ascii="Calibri" w:hAnsi="Calibri"/>
                <w:b/>
                <w:color w:val="013161"/>
                <w:sz w:val="20"/>
              </w:rPr>
              <w:t>13.36</w:t>
            </w:r>
          </w:p>
        </w:tc>
      </w:tr>
      <w:tr w:rsidR="00D86A11" w:rsidRPr="006A32DE">
        <w:trPr>
          <w:trHeight w:val="255"/>
        </w:trPr>
        <w:tc>
          <w:tcPr>
            <w:tcW w:w="3330" w:type="dxa"/>
            <w:shd w:val="clear" w:color="auto" w:fill="DBE5F1"/>
            <w:noWrap/>
          </w:tcPr>
          <w:p w:rsidR="00D86A11" w:rsidRPr="00501E6D" w:rsidRDefault="00D86A11" w:rsidP="00D86A11">
            <w:pPr>
              <w:spacing w:after="0" w:line="240" w:lineRule="auto"/>
              <w:rPr>
                <w:rFonts w:ascii="Calibri" w:eastAsia="Times New Roman" w:hAnsi="Calibri" w:cs="Arial"/>
                <w:b/>
                <w:color w:val="013161"/>
                <w:sz w:val="20"/>
              </w:rPr>
            </w:pPr>
            <w:r w:rsidRPr="00501E6D">
              <w:rPr>
                <w:rFonts w:ascii="Calibri" w:eastAsia="Times New Roman" w:hAnsi="Calibri" w:cs="Arial"/>
                <w:b/>
                <w:color w:val="013161"/>
                <w:sz w:val="20"/>
              </w:rPr>
              <w:t>Instances of substantiated maltreatment (n)</w:t>
            </w:r>
          </w:p>
        </w:tc>
        <w:tc>
          <w:tcPr>
            <w:tcW w:w="900" w:type="dxa"/>
            <w:shd w:val="clear" w:color="auto" w:fill="DBE5F1"/>
            <w:noWrap/>
          </w:tcPr>
          <w:p w:rsidR="00D86A11" w:rsidRPr="00501E6D" w:rsidRDefault="00D86A11" w:rsidP="00D86A11">
            <w:pPr>
              <w:jc w:val="center"/>
              <w:rPr>
                <w:rFonts w:ascii="Calibri" w:hAnsi="Calibri"/>
                <w:b/>
                <w:color w:val="013161"/>
                <w:sz w:val="20"/>
              </w:rPr>
            </w:pPr>
            <w:r w:rsidRPr="00501E6D">
              <w:rPr>
                <w:rFonts w:ascii="Calibri" w:hAnsi="Calibri"/>
                <w:b/>
                <w:color w:val="013161"/>
                <w:sz w:val="20"/>
              </w:rPr>
              <w:t>1</w:t>
            </w:r>
          </w:p>
        </w:tc>
        <w:tc>
          <w:tcPr>
            <w:tcW w:w="1170" w:type="dxa"/>
            <w:shd w:val="clear" w:color="auto" w:fill="DBE5F1"/>
            <w:noWrap/>
          </w:tcPr>
          <w:p w:rsidR="00D86A11" w:rsidRPr="00501E6D" w:rsidRDefault="00D86A11" w:rsidP="00D86A11">
            <w:pPr>
              <w:jc w:val="center"/>
              <w:rPr>
                <w:rFonts w:ascii="Calibri" w:hAnsi="Calibri"/>
                <w:b/>
                <w:color w:val="013161"/>
                <w:sz w:val="20"/>
              </w:rPr>
            </w:pPr>
            <w:r w:rsidRPr="00501E6D">
              <w:rPr>
                <w:rFonts w:ascii="Calibri" w:hAnsi="Calibri"/>
                <w:b/>
                <w:color w:val="013161"/>
                <w:sz w:val="20"/>
              </w:rPr>
              <w:t>2</w:t>
            </w:r>
          </w:p>
        </w:tc>
        <w:tc>
          <w:tcPr>
            <w:tcW w:w="1170" w:type="dxa"/>
            <w:shd w:val="clear" w:color="auto" w:fill="DBE5F1"/>
            <w:noWrap/>
          </w:tcPr>
          <w:p w:rsidR="00D86A11" w:rsidRPr="00501E6D" w:rsidRDefault="00D86A11" w:rsidP="00D86A11">
            <w:pPr>
              <w:jc w:val="center"/>
              <w:rPr>
                <w:rFonts w:ascii="Calibri" w:hAnsi="Calibri"/>
                <w:b/>
                <w:color w:val="013161"/>
                <w:sz w:val="20"/>
              </w:rPr>
            </w:pPr>
            <w:r w:rsidRPr="00501E6D">
              <w:rPr>
                <w:rFonts w:ascii="Calibri" w:hAnsi="Calibri"/>
                <w:b/>
                <w:color w:val="013161"/>
                <w:sz w:val="20"/>
              </w:rPr>
              <w:t>4</w:t>
            </w:r>
          </w:p>
        </w:tc>
        <w:tc>
          <w:tcPr>
            <w:tcW w:w="1017" w:type="dxa"/>
            <w:shd w:val="clear" w:color="auto" w:fill="DBE5F1"/>
            <w:noWrap/>
          </w:tcPr>
          <w:p w:rsidR="00D86A11" w:rsidRPr="00501E6D" w:rsidRDefault="00D86A11" w:rsidP="00D86A11">
            <w:pPr>
              <w:jc w:val="center"/>
              <w:rPr>
                <w:rFonts w:ascii="Calibri" w:hAnsi="Calibri"/>
                <w:b/>
                <w:color w:val="013161"/>
                <w:sz w:val="20"/>
              </w:rPr>
            </w:pPr>
            <w:r w:rsidRPr="00501E6D">
              <w:rPr>
                <w:rFonts w:ascii="Calibri" w:hAnsi="Calibri"/>
                <w:b/>
                <w:color w:val="013161"/>
                <w:sz w:val="20"/>
              </w:rPr>
              <w:t>5</w:t>
            </w:r>
          </w:p>
        </w:tc>
        <w:tc>
          <w:tcPr>
            <w:tcW w:w="1143" w:type="dxa"/>
            <w:shd w:val="clear" w:color="auto" w:fill="DBE5F1"/>
            <w:noWrap/>
          </w:tcPr>
          <w:p w:rsidR="00D86A11" w:rsidRPr="00501E6D" w:rsidRDefault="00D86A11" w:rsidP="00D86A11">
            <w:pPr>
              <w:jc w:val="center"/>
              <w:rPr>
                <w:rFonts w:ascii="Calibri" w:hAnsi="Calibri"/>
                <w:b/>
                <w:color w:val="013161"/>
                <w:sz w:val="20"/>
              </w:rPr>
            </w:pPr>
            <w:r w:rsidRPr="00501E6D">
              <w:rPr>
                <w:rFonts w:ascii="Calibri" w:hAnsi="Calibri"/>
                <w:b/>
                <w:color w:val="013161"/>
                <w:sz w:val="20"/>
              </w:rPr>
              <w:t>3</w:t>
            </w:r>
          </w:p>
        </w:tc>
        <w:tc>
          <w:tcPr>
            <w:tcW w:w="900" w:type="dxa"/>
            <w:shd w:val="clear" w:color="auto" w:fill="DBE5F1"/>
            <w:noWrap/>
          </w:tcPr>
          <w:p w:rsidR="00D86A11" w:rsidRPr="00501E6D" w:rsidRDefault="00D86A11" w:rsidP="00D86A11">
            <w:pPr>
              <w:jc w:val="center"/>
              <w:rPr>
                <w:rFonts w:ascii="Calibri" w:hAnsi="Calibri"/>
                <w:b/>
                <w:color w:val="013161"/>
                <w:sz w:val="20"/>
              </w:rPr>
            </w:pPr>
            <w:r w:rsidRPr="00501E6D">
              <w:rPr>
                <w:rFonts w:ascii="Calibri" w:hAnsi="Calibri"/>
                <w:b/>
                <w:color w:val="013161"/>
                <w:sz w:val="20"/>
              </w:rPr>
              <w:t>7</w:t>
            </w:r>
          </w:p>
        </w:tc>
      </w:tr>
    </w:tbl>
    <w:p w:rsidR="00D86A11" w:rsidRDefault="00D86A11" w:rsidP="00D86A11">
      <w:pPr>
        <w:pStyle w:val="Heading1"/>
        <w:rPr>
          <w:rFonts w:ascii="Calibri" w:hAnsi="Calibri" w:cs="Calibri"/>
          <w:color w:val="auto"/>
          <w:szCs w:val="28"/>
        </w:rPr>
      </w:pPr>
      <w:r w:rsidRPr="00AF204C">
        <w:rPr>
          <w:color w:val="2E7029"/>
          <w:sz w:val="24"/>
        </w:rPr>
        <w:t>Analysis</w:t>
      </w:r>
    </w:p>
    <w:p w:rsidR="00D86A11" w:rsidRPr="00B77CF0" w:rsidRDefault="00D86A11" w:rsidP="00D86A11">
      <w:pPr>
        <w:spacing w:after="0"/>
        <w:rPr>
          <w:rFonts w:ascii="Franklin Gothic Book" w:hAnsi="Franklin Gothic Book"/>
          <w:color w:val="auto"/>
          <w:spacing w:val="20"/>
          <w:szCs w:val="28"/>
        </w:rPr>
      </w:pPr>
      <w:r w:rsidRPr="00B77CF0">
        <w:rPr>
          <w:rFonts w:ascii="Franklin Gothic Book" w:hAnsi="Franklin Gothic Book"/>
          <w:b/>
          <w:color w:val="auto"/>
          <w:spacing w:val="20"/>
          <w:szCs w:val="28"/>
        </w:rPr>
        <w:t>Trends:</w:t>
      </w:r>
      <w:r w:rsidRPr="00B77CF0">
        <w:rPr>
          <w:rFonts w:ascii="Franklin Gothic Book" w:hAnsi="Franklin Gothic Book"/>
          <w:color w:val="auto"/>
          <w:spacing w:val="20"/>
          <w:szCs w:val="28"/>
        </w:rPr>
        <w:t xml:space="preserve"> The rate of substantiated maltreatment in foster care per 100,000 foster care days increased between 2010 and 2015 as did the number of annual instances. The County’s 2015 rate (13.36) was higher than California’s (3.85) and higher than the federal standard (8.50). </w:t>
      </w:r>
    </w:p>
    <w:p w:rsidR="00D86A11" w:rsidRPr="00B77CF0" w:rsidRDefault="00D86A11" w:rsidP="00D86A11">
      <w:pPr>
        <w:spacing w:before="240" w:after="0"/>
        <w:rPr>
          <w:rFonts w:ascii="Franklin Gothic Book" w:hAnsi="Franklin Gothic Book"/>
          <w:color w:val="auto"/>
          <w:spacing w:val="20"/>
          <w:szCs w:val="28"/>
        </w:rPr>
      </w:pPr>
      <w:r w:rsidRPr="00B77CF0">
        <w:rPr>
          <w:rFonts w:ascii="Franklin Gothic Book" w:hAnsi="Franklin Gothic Book"/>
          <w:b/>
          <w:color w:val="auto"/>
          <w:spacing w:val="20"/>
          <w:szCs w:val="28"/>
        </w:rPr>
        <w:t>Race/Ethnicity:</w:t>
      </w:r>
      <w:r w:rsidRPr="00B77CF0">
        <w:rPr>
          <w:rFonts w:ascii="Franklin Gothic Book" w:hAnsi="Franklin Gothic Book"/>
          <w:color w:val="auto"/>
          <w:spacing w:val="20"/>
          <w:szCs w:val="28"/>
        </w:rPr>
        <w:t xml:space="preserve"> Due to the small number, the rates for each race/ethnic group vary from year to year. In 2014, there were no instances involving black youth but in 2015 they had the highest rate at 28.45 (4), followed by White youth at 8.90 (1), and Latino youth at 8.55 (2).</w:t>
      </w:r>
    </w:p>
    <w:p w:rsidR="00D86A11" w:rsidRPr="00B77CF0" w:rsidRDefault="00D86A11" w:rsidP="00D86A11">
      <w:pPr>
        <w:spacing w:before="240" w:after="0"/>
        <w:rPr>
          <w:rFonts w:ascii="Franklin Gothic Book" w:hAnsi="Franklin Gothic Book"/>
          <w:color w:val="auto"/>
          <w:spacing w:val="20"/>
          <w:szCs w:val="28"/>
        </w:rPr>
      </w:pPr>
      <w:r w:rsidRPr="00B77CF0">
        <w:rPr>
          <w:rFonts w:ascii="Franklin Gothic Book" w:hAnsi="Franklin Gothic Book"/>
          <w:b/>
          <w:color w:val="auto"/>
          <w:spacing w:val="20"/>
          <w:szCs w:val="28"/>
        </w:rPr>
        <w:t>Age:</w:t>
      </w:r>
      <w:r w:rsidRPr="00B77CF0">
        <w:rPr>
          <w:rFonts w:ascii="Franklin Gothic Book" w:hAnsi="Franklin Gothic Book"/>
          <w:color w:val="auto"/>
          <w:spacing w:val="20"/>
          <w:szCs w:val="28"/>
        </w:rPr>
        <w:t xml:space="preserve"> In 2015, youth aged 15-17 had a rate of 15.76 (5) and 11-14 year-olds had a rate of 9.67 (2). </w:t>
      </w:r>
    </w:p>
    <w:p w:rsidR="00D86A11" w:rsidRPr="00AF204C" w:rsidRDefault="00D86A11" w:rsidP="00D86A11">
      <w:pPr>
        <w:pStyle w:val="Heading1"/>
        <w:rPr>
          <w:color w:val="F6872B"/>
          <w:sz w:val="24"/>
        </w:rPr>
      </w:pPr>
      <w:r w:rsidRPr="00AF204C">
        <w:rPr>
          <w:color w:val="F6872B"/>
          <w:sz w:val="24"/>
        </w:rPr>
        <w:t>3-P1 Permanency in 12 Months for Children Entering Out-of-Home Care</w:t>
      </w:r>
    </w:p>
    <w:tbl>
      <w:tblPr>
        <w:tblW w:w="9082" w:type="dxa"/>
        <w:tblBorders>
          <w:top w:val="single" w:sz="18" w:space="0" w:color="F6872B"/>
          <w:bottom w:val="single" w:sz="18" w:space="0" w:color="F6872B"/>
        </w:tblBorders>
        <w:tblLook w:val="04A0" w:firstRow="1" w:lastRow="0" w:firstColumn="1" w:lastColumn="0" w:noHBand="0" w:noVBand="1"/>
      </w:tblPr>
      <w:tblGrid>
        <w:gridCol w:w="3983"/>
        <w:gridCol w:w="861"/>
        <w:gridCol w:w="861"/>
        <w:gridCol w:w="861"/>
        <w:gridCol w:w="861"/>
        <w:gridCol w:w="861"/>
        <w:gridCol w:w="794"/>
      </w:tblGrid>
      <w:tr w:rsidR="00D86A11" w:rsidRPr="00F16FD2">
        <w:trPr>
          <w:trHeight w:val="630"/>
        </w:trPr>
        <w:tc>
          <w:tcPr>
            <w:tcW w:w="9082" w:type="dxa"/>
            <w:gridSpan w:val="7"/>
            <w:shd w:val="clear" w:color="auto" w:fill="013161"/>
            <w:noWrap/>
          </w:tcPr>
          <w:p w:rsidR="00D86A11" w:rsidRPr="000055D1" w:rsidRDefault="00D86A11" w:rsidP="00D86A11">
            <w:pPr>
              <w:spacing w:after="0" w:line="240" w:lineRule="auto"/>
              <w:jc w:val="center"/>
              <w:rPr>
                <w:rFonts w:ascii="Calibri" w:eastAsia="Times New Roman" w:hAnsi="Calibri" w:cs="Arial"/>
                <w:b/>
                <w:color w:val="auto"/>
              </w:rPr>
            </w:pPr>
            <w:r>
              <w:rPr>
                <w:rFonts w:ascii="Calibri" w:eastAsia="Times New Roman" w:hAnsi="Calibri" w:cs="Arial"/>
                <w:b/>
                <w:color w:val="auto"/>
                <w:sz w:val="24"/>
              </w:rPr>
              <w:t>Exhibit 79. County of San Diego</w:t>
            </w:r>
            <w:r w:rsidRPr="00E415BF">
              <w:rPr>
                <w:rFonts w:ascii="Calibri" w:eastAsia="Times New Roman" w:hAnsi="Calibri" w:cs="Arial"/>
                <w:b/>
                <w:color w:val="auto"/>
                <w:sz w:val="24"/>
              </w:rPr>
              <w:t xml:space="preserve"> Probation - Permanency in 12 Months for Children Entering Care</w:t>
            </w:r>
          </w:p>
          <w:p w:rsidR="00D86A11" w:rsidRPr="000055D1" w:rsidRDefault="00D86A11" w:rsidP="00D86A11">
            <w:pPr>
              <w:spacing w:after="0" w:line="240" w:lineRule="auto"/>
              <w:jc w:val="center"/>
              <w:rPr>
                <w:rFonts w:ascii="Calibri" w:eastAsia="Times New Roman" w:hAnsi="Calibri" w:cs="Arial"/>
                <w:color w:val="auto"/>
              </w:rPr>
            </w:pPr>
            <w:r w:rsidRPr="000055D1">
              <w:rPr>
                <w:rFonts w:ascii="Calibri" w:eastAsia="Times New Roman" w:hAnsi="Calibri" w:cs="Arial"/>
                <w:color w:val="auto"/>
              </w:rPr>
              <w:t>National Goal 40.5%; California at 26.2%</w:t>
            </w:r>
          </w:p>
        </w:tc>
      </w:tr>
      <w:tr w:rsidR="00D86A11" w:rsidRPr="00F16FD2">
        <w:trPr>
          <w:trHeight w:val="335"/>
        </w:trPr>
        <w:tc>
          <w:tcPr>
            <w:tcW w:w="3983"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p>
        </w:tc>
        <w:tc>
          <w:tcPr>
            <w:tcW w:w="861"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2009</w:t>
            </w:r>
          </w:p>
        </w:tc>
        <w:tc>
          <w:tcPr>
            <w:tcW w:w="861"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2010</w:t>
            </w:r>
          </w:p>
        </w:tc>
        <w:tc>
          <w:tcPr>
            <w:tcW w:w="861"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2011</w:t>
            </w:r>
          </w:p>
        </w:tc>
        <w:tc>
          <w:tcPr>
            <w:tcW w:w="861"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2012</w:t>
            </w:r>
          </w:p>
        </w:tc>
        <w:tc>
          <w:tcPr>
            <w:tcW w:w="861"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2013</w:t>
            </w:r>
          </w:p>
        </w:tc>
        <w:tc>
          <w:tcPr>
            <w:tcW w:w="793"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2014</w:t>
            </w:r>
          </w:p>
        </w:tc>
      </w:tr>
      <w:tr w:rsidR="00D86A11" w:rsidRPr="00F16FD2">
        <w:trPr>
          <w:trHeight w:val="335"/>
        </w:trPr>
        <w:tc>
          <w:tcPr>
            <w:tcW w:w="3983" w:type="dxa"/>
            <w:shd w:val="clear" w:color="auto" w:fill="auto"/>
            <w:noWrap/>
          </w:tcPr>
          <w:p w:rsidR="00D86A11" w:rsidRPr="00501E6D" w:rsidRDefault="00D86A11" w:rsidP="00D86A11">
            <w:pPr>
              <w:spacing w:after="0" w:line="240" w:lineRule="auto"/>
              <w:rPr>
                <w:rFonts w:ascii="Calibri" w:eastAsia="Times New Roman" w:hAnsi="Calibri" w:cs="Arial"/>
                <w:b/>
                <w:color w:val="013161"/>
                <w:sz w:val="20"/>
              </w:rPr>
            </w:pPr>
            <w:r w:rsidRPr="00501E6D">
              <w:rPr>
                <w:rFonts w:ascii="Calibri" w:eastAsia="Times New Roman" w:hAnsi="Calibri" w:cs="Arial"/>
                <w:b/>
                <w:color w:val="013161"/>
                <w:sz w:val="20"/>
              </w:rPr>
              <w:t>Children with exits to permanency (%)</w:t>
            </w:r>
          </w:p>
        </w:tc>
        <w:tc>
          <w:tcPr>
            <w:tcW w:w="861" w:type="dxa"/>
            <w:shd w:val="clear" w:color="auto" w:fill="auto"/>
            <w:noWrap/>
          </w:tcPr>
          <w:p w:rsidR="00D86A11" w:rsidRPr="00501E6D" w:rsidRDefault="00D86A11" w:rsidP="00D86A11">
            <w:pPr>
              <w:spacing w:after="0" w:line="240" w:lineRule="auto"/>
              <w:jc w:val="center"/>
              <w:rPr>
                <w:rFonts w:ascii="Calibri" w:eastAsia="Times New Roman" w:hAnsi="Calibri" w:cs="Arial"/>
                <w:b/>
                <w:color w:val="013161"/>
                <w:sz w:val="20"/>
              </w:rPr>
            </w:pPr>
            <w:r w:rsidRPr="00501E6D">
              <w:rPr>
                <w:rFonts w:ascii="Calibri" w:eastAsia="Times New Roman" w:hAnsi="Calibri" w:cs="Arial"/>
                <w:b/>
                <w:color w:val="013161"/>
                <w:sz w:val="20"/>
              </w:rPr>
              <w:t>20.6</w:t>
            </w:r>
          </w:p>
        </w:tc>
        <w:tc>
          <w:tcPr>
            <w:tcW w:w="861" w:type="dxa"/>
            <w:shd w:val="clear" w:color="auto" w:fill="auto"/>
            <w:noWrap/>
          </w:tcPr>
          <w:p w:rsidR="00D86A11" w:rsidRPr="00501E6D" w:rsidRDefault="00D86A11" w:rsidP="00D86A11">
            <w:pPr>
              <w:spacing w:after="0" w:line="240" w:lineRule="auto"/>
              <w:jc w:val="center"/>
              <w:rPr>
                <w:rFonts w:ascii="Calibri" w:eastAsia="Times New Roman" w:hAnsi="Calibri" w:cs="Arial"/>
                <w:b/>
                <w:color w:val="013161"/>
                <w:sz w:val="20"/>
              </w:rPr>
            </w:pPr>
            <w:r w:rsidRPr="00501E6D">
              <w:rPr>
                <w:rFonts w:ascii="Calibri" w:eastAsia="Times New Roman" w:hAnsi="Calibri" w:cs="Arial"/>
                <w:b/>
                <w:color w:val="013161"/>
                <w:sz w:val="20"/>
              </w:rPr>
              <w:t>25.5</w:t>
            </w:r>
          </w:p>
        </w:tc>
        <w:tc>
          <w:tcPr>
            <w:tcW w:w="861" w:type="dxa"/>
            <w:shd w:val="clear" w:color="auto" w:fill="auto"/>
            <w:noWrap/>
          </w:tcPr>
          <w:p w:rsidR="00D86A11" w:rsidRPr="00501E6D" w:rsidRDefault="00D86A11" w:rsidP="00D86A11">
            <w:pPr>
              <w:spacing w:after="0" w:line="240" w:lineRule="auto"/>
              <w:jc w:val="center"/>
              <w:rPr>
                <w:rFonts w:ascii="Calibri" w:eastAsia="Times New Roman" w:hAnsi="Calibri" w:cs="Arial"/>
                <w:b/>
                <w:color w:val="013161"/>
                <w:sz w:val="20"/>
              </w:rPr>
            </w:pPr>
            <w:r w:rsidRPr="00501E6D">
              <w:rPr>
                <w:rFonts w:ascii="Calibri" w:eastAsia="Times New Roman" w:hAnsi="Calibri" w:cs="Arial"/>
                <w:b/>
                <w:color w:val="013161"/>
                <w:sz w:val="20"/>
              </w:rPr>
              <w:t>31.2</w:t>
            </w:r>
          </w:p>
        </w:tc>
        <w:tc>
          <w:tcPr>
            <w:tcW w:w="861" w:type="dxa"/>
            <w:shd w:val="clear" w:color="auto" w:fill="auto"/>
            <w:noWrap/>
          </w:tcPr>
          <w:p w:rsidR="00D86A11" w:rsidRPr="00501E6D" w:rsidRDefault="00D86A11" w:rsidP="00D86A11">
            <w:pPr>
              <w:spacing w:after="0" w:line="240" w:lineRule="auto"/>
              <w:jc w:val="center"/>
              <w:rPr>
                <w:rFonts w:ascii="Calibri" w:eastAsia="Times New Roman" w:hAnsi="Calibri" w:cs="Arial"/>
                <w:b/>
                <w:color w:val="013161"/>
                <w:sz w:val="20"/>
              </w:rPr>
            </w:pPr>
            <w:r w:rsidRPr="00501E6D">
              <w:rPr>
                <w:rFonts w:ascii="Calibri" w:eastAsia="Times New Roman" w:hAnsi="Calibri" w:cs="Arial"/>
                <w:b/>
                <w:color w:val="013161"/>
                <w:sz w:val="20"/>
              </w:rPr>
              <w:t>22.3</w:t>
            </w:r>
          </w:p>
        </w:tc>
        <w:tc>
          <w:tcPr>
            <w:tcW w:w="861" w:type="dxa"/>
            <w:shd w:val="clear" w:color="auto" w:fill="auto"/>
            <w:noWrap/>
          </w:tcPr>
          <w:p w:rsidR="00D86A11" w:rsidRPr="00501E6D" w:rsidRDefault="00D86A11" w:rsidP="00D86A11">
            <w:pPr>
              <w:spacing w:after="0" w:line="240" w:lineRule="auto"/>
              <w:jc w:val="center"/>
              <w:rPr>
                <w:rFonts w:ascii="Calibri" w:eastAsia="Times New Roman" w:hAnsi="Calibri" w:cs="Arial"/>
                <w:b/>
                <w:color w:val="013161"/>
                <w:sz w:val="20"/>
              </w:rPr>
            </w:pPr>
            <w:r w:rsidRPr="00501E6D">
              <w:rPr>
                <w:rFonts w:ascii="Calibri" w:eastAsia="Times New Roman" w:hAnsi="Calibri" w:cs="Arial"/>
                <w:b/>
                <w:color w:val="013161"/>
                <w:sz w:val="20"/>
              </w:rPr>
              <w:t>41.6</w:t>
            </w:r>
          </w:p>
        </w:tc>
        <w:tc>
          <w:tcPr>
            <w:tcW w:w="793" w:type="dxa"/>
            <w:shd w:val="clear" w:color="auto" w:fill="auto"/>
            <w:noWrap/>
          </w:tcPr>
          <w:p w:rsidR="00D86A11" w:rsidRPr="00501E6D" w:rsidRDefault="00D86A11" w:rsidP="00D86A11">
            <w:pPr>
              <w:spacing w:after="0" w:line="240" w:lineRule="auto"/>
              <w:jc w:val="center"/>
              <w:rPr>
                <w:rFonts w:ascii="Calibri" w:eastAsia="Times New Roman" w:hAnsi="Calibri" w:cs="Arial"/>
                <w:b/>
                <w:color w:val="013161"/>
                <w:sz w:val="20"/>
              </w:rPr>
            </w:pPr>
            <w:r w:rsidRPr="00501E6D">
              <w:rPr>
                <w:rFonts w:ascii="Calibri" w:eastAsia="Times New Roman" w:hAnsi="Calibri" w:cs="Arial"/>
                <w:b/>
                <w:color w:val="013161"/>
                <w:sz w:val="20"/>
              </w:rPr>
              <w:t>34.3</w:t>
            </w:r>
          </w:p>
        </w:tc>
      </w:tr>
      <w:tr w:rsidR="00D86A11" w:rsidRPr="00F16FD2">
        <w:trPr>
          <w:trHeight w:val="335"/>
        </w:trPr>
        <w:tc>
          <w:tcPr>
            <w:tcW w:w="3983" w:type="dxa"/>
            <w:shd w:val="clear" w:color="auto" w:fill="DBE5F1"/>
            <w:noWrap/>
          </w:tcPr>
          <w:p w:rsidR="00D86A11" w:rsidRPr="00501E6D" w:rsidRDefault="00D86A11" w:rsidP="00D86A11">
            <w:pPr>
              <w:spacing w:after="0" w:line="240" w:lineRule="auto"/>
              <w:rPr>
                <w:rFonts w:ascii="Calibri" w:eastAsia="Times New Roman" w:hAnsi="Calibri" w:cs="Arial"/>
                <w:b/>
                <w:color w:val="013161"/>
                <w:sz w:val="20"/>
              </w:rPr>
            </w:pPr>
            <w:r w:rsidRPr="00501E6D">
              <w:rPr>
                <w:rFonts w:ascii="Calibri" w:eastAsia="Times New Roman" w:hAnsi="Calibri" w:cs="Arial"/>
                <w:b/>
                <w:color w:val="013161"/>
                <w:sz w:val="20"/>
              </w:rPr>
              <w:t>Children with exits to permanency (n)</w:t>
            </w:r>
          </w:p>
        </w:tc>
        <w:tc>
          <w:tcPr>
            <w:tcW w:w="861" w:type="dxa"/>
            <w:shd w:val="clear" w:color="auto" w:fill="DBE5F1"/>
            <w:noWrap/>
          </w:tcPr>
          <w:p w:rsidR="00D86A11" w:rsidRPr="00501E6D" w:rsidRDefault="00D86A11" w:rsidP="00D86A11">
            <w:pPr>
              <w:spacing w:after="0" w:line="240" w:lineRule="auto"/>
              <w:jc w:val="center"/>
              <w:rPr>
                <w:rFonts w:ascii="Calibri" w:eastAsia="Times New Roman" w:hAnsi="Calibri" w:cs="Arial"/>
                <w:b/>
                <w:color w:val="013161"/>
                <w:sz w:val="20"/>
              </w:rPr>
            </w:pPr>
            <w:r w:rsidRPr="00501E6D">
              <w:rPr>
                <w:rFonts w:ascii="Calibri" w:eastAsia="Times New Roman" w:hAnsi="Calibri" w:cs="Arial"/>
                <w:b/>
                <w:color w:val="013161"/>
                <w:sz w:val="20"/>
              </w:rPr>
              <w:t>21</w:t>
            </w:r>
          </w:p>
        </w:tc>
        <w:tc>
          <w:tcPr>
            <w:tcW w:w="861" w:type="dxa"/>
            <w:shd w:val="clear" w:color="auto" w:fill="DBE5F1"/>
            <w:noWrap/>
          </w:tcPr>
          <w:p w:rsidR="00D86A11" w:rsidRPr="00501E6D" w:rsidRDefault="00D86A11" w:rsidP="00D86A11">
            <w:pPr>
              <w:spacing w:after="0" w:line="240" w:lineRule="auto"/>
              <w:jc w:val="center"/>
              <w:rPr>
                <w:rFonts w:ascii="Calibri" w:eastAsia="Times New Roman" w:hAnsi="Calibri" w:cs="Arial"/>
                <w:b/>
                <w:color w:val="013161"/>
                <w:sz w:val="20"/>
              </w:rPr>
            </w:pPr>
            <w:r w:rsidRPr="00501E6D">
              <w:rPr>
                <w:rFonts w:ascii="Calibri" w:eastAsia="Times New Roman" w:hAnsi="Calibri" w:cs="Arial"/>
                <w:b/>
                <w:color w:val="013161"/>
                <w:sz w:val="20"/>
              </w:rPr>
              <w:t>28</w:t>
            </w:r>
          </w:p>
        </w:tc>
        <w:tc>
          <w:tcPr>
            <w:tcW w:w="861" w:type="dxa"/>
            <w:shd w:val="clear" w:color="auto" w:fill="DBE5F1"/>
            <w:noWrap/>
          </w:tcPr>
          <w:p w:rsidR="00D86A11" w:rsidRPr="00501E6D" w:rsidRDefault="00D86A11" w:rsidP="00D86A11">
            <w:pPr>
              <w:spacing w:after="0" w:line="240" w:lineRule="auto"/>
              <w:jc w:val="center"/>
              <w:rPr>
                <w:rFonts w:ascii="Calibri" w:eastAsia="Times New Roman" w:hAnsi="Calibri" w:cs="Arial"/>
                <w:b/>
                <w:color w:val="013161"/>
                <w:sz w:val="20"/>
              </w:rPr>
            </w:pPr>
            <w:r w:rsidRPr="00501E6D">
              <w:rPr>
                <w:rFonts w:ascii="Calibri" w:eastAsia="Times New Roman" w:hAnsi="Calibri" w:cs="Arial"/>
                <w:b/>
                <w:color w:val="013161"/>
                <w:sz w:val="20"/>
              </w:rPr>
              <w:t>34</w:t>
            </w:r>
          </w:p>
        </w:tc>
        <w:tc>
          <w:tcPr>
            <w:tcW w:w="861" w:type="dxa"/>
            <w:shd w:val="clear" w:color="auto" w:fill="DBE5F1"/>
            <w:noWrap/>
          </w:tcPr>
          <w:p w:rsidR="00D86A11" w:rsidRPr="00501E6D" w:rsidRDefault="00D86A11" w:rsidP="00D86A11">
            <w:pPr>
              <w:spacing w:after="0" w:line="240" w:lineRule="auto"/>
              <w:jc w:val="center"/>
              <w:rPr>
                <w:rFonts w:ascii="Calibri" w:eastAsia="Times New Roman" w:hAnsi="Calibri" w:cs="Arial"/>
                <w:b/>
                <w:color w:val="013161"/>
                <w:sz w:val="20"/>
              </w:rPr>
            </w:pPr>
            <w:r w:rsidRPr="00501E6D">
              <w:rPr>
                <w:rFonts w:ascii="Calibri" w:eastAsia="Times New Roman" w:hAnsi="Calibri" w:cs="Arial"/>
                <w:b/>
                <w:color w:val="013161"/>
                <w:sz w:val="20"/>
              </w:rPr>
              <w:t>29</w:t>
            </w:r>
          </w:p>
        </w:tc>
        <w:tc>
          <w:tcPr>
            <w:tcW w:w="861" w:type="dxa"/>
            <w:shd w:val="clear" w:color="auto" w:fill="DBE5F1"/>
            <w:noWrap/>
          </w:tcPr>
          <w:p w:rsidR="00D86A11" w:rsidRPr="00501E6D" w:rsidRDefault="00D86A11" w:rsidP="00D86A11">
            <w:pPr>
              <w:spacing w:after="0" w:line="240" w:lineRule="auto"/>
              <w:jc w:val="center"/>
              <w:rPr>
                <w:rFonts w:ascii="Calibri" w:eastAsia="Times New Roman" w:hAnsi="Calibri" w:cs="Arial"/>
                <w:b/>
                <w:color w:val="013161"/>
                <w:sz w:val="20"/>
              </w:rPr>
            </w:pPr>
            <w:r w:rsidRPr="00501E6D">
              <w:rPr>
                <w:rFonts w:ascii="Calibri" w:eastAsia="Times New Roman" w:hAnsi="Calibri" w:cs="Arial"/>
                <w:b/>
                <w:color w:val="013161"/>
                <w:sz w:val="20"/>
              </w:rPr>
              <w:t>57</w:t>
            </w:r>
          </w:p>
        </w:tc>
        <w:tc>
          <w:tcPr>
            <w:tcW w:w="793" w:type="dxa"/>
            <w:shd w:val="clear" w:color="auto" w:fill="DBE5F1"/>
            <w:noWrap/>
          </w:tcPr>
          <w:p w:rsidR="00D86A11" w:rsidRPr="00501E6D" w:rsidRDefault="00D86A11" w:rsidP="00D86A11">
            <w:pPr>
              <w:spacing w:after="0" w:line="240" w:lineRule="auto"/>
              <w:jc w:val="center"/>
              <w:rPr>
                <w:rFonts w:ascii="Calibri" w:eastAsia="Times New Roman" w:hAnsi="Calibri" w:cs="Arial"/>
                <w:b/>
                <w:color w:val="013161"/>
                <w:sz w:val="20"/>
              </w:rPr>
            </w:pPr>
            <w:r w:rsidRPr="00501E6D">
              <w:rPr>
                <w:rFonts w:ascii="Calibri" w:eastAsia="Times New Roman" w:hAnsi="Calibri" w:cs="Arial"/>
                <w:b/>
                <w:color w:val="013161"/>
                <w:sz w:val="20"/>
              </w:rPr>
              <w:t>49</w:t>
            </w:r>
          </w:p>
        </w:tc>
      </w:tr>
    </w:tbl>
    <w:p w:rsidR="00D86A11" w:rsidRPr="00AF204C" w:rsidRDefault="00D86A11" w:rsidP="00D86A11">
      <w:pPr>
        <w:pStyle w:val="Heading1"/>
        <w:rPr>
          <w:color w:val="2E7029"/>
          <w:sz w:val="24"/>
        </w:rPr>
      </w:pPr>
      <w:r w:rsidRPr="00AF204C">
        <w:rPr>
          <w:color w:val="2E7029"/>
          <w:sz w:val="24"/>
        </w:rPr>
        <w:t>Analysis</w:t>
      </w:r>
    </w:p>
    <w:p w:rsidR="00D86A11" w:rsidRPr="00B77CF0" w:rsidRDefault="00D86A11" w:rsidP="00D86A11">
      <w:pPr>
        <w:spacing w:after="0"/>
        <w:rPr>
          <w:rFonts w:ascii="Franklin Gothic Book" w:hAnsi="Franklin Gothic Book"/>
          <w:color w:val="auto"/>
          <w:spacing w:val="20"/>
          <w:szCs w:val="28"/>
        </w:rPr>
      </w:pPr>
      <w:r w:rsidRPr="00B77CF0">
        <w:rPr>
          <w:rFonts w:ascii="Franklin Gothic Book" w:hAnsi="Franklin Gothic Book"/>
          <w:color w:val="auto"/>
          <w:spacing w:val="20"/>
          <w:szCs w:val="28"/>
        </w:rPr>
        <w:t xml:space="preserve">This outcome tracks the percentage of children who entered out-of-home care during the year and were discharged to permanency (reunification, guardianship or adoption) within 12 months of entry. </w:t>
      </w:r>
    </w:p>
    <w:p w:rsidR="00D86A11" w:rsidRPr="00B77CF0" w:rsidRDefault="00D86A11" w:rsidP="00D86A11">
      <w:pPr>
        <w:spacing w:before="240" w:after="0"/>
        <w:rPr>
          <w:rFonts w:ascii="Franklin Gothic Book" w:hAnsi="Franklin Gothic Book"/>
          <w:color w:val="auto"/>
          <w:spacing w:val="20"/>
          <w:szCs w:val="28"/>
        </w:rPr>
      </w:pPr>
      <w:r w:rsidRPr="00B77CF0">
        <w:rPr>
          <w:rFonts w:ascii="Franklin Gothic Book" w:hAnsi="Franklin Gothic Book"/>
          <w:b/>
          <w:color w:val="auto"/>
          <w:spacing w:val="20"/>
          <w:szCs w:val="28"/>
        </w:rPr>
        <w:t>Trends:</w:t>
      </w:r>
      <w:r w:rsidRPr="00B77CF0">
        <w:rPr>
          <w:rFonts w:ascii="Franklin Gothic Book" w:hAnsi="Franklin Gothic Book"/>
          <w:color w:val="auto"/>
          <w:spacing w:val="20"/>
          <w:szCs w:val="28"/>
        </w:rPr>
        <w:t xml:space="preserve"> There was an upward trend from 2009 to 2011 followed by a drop in 2012, and an increase again in 2013. The increase in 2013 put Probation above the national goal, but performance subsequently fell below the national goal in 2014. However, overall there was an increase over the six-year period of 13.7 percentage points. </w:t>
      </w:r>
    </w:p>
    <w:p w:rsidR="00D86A11" w:rsidRPr="00B77CF0" w:rsidRDefault="00D86A11" w:rsidP="00D86A11">
      <w:pPr>
        <w:spacing w:before="240" w:after="0"/>
        <w:rPr>
          <w:rFonts w:ascii="Franklin Gothic Book" w:hAnsi="Franklin Gothic Book"/>
          <w:color w:val="auto"/>
          <w:spacing w:val="20"/>
          <w:szCs w:val="28"/>
        </w:rPr>
      </w:pPr>
      <w:r w:rsidRPr="00B77CF0">
        <w:rPr>
          <w:rFonts w:ascii="Franklin Gothic Book" w:hAnsi="Franklin Gothic Book"/>
          <w:b/>
          <w:color w:val="auto"/>
          <w:spacing w:val="20"/>
          <w:szCs w:val="28"/>
        </w:rPr>
        <w:t>Race/Ethnicity:</w:t>
      </w:r>
      <w:r w:rsidRPr="00B77CF0">
        <w:rPr>
          <w:rFonts w:ascii="Franklin Gothic Book" w:hAnsi="Franklin Gothic Book"/>
          <w:color w:val="auto"/>
          <w:spacing w:val="20"/>
          <w:szCs w:val="28"/>
        </w:rPr>
        <w:t xml:space="preserve"> Asian/PI youth experienced the highest permanency rates at 66.7% (2), followed by White at 50.0% (16), Latino at 38.2% (26), and Black at 10% (3). </w:t>
      </w:r>
    </w:p>
    <w:p w:rsidR="00D86A11" w:rsidRPr="00B77CF0" w:rsidRDefault="00D86A11" w:rsidP="00D86A11">
      <w:pPr>
        <w:spacing w:before="240" w:after="0"/>
        <w:rPr>
          <w:rFonts w:ascii="Franklin Gothic Book" w:hAnsi="Franklin Gothic Book"/>
          <w:color w:val="auto"/>
          <w:spacing w:val="20"/>
          <w:szCs w:val="28"/>
        </w:rPr>
      </w:pPr>
      <w:r w:rsidRPr="00B77CF0">
        <w:rPr>
          <w:rFonts w:ascii="Franklin Gothic Book" w:hAnsi="Franklin Gothic Book"/>
          <w:b/>
          <w:color w:val="auto"/>
          <w:spacing w:val="20"/>
          <w:szCs w:val="28"/>
        </w:rPr>
        <w:lastRenderedPageBreak/>
        <w:t>Age:</w:t>
      </w:r>
      <w:r w:rsidRPr="00B77CF0">
        <w:rPr>
          <w:rFonts w:ascii="Franklin Gothic Book" w:hAnsi="Franklin Gothic Book"/>
          <w:color w:val="auto"/>
          <w:spacing w:val="20"/>
          <w:szCs w:val="28"/>
        </w:rPr>
        <w:t xml:space="preserve"> For youth that entered the system in 2014, 31.6% (18) of 11-15 year olds attained permanency within 12 months as did 36.0% (31) of 16-17 year olds. </w:t>
      </w:r>
    </w:p>
    <w:p w:rsidR="00D86A11" w:rsidRPr="00B77CF0" w:rsidRDefault="00D86A11" w:rsidP="00D86A11">
      <w:pPr>
        <w:pStyle w:val="Heading3"/>
        <w:spacing w:line="276" w:lineRule="auto"/>
        <w:rPr>
          <w:b w:val="0"/>
          <w:color w:val="auto"/>
          <w:sz w:val="22"/>
        </w:rPr>
      </w:pPr>
      <w:r w:rsidRPr="00B77CF0">
        <w:rPr>
          <w:b w:val="0"/>
          <w:color w:val="auto"/>
          <w:sz w:val="22"/>
        </w:rPr>
        <w:t xml:space="preserve">Improvement in this outcome has been supported by </w:t>
      </w:r>
      <w:r>
        <w:rPr>
          <w:b w:val="0"/>
          <w:color w:val="auto"/>
          <w:sz w:val="22"/>
        </w:rPr>
        <w:t>the County of San Diego</w:t>
      </w:r>
      <w:r w:rsidRPr="00B77CF0">
        <w:rPr>
          <w:b w:val="0"/>
          <w:color w:val="auto"/>
          <w:sz w:val="22"/>
        </w:rPr>
        <w:t xml:space="preserve"> Probation’s efforts to engage families in the case planning process through conducting Multi-Disciplinary Team (MDT) meetings with the youth and family. This process ensures a youth and family voice has assisted in establishing clear parameters for the youth’s return home. Additionally, favorably impacting these outcomes is the Probation Department’s utilization of wraparound services, resulting in increased collaboration with wraparound providers. In 2012, another wraparound contract provider was added, allowing service provision through three agencies. To assist in expediting permanency, youth in placement are referred for wraparound services approximately three months prior to discharge from care, which assists the youth and the families greatly in achieving goals and establishing supports and parameters prior to the youth’s return home, resulting in successful reunification. All placement youth are eligible for wraparound services and probation officers are strongly encouraged to refer youth for services prior to their return home. </w:t>
      </w:r>
    </w:p>
    <w:p w:rsidR="00D86A11" w:rsidRPr="00B77CF0" w:rsidRDefault="00D86A11" w:rsidP="00D86A11">
      <w:pPr>
        <w:pStyle w:val="Heading3"/>
        <w:spacing w:line="276" w:lineRule="auto"/>
        <w:rPr>
          <w:b w:val="0"/>
          <w:color w:val="auto"/>
          <w:sz w:val="22"/>
        </w:rPr>
      </w:pPr>
      <w:r w:rsidRPr="00B77CF0">
        <w:rPr>
          <w:b w:val="0"/>
          <w:color w:val="auto"/>
          <w:sz w:val="22"/>
        </w:rPr>
        <w:t>In addition to the above measures, the Probation Department developed a strong collaboration with Child Welfare Services in supervising dual jurisdiction youth.  Through the establishment of a Dual Jurisdiction Court, collaborated, coordinated case management, and coordinated service provision from both Child Welfare Services and Probation has allowed for stronger support and assistance to these youth and their families. This collaboration has consisted of participation in MDT’s for dually involved youth</w:t>
      </w:r>
      <w:r w:rsidR="00B247D2">
        <w:rPr>
          <w:b w:val="0"/>
          <w:color w:val="auto"/>
          <w:sz w:val="22"/>
        </w:rPr>
        <w:t xml:space="preserve"> and</w:t>
      </w:r>
      <w:r w:rsidRPr="00B77CF0">
        <w:rPr>
          <w:b w:val="0"/>
          <w:color w:val="auto"/>
          <w:sz w:val="22"/>
        </w:rPr>
        <w:t xml:space="preserve"> attendance at the Dual Calendar on Wednesdays, in which all parties and attorneys meet to discuss options for the youth. Caseload numbers were also lowered to ensure probation officers had the opportunity to give individualized time to the youth and their families to assist them in accomplishing case plan objectives with the goal of reunification. </w:t>
      </w:r>
    </w:p>
    <w:p w:rsidR="00D86A11" w:rsidRPr="00B77CF0" w:rsidRDefault="00D86A11" w:rsidP="00D86A11">
      <w:pPr>
        <w:pStyle w:val="Heading3"/>
        <w:spacing w:line="276" w:lineRule="auto"/>
        <w:rPr>
          <w:b w:val="0"/>
          <w:color w:val="auto"/>
          <w:sz w:val="22"/>
        </w:rPr>
      </w:pPr>
      <w:r w:rsidRPr="00B77CF0">
        <w:rPr>
          <w:b w:val="0"/>
          <w:color w:val="auto"/>
          <w:sz w:val="22"/>
        </w:rPr>
        <w:t>Placement efforts with respect to locating and finding the most appropriate placements for youth have improved over the years, resulting in youth receiving the most appropriate care to address their needs. This leads to a smooth transition home in the least amount of time. Probation’s Residential Screener is well trained and has expansive knowledge in matching the youth to the most appropriate programs. Around 2012, there was an increase in the number of placement youth who needed a higher level of care. In response, Probation expanded service providers to include out of state placement, which is necessary to assist youth in addressing substance abuse issues, mental health issues, etc.</w:t>
      </w:r>
    </w:p>
    <w:p w:rsidR="006E40A6" w:rsidRDefault="006E40A6">
      <w:pPr>
        <w:spacing w:after="0" w:line="240" w:lineRule="auto"/>
        <w:rPr>
          <w:rFonts w:ascii="Franklin Gothic Book" w:hAnsi="Franklin Gothic Book"/>
          <w:b/>
          <w:color w:val="F6872B"/>
          <w:spacing w:val="20"/>
          <w:sz w:val="24"/>
          <w:szCs w:val="32"/>
        </w:rPr>
      </w:pPr>
      <w:r>
        <w:rPr>
          <w:color w:val="F6872B"/>
          <w:sz w:val="24"/>
        </w:rPr>
        <w:br w:type="page"/>
      </w:r>
    </w:p>
    <w:p w:rsidR="00D86A11" w:rsidRPr="00AF204C" w:rsidRDefault="00D86A11" w:rsidP="00D86A11">
      <w:pPr>
        <w:pStyle w:val="Heading1"/>
        <w:rPr>
          <w:color w:val="F6872B"/>
          <w:sz w:val="24"/>
        </w:rPr>
      </w:pPr>
      <w:r w:rsidRPr="00AF204C">
        <w:rPr>
          <w:color w:val="F6872B"/>
          <w:sz w:val="24"/>
        </w:rPr>
        <w:lastRenderedPageBreak/>
        <w:t xml:space="preserve">3-P2 Permanency in 12 Months for Children </w:t>
      </w:r>
      <w:r w:rsidR="00A56CE5" w:rsidRPr="00AF204C">
        <w:rPr>
          <w:color w:val="F6872B"/>
          <w:sz w:val="24"/>
          <w:szCs w:val="28"/>
        </w:rPr>
        <w:t>in</w:t>
      </w:r>
      <w:r w:rsidRPr="00AF204C">
        <w:rPr>
          <w:color w:val="F6872B"/>
          <w:sz w:val="24"/>
        </w:rPr>
        <w:t xml:space="preserve"> Care 12-23 Months</w:t>
      </w:r>
    </w:p>
    <w:tbl>
      <w:tblPr>
        <w:tblW w:w="0" w:type="auto"/>
        <w:tblBorders>
          <w:top w:val="single" w:sz="18" w:space="0" w:color="F6872B"/>
          <w:bottom w:val="single" w:sz="18" w:space="0" w:color="F6872B"/>
        </w:tblBorders>
        <w:tblLook w:val="04A0" w:firstRow="1" w:lastRow="0" w:firstColumn="1" w:lastColumn="0" w:noHBand="0" w:noVBand="1"/>
      </w:tblPr>
      <w:tblGrid>
        <w:gridCol w:w="4083"/>
        <w:gridCol w:w="795"/>
        <w:gridCol w:w="841"/>
        <w:gridCol w:w="893"/>
        <w:gridCol w:w="880"/>
        <w:gridCol w:w="879"/>
        <w:gridCol w:w="989"/>
      </w:tblGrid>
      <w:tr w:rsidR="00D86A11" w:rsidRPr="006A32DE">
        <w:trPr>
          <w:trHeight w:val="654"/>
        </w:trPr>
        <w:tc>
          <w:tcPr>
            <w:tcW w:w="9418" w:type="dxa"/>
            <w:gridSpan w:val="7"/>
            <w:shd w:val="clear" w:color="auto" w:fill="013161"/>
          </w:tcPr>
          <w:p w:rsidR="00D86A11" w:rsidRPr="000055D1" w:rsidRDefault="00D86A11" w:rsidP="00D86A11">
            <w:pPr>
              <w:spacing w:after="0"/>
              <w:contextualSpacing/>
              <w:jc w:val="center"/>
              <w:rPr>
                <w:rFonts w:ascii="Calibri" w:hAnsi="Calibri" w:cs="Calibri"/>
              </w:rPr>
            </w:pPr>
            <w:r>
              <w:rPr>
                <w:rFonts w:ascii="Calibri" w:hAnsi="Calibri" w:cs="Calibri"/>
                <w:b/>
                <w:color w:val="FFFFFF"/>
                <w:sz w:val="24"/>
              </w:rPr>
              <w:t>Exhibit 80. County of San Diego</w:t>
            </w:r>
            <w:r w:rsidRPr="00E415BF">
              <w:rPr>
                <w:rFonts w:ascii="Calibri" w:hAnsi="Calibri" w:cs="Calibri"/>
                <w:b/>
                <w:color w:val="FFFFFF"/>
                <w:sz w:val="24"/>
              </w:rPr>
              <w:t xml:space="preserve"> Probation - Permanency in 12 Months for Children in Care 12-23 Months</w:t>
            </w:r>
            <w:r w:rsidRPr="000055D1">
              <w:rPr>
                <w:rFonts w:ascii="Calibri" w:hAnsi="Calibri" w:cs="Calibri"/>
              </w:rPr>
              <w:br/>
            </w:r>
            <w:r w:rsidRPr="000055D1">
              <w:rPr>
                <w:rFonts w:ascii="Calibri" w:hAnsi="Calibri" w:cs="Calibri"/>
                <w:color w:val="FFFFFF"/>
              </w:rPr>
              <w:t>National Goal 43.6%; California at 27.1%</w:t>
            </w:r>
          </w:p>
        </w:tc>
      </w:tr>
      <w:tr w:rsidR="00D86A11" w:rsidRPr="006A32DE">
        <w:trPr>
          <w:trHeight w:val="300"/>
        </w:trPr>
        <w:tc>
          <w:tcPr>
            <w:tcW w:w="4112" w:type="dxa"/>
            <w:shd w:val="clear" w:color="auto" w:fill="013161"/>
            <w:noWrap/>
          </w:tcPr>
          <w:p w:rsidR="00D86A11" w:rsidRPr="00721EF1" w:rsidRDefault="00D86A11" w:rsidP="00D86A11">
            <w:pPr>
              <w:spacing w:after="0"/>
              <w:contextualSpacing/>
              <w:rPr>
                <w:rFonts w:ascii="Calibri" w:hAnsi="Calibri" w:cs="Calibri"/>
                <w:b/>
                <w:color w:val="FFFFFF"/>
              </w:rPr>
            </w:pPr>
            <w:r w:rsidRPr="00721EF1">
              <w:rPr>
                <w:rFonts w:ascii="Calibri" w:hAnsi="Calibri" w:cs="Calibri"/>
                <w:b/>
                <w:color w:val="FFFFFF"/>
              </w:rPr>
              <w:t> </w:t>
            </w:r>
          </w:p>
        </w:tc>
        <w:tc>
          <w:tcPr>
            <w:tcW w:w="799"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2010</w:t>
            </w:r>
          </w:p>
        </w:tc>
        <w:tc>
          <w:tcPr>
            <w:tcW w:w="846"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2011</w:t>
            </w:r>
          </w:p>
        </w:tc>
        <w:tc>
          <w:tcPr>
            <w:tcW w:w="898"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2012</w:t>
            </w:r>
          </w:p>
        </w:tc>
        <w:tc>
          <w:tcPr>
            <w:tcW w:w="885"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2013</w:t>
            </w:r>
          </w:p>
        </w:tc>
        <w:tc>
          <w:tcPr>
            <w:tcW w:w="884"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2014</w:t>
            </w:r>
          </w:p>
        </w:tc>
        <w:tc>
          <w:tcPr>
            <w:tcW w:w="995"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2015</w:t>
            </w:r>
          </w:p>
        </w:tc>
      </w:tr>
      <w:tr w:rsidR="00D86A11" w:rsidRPr="006A32DE" w:rsidTr="006E40A6">
        <w:trPr>
          <w:trHeight w:val="300"/>
        </w:trPr>
        <w:tc>
          <w:tcPr>
            <w:tcW w:w="4112" w:type="dxa"/>
            <w:shd w:val="clear" w:color="auto" w:fill="auto"/>
            <w:noWrap/>
          </w:tcPr>
          <w:p w:rsidR="00D86A11" w:rsidRPr="00501E6D" w:rsidRDefault="00D86A11" w:rsidP="00D86A11">
            <w:pPr>
              <w:spacing w:after="0"/>
              <w:contextualSpacing/>
              <w:rPr>
                <w:rFonts w:ascii="Calibri" w:hAnsi="Calibri" w:cs="Calibri"/>
                <w:b/>
                <w:color w:val="013161"/>
                <w:sz w:val="20"/>
              </w:rPr>
            </w:pPr>
            <w:r w:rsidRPr="00501E6D">
              <w:rPr>
                <w:rFonts w:ascii="Calibri" w:hAnsi="Calibri" w:cs="Calibri"/>
                <w:b/>
                <w:color w:val="013161"/>
                <w:sz w:val="20"/>
              </w:rPr>
              <w:t>Children with exits to permanency (%)</w:t>
            </w:r>
          </w:p>
        </w:tc>
        <w:tc>
          <w:tcPr>
            <w:tcW w:w="799" w:type="dxa"/>
            <w:shd w:val="clear" w:color="auto" w:fill="auto"/>
            <w:noWrap/>
            <w:vAlign w:val="center"/>
          </w:tcPr>
          <w:p w:rsidR="00D86A11" w:rsidRPr="00501E6D" w:rsidRDefault="00D86A11" w:rsidP="006E40A6">
            <w:pPr>
              <w:jc w:val="center"/>
              <w:rPr>
                <w:rFonts w:ascii="Calibri" w:hAnsi="Calibri"/>
                <w:b/>
                <w:color w:val="013161"/>
                <w:sz w:val="20"/>
              </w:rPr>
            </w:pPr>
            <w:r w:rsidRPr="00501E6D">
              <w:rPr>
                <w:rFonts w:ascii="Calibri" w:hAnsi="Calibri"/>
                <w:b/>
                <w:color w:val="013161"/>
                <w:sz w:val="20"/>
              </w:rPr>
              <w:t>22.9</w:t>
            </w:r>
          </w:p>
        </w:tc>
        <w:tc>
          <w:tcPr>
            <w:tcW w:w="846" w:type="dxa"/>
            <w:shd w:val="clear" w:color="auto" w:fill="auto"/>
            <w:noWrap/>
            <w:vAlign w:val="center"/>
          </w:tcPr>
          <w:p w:rsidR="00D86A11" w:rsidRPr="00501E6D" w:rsidRDefault="00D86A11" w:rsidP="006E40A6">
            <w:pPr>
              <w:jc w:val="center"/>
              <w:rPr>
                <w:rFonts w:ascii="Calibri" w:hAnsi="Calibri"/>
                <w:b/>
                <w:color w:val="013161"/>
                <w:sz w:val="20"/>
              </w:rPr>
            </w:pPr>
            <w:r w:rsidRPr="00501E6D">
              <w:rPr>
                <w:rFonts w:ascii="Calibri" w:hAnsi="Calibri"/>
                <w:b/>
                <w:color w:val="013161"/>
                <w:sz w:val="20"/>
              </w:rPr>
              <w:t>20.0</w:t>
            </w:r>
          </w:p>
        </w:tc>
        <w:tc>
          <w:tcPr>
            <w:tcW w:w="898" w:type="dxa"/>
            <w:shd w:val="clear" w:color="auto" w:fill="auto"/>
            <w:noWrap/>
            <w:vAlign w:val="center"/>
          </w:tcPr>
          <w:p w:rsidR="00D86A11" w:rsidRPr="00501E6D" w:rsidRDefault="00D86A11" w:rsidP="006E40A6">
            <w:pPr>
              <w:jc w:val="center"/>
              <w:rPr>
                <w:rFonts w:ascii="Calibri" w:hAnsi="Calibri"/>
                <w:b/>
                <w:color w:val="013161"/>
                <w:sz w:val="20"/>
              </w:rPr>
            </w:pPr>
            <w:r w:rsidRPr="00501E6D">
              <w:rPr>
                <w:rFonts w:ascii="Calibri" w:hAnsi="Calibri"/>
                <w:b/>
                <w:color w:val="013161"/>
                <w:sz w:val="20"/>
              </w:rPr>
              <w:t>18.0</w:t>
            </w:r>
          </w:p>
        </w:tc>
        <w:tc>
          <w:tcPr>
            <w:tcW w:w="885" w:type="dxa"/>
            <w:shd w:val="clear" w:color="auto" w:fill="auto"/>
            <w:noWrap/>
            <w:vAlign w:val="center"/>
          </w:tcPr>
          <w:p w:rsidR="00D86A11" w:rsidRPr="00501E6D" w:rsidRDefault="00D86A11" w:rsidP="006E40A6">
            <w:pPr>
              <w:jc w:val="center"/>
              <w:rPr>
                <w:rFonts w:ascii="Calibri" w:hAnsi="Calibri"/>
                <w:b/>
                <w:color w:val="013161"/>
                <w:sz w:val="20"/>
              </w:rPr>
            </w:pPr>
            <w:r w:rsidRPr="00501E6D">
              <w:rPr>
                <w:rFonts w:ascii="Calibri" w:hAnsi="Calibri"/>
                <w:b/>
                <w:color w:val="013161"/>
                <w:sz w:val="20"/>
              </w:rPr>
              <w:t>25.6</w:t>
            </w:r>
          </w:p>
        </w:tc>
        <w:tc>
          <w:tcPr>
            <w:tcW w:w="884" w:type="dxa"/>
            <w:shd w:val="clear" w:color="auto" w:fill="auto"/>
            <w:noWrap/>
            <w:vAlign w:val="center"/>
          </w:tcPr>
          <w:p w:rsidR="00D86A11" w:rsidRPr="00501E6D" w:rsidRDefault="00D86A11" w:rsidP="006E40A6">
            <w:pPr>
              <w:jc w:val="center"/>
              <w:rPr>
                <w:rFonts w:ascii="Calibri" w:hAnsi="Calibri"/>
                <w:b/>
                <w:color w:val="013161"/>
                <w:sz w:val="20"/>
              </w:rPr>
            </w:pPr>
            <w:r w:rsidRPr="00501E6D">
              <w:rPr>
                <w:rFonts w:ascii="Calibri" w:hAnsi="Calibri"/>
                <w:b/>
                <w:color w:val="013161"/>
                <w:sz w:val="20"/>
              </w:rPr>
              <w:t>36.1</w:t>
            </w:r>
          </w:p>
        </w:tc>
        <w:tc>
          <w:tcPr>
            <w:tcW w:w="995" w:type="dxa"/>
            <w:shd w:val="clear" w:color="auto" w:fill="auto"/>
            <w:noWrap/>
            <w:vAlign w:val="center"/>
          </w:tcPr>
          <w:p w:rsidR="00D86A11" w:rsidRPr="00501E6D" w:rsidRDefault="00D86A11" w:rsidP="006E40A6">
            <w:pPr>
              <w:jc w:val="center"/>
              <w:rPr>
                <w:rFonts w:ascii="Calibri" w:hAnsi="Calibri"/>
                <w:b/>
                <w:color w:val="013161"/>
                <w:sz w:val="20"/>
              </w:rPr>
            </w:pPr>
            <w:r w:rsidRPr="00501E6D">
              <w:rPr>
                <w:rFonts w:ascii="Calibri" w:hAnsi="Calibri"/>
                <w:b/>
                <w:color w:val="013161"/>
                <w:sz w:val="20"/>
              </w:rPr>
              <w:t>25.0</w:t>
            </w:r>
          </w:p>
        </w:tc>
      </w:tr>
      <w:tr w:rsidR="00D86A11" w:rsidRPr="006A32DE" w:rsidTr="006E40A6">
        <w:trPr>
          <w:trHeight w:val="300"/>
        </w:trPr>
        <w:tc>
          <w:tcPr>
            <w:tcW w:w="4112" w:type="dxa"/>
            <w:shd w:val="clear" w:color="auto" w:fill="DBE5F1"/>
            <w:noWrap/>
          </w:tcPr>
          <w:p w:rsidR="00D86A11" w:rsidRPr="00501E6D" w:rsidRDefault="00D86A11" w:rsidP="00D86A11">
            <w:pPr>
              <w:spacing w:after="0"/>
              <w:contextualSpacing/>
              <w:rPr>
                <w:rFonts w:ascii="Calibri" w:hAnsi="Calibri" w:cs="Calibri"/>
                <w:b/>
                <w:color w:val="013161"/>
                <w:sz w:val="20"/>
              </w:rPr>
            </w:pPr>
            <w:r w:rsidRPr="00501E6D">
              <w:rPr>
                <w:rFonts w:ascii="Calibri" w:hAnsi="Calibri" w:cs="Calibri"/>
                <w:b/>
                <w:color w:val="013161"/>
                <w:sz w:val="20"/>
              </w:rPr>
              <w:t>Children with exits to permanency (n)</w:t>
            </w:r>
          </w:p>
        </w:tc>
        <w:tc>
          <w:tcPr>
            <w:tcW w:w="799" w:type="dxa"/>
            <w:shd w:val="clear" w:color="auto" w:fill="DBE5F1"/>
            <w:noWrap/>
            <w:vAlign w:val="center"/>
          </w:tcPr>
          <w:p w:rsidR="00D86A11" w:rsidRPr="00501E6D" w:rsidRDefault="00D86A11" w:rsidP="006E40A6">
            <w:pPr>
              <w:jc w:val="center"/>
              <w:rPr>
                <w:rFonts w:ascii="Calibri" w:hAnsi="Calibri"/>
                <w:b/>
                <w:color w:val="013161"/>
                <w:sz w:val="20"/>
              </w:rPr>
            </w:pPr>
            <w:r w:rsidRPr="00501E6D">
              <w:rPr>
                <w:rFonts w:ascii="Calibri" w:hAnsi="Calibri"/>
                <w:b/>
                <w:color w:val="013161"/>
                <w:sz w:val="20"/>
              </w:rPr>
              <w:t>11</w:t>
            </w:r>
          </w:p>
        </w:tc>
        <w:tc>
          <w:tcPr>
            <w:tcW w:w="846" w:type="dxa"/>
            <w:shd w:val="clear" w:color="auto" w:fill="DBE5F1"/>
            <w:noWrap/>
            <w:vAlign w:val="center"/>
          </w:tcPr>
          <w:p w:rsidR="00D86A11" w:rsidRPr="00501E6D" w:rsidRDefault="00D86A11" w:rsidP="006E40A6">
            <w:pPr>
              <w:jc w:val="center"/>
              <w:rPr>
                <w:rFonts w:ascii="Calibri" w:hAnsi="Calibri"/>
                <w:b/>
                <w:color w:val="013161"/>
                <w:sz w:val="20"/>
              </w:rPr>
            </w:pPr>
            <w:r w:rsidRPr="00501E6D">
              <w:rPr>
                <w:rFonts w:ascii="Calibri" w:hAnsi="Calibri"/>
                <w:b/>
                <w:color w:val="013161"/>
                <w:sz w:val="20"/>
              </w:rPr>
              <w:t>12</w:t>
            </w:r>
          </w:p>
        </w:tc>
        <w:tc>
          <w:tcPr>
            <w:tcW w:w="898" w:type="dxa"/>
            <w:shd w:val="clear" w:color="auto" w:fill="DBE5F1"/>
            <w:noWrap/>
            <w:vAlign w:val="center"/>
          </w:tcPr>
          <w:p w:rsidR="00D86A11" w:rsidRPr="00501E6D" w:rsidRDefault="00D86A11" w:rsidP="006E40A6">
            <w:pPr>
              <w:jc w:val="center"/>
              <w:rPr>
                <w:rFonts w:ascii="Calibri" w:hAnsi="Calibri"/>
                <w:b/>
                <w:color w:val="013161"/>
                <w:sz w:val="20"/>
              </w:rPr>
            </w:pPr>
            <w:r w:rsidRPr="00501E6D">
              <w:rPr>
                <w:rFonts w:ascii="Calibri" w:hAnsi="Calibri"/>
                <w:b/>
                <w:color w:val="013161"/>
                <w:sz w:val="20"/>
              </w:rPr>
              <w:t>9</w:t>
            </w:r>
          </w:p>
        </w:tc>
        <w:tc>
          <w:tcPr>
            <w:tcW w:w="885" w:type="dxa"/>
            <w:shd w:val="clear" w:color="auto" w:fill="DBE5F1"/>
            <w:noWrap/>
            <w:vAlign w:val="center"/>
          </w:tcPr>
          <w:p w:rsidR="00D86A11" w:rsidRPr="00501E6D" w:rsidRDefault="00D86A11" w:rsidP="006E40A6">
            <w:pPr>
              <w:jc w:val="center"/>
              <w:rPr>
                <w:rFonts w:ascii="Calibri" w:hAnsi="Calibri"/>
                <w:b/>
                <w:color w:val="013161"/>
                <w:sz w:val="20"/>
              </w:rPr>
            </w:pPr>
            <w:r w:rsidRPr="00501E6D">
              <w:rPr>
                <w:rFonts w:ascii="Calibri" w:hAnsi="Calibri"/>
                <w:b/>
                <w:color w:val="013161"/>
                <w:sz w:val="20"/>
              </w:rPr>
              <w:t>10</w:t>
            </w:r>
          </w:p>
        </w:tc>
        <w:tc>
          <w:tcPr>
            <w:tcW w:w="884" w:type="dxa"/>
            <w:shd w:val="clear" w:color="auto" w:fill="DBE5F1"/>
            <w:noWrap/>
            <w:vAlign w:val="center"/>
          </w:tcPr>
          <w:p w:rsidR="00D86A11" w:rsidRPr="00501E6D" w:rsidRDefault="00D86A11" w:rsidP="006E40A6">
            <w:pPr>
              <w:jc w:val="center"/>
              <w:rPr>
                <w:rFonts w:ascii="Calibri" w:hAnsi="Calibri"/>
                <w:b/>
                <w:color w:val="013161"/>
                <w:sz w:val="20"/>
              </w:rPr>
            </w:pPr>
            <w:r w:rsidRPr="00501E6D">
              <w:rPr>
                <w:rFonts w:ascii="Calibri" w:hAnsi="Calibri"/>
                <w:b/>
                <w:color w:val="013161"/>
                <w:sz w:val="20"/>
              </w:rPr>
              <w:t>22</w:t>
            </w:r>
          </w:p>
        </w:tc>
        <w:tc>
          <w:tcPr>
            <w:tcW w:w="995" w:type="dxa"/>
            <w:shd w:val="clear" w:color="auto" w:fill="DBE5F1"/>
            <w:noWrap/>
            <w:vAlign w:val="center"/>
          </w:tcPr>
          <w:p w:rsidR="00D86A11" w:rsidRPr="00501E6D" w:rsidRDefault="00D86A11" w:rsidP="006E40A6">
            <w:pPr>
              <w:jc w:val="center"/>
              <w:rPr>
                <w:rFonts w:ascii="Calibri" w:hAnsi="Calibri"/>
                <w:b/>
                <w:color w:val="013161"/>
                <w:sz w:val="20"/>
              </w:rPr>
            </w:pPr>
            <w:r w:rsidRPr="00501E6D">
              <w:rPr>
                <w:rFonts w:ascii="Calibri" w:hAnsi="Calibri"/>
                <w:b/>
                <w:color w:val="013161"/>
                <w:sz w:val="20"/>
              </w:rPr>
              <w:t>9</w:t>
            </w:r>
          </w:p>
        </w:tc>
      </w:tr>
    </w:tbl>
    <w:p w:rsidR="00D86A11" w:rsidRPr="00E024F4" w:rsidRDefault="00D86A11" w:rsidP="00D86A11">
      <w:pPr>
        <w:pStyle w:val="Heading1"/>
        <w:rPr>
          <w:rFonts w:ascii="Calibri" w:hAnsi="Calibri" w:cs="Calibri"/>
          <w:b w:val="0"/>
          <w:smallCaps/>
          <w:color w:val="auto"/>
          <w:szCs w:val="28"/>
        </w:rPr>
      </w:pPr>
      <w:r w:rsidRPr="00AF204C">
        <w:rPr>
          <w:color w:val="2E7029"/>
          <w:sz w:val="24"/>
        </w:rPr>
        <w:t>Analysis</w:t>
      </w:r>
    </w:p>
    <w:p w:rsidR="00D86A11" w:rsidRPr="001375F2" w:rsidRDefault="00D86A11" w:rsidP="00D86A11">
      <w:pPr>
        <w:spacing w:after="0"/>
        <w:rPr>
          <w:rFonts w:ascii="Franklin Gothic Book" w:hAnsi="Franklin Gothic Book"/>
          <w:color w:val="auto"/>
          <w:spacing w:val="20"/>
          <w:szCs w:val="28"/>
        </w:rPr>
      </w:pPr>
      <w:r w:rsidRPr="001375F2">
        <w:rPr>
          <w:rFonts w:ascii="Franklin Gothic Book" w:hAnsi="Franklin Gothic Book"/>
          <w:b/>
          <w:color w:val="auto"/>
          <w:spacing w:val="20"/>
          <w:szCs w:val="28"/>
        </w:rPr>
        <w:t>Trends:</w:t>
      </w:r>
      <w:r w:rsidRPr="001375F2">
        <w:rPr>
          <w:rFonts w:ascii="Franklin Gothic Book" w:hAnsi="Franklin Gothic Book"/>
          <w:color w:val="auto"/>
          <w:spacing w:val="20"/>
          <w:szCs w:val="28"/>
        </w:rPr>
        <w:t xml:space="preserve"> Performance has fluctuated from 2010 to 2015, including a dramatic increase in 2014, followed by an 11 percentage point decrease in 2015. </w:t>
      </w:r>
      <w:r>
        <w:rPr>
          <w:rFonts w:ascii="Franklin Gothic Book" w:hAnsi="Franklin Gothic Book"/>
          <w:color w:val="auto"/>
          <w:spacing w:val="20"/>
          <w:szCs w:val="28"/>
        </w:rPr>
        <w:t>The County of San Diego</w:t>
      </w:r>
      <w:r w:rsidRPr="001375F2">
        <w:rPr>
          <w:rFonts w:ascii="Franklin Gothic Book" w:hAnsi="Franklin Gothic Book"/>
          <w:color w:val="auto"/>
          <w:spacing w:val="20"/>
          <w:szCs w:val="28"/>
        </w:rPr>
        <w:t xml:space="preserve">’s rate is lower than the State’s rate and lower than the National Goal. </w:t>
      </w:r>
    </w:p>
    <w:p w:rsidR="00D86A11" w:rsidRPr="001375F2" w:rsidRDefault="00D86A11" w:rsidP="00D86A11">
      <w:pPr>
        <w:spacing w:before="240" w:after="0"/>
        <w:rPr>
          <w:rFonts w:ascii="Franklin Gothic Book" w:hAnsi="Franklin Gothic Book"/>
          <w:color w:val="auto"/>
          <w:spacing w:val="20"/>
          <w:szCs w:val="28"/>
        </w:rPr>
      </w:pPr>
      <w:r w:rsidRPr="001375F2">
        <w:rPr>
          <w:rFonts w:ascii="Franklin Gothic Book" w:hAnsi="Franklin Gothic Book"/>
          <w:b/>
          <w:color w:val="auto"/>
          <w:spacing w:val="20"/>
          <w:szCs w:val="28"/>
        </w:rPr>
        <w:t>Race/Ethnicity:</w:t>
      </w:r>
      <w:r w:rsidRPr="001375F2">
        <w:rPr>
          <w:rFonts w:ascii="Franklin Gothic Book" w:hAnsi="Franklin Gothic Book"/>
          <w:color w:val="auto"/>
          <w:spacing w:val="20"/>
          <w:szCs w:val="28"/>
        </w:rPr>
        <w:t xml:space="preserve"> In 2015, White youth experienced the highest permanency rates at 37.5% (6), followed by Latino at 23.1% (3). No youth of other race/ethnicities that had been in care 12-23 months exited to permanency. </w:t>
      </w:r>
    </w:p>
    <w:p w:rsidR="00D86A11" w:rsidRPr="001375F2" w:rsidRDefault="00D86A11" w:rsidP="00D86A11">
      <w:pPr>
        <w:spacing w:before="240" w:after="0"/>
        <w:rPr>
          <w:rFonts w:ascii="Franklin Gothic Book" w:hAnsi="Franklin Gothic Book"/>
          <w:color w:val="auto"/>
          <w:spacing w:val="20"/>
          <w:szCs w:val="28"/>
        </w:rPr>
      </w:pPr>
      <w:r w:rsidRPr="001375F2">
        <w:rPr>
          <w:rFonts w:ascii="Franklin Gothic Book" w:hAnsi="Franklin Gothic Book"/>
          <w:b/>
          <w:color w:val="auto"/>
          <w:spacing w:val="20"/>
          <w:szCs w:val="28"/>
        </w:rPr>
        <w:t>Age:</w:t>
      </w:r>
      <w:r w:rsidRPr="001375F2">
        <w:rPr>
          <w:rFonts w:ascii="Franklin Gothic Book" w:hAnsi="Franklin Gothic Book"/>
          <w:color w:val="auto"/>
          <w:spacing w:val="20"/>
          <w:szCs w:val="28"/>
        </w:rPr>
        <w:t xml:space="preserve"> In 2015, 55.6% (5) of 11-15 year olds who had been in care 12-23 months attained permanency as did 14.8% (4) of 16-17 year olds. </w:t>
      </w:r>
    </w:p>
    <w:p w:rsidR="00D86A11" w:rsidRPr="001375F2" w:rsidRDefault="00D86A11" w:rsidP="00D86A11">
      <w:pPr>
        <w:pStyle w:val="Heading3"/>
        <w:spacing w:line="276" w:lineRule="auto"/>
        <w:rPr>
          <w:b w:val="0"/>
          <w:color w:val="auto"/>
          <w:sz w:val="22"/>
        </w:rPr>
      </w:pPr>
      <w:r w:rsidRPr="001375F2">
        <w:rPr>
          <w:b w:val="0"/>
          <w:color w:val="auto"/>
          <w:sz w:val="22"/>
        </w:rPr>
        <w:t xml:space="preserve">This particular outcome measure has been chosen as Probation’s focus area for the upcoming SIP, as performance is well below the national goal. One barrier to meeting this measure is believed to be, in part, the implementation of Extended Foster Care. The County has seen an increase in the number of youth who have opted to continue in care in order to qualify for Extended Foster Care, due to the lack of permanent connections with an adult. Additionally, youth who require specialized care for acute mental health issues and/or specialized treatment for sexually reactive behavior require lengthier stays in foster care, in order to complete the treatment goals. This is believed to correlate with a decrease in the number of youth who exited to permanency during these time periods. </w:t>
      </w:r>
    </w:p>
    <w:p w:rsidR="00D86A11" w:rsidRPr="001375F2" w:rsidRDefault="00D86A11" w:rsidP="00D86A11">
      <w:pPr>
        <w:pStyle w:val="Heading3"/>
        <w:spacing w:line="276" w:lineRule="auto"/>
        <w:rPr>
          <w:b w:val="0"/>
          <w:color w:val="auto"/>
          <w:sz w:val="22"/>
        </w:rPr>
      </w:pPr>
      <w:r w:rsidRPr="001375F2">
        <w:rPr>
          <w:b w:val="0"/>
          <w:color w:val="auto"/>
          <w:sz w:val="22"/>
        </w:rPr>
        <w:t xml:space="preserve">Some of the challenges to improving this outcome identified during the CSA stakeholder meetings and Peer Review included: parent engagement, mental health issues, staff support, family finding, low functioning youth, and severely dysfunctional families. </w:t>
      </w:r>
    </w:p>
    <w:p w:rsidR="001240D5" w:rsidRDefault="001240D5">
      <w:pPr>
        <w:spacing w:after="0" w:line="240" w:lineRule="auto"/>
        <w:rPr>
          <w:rFonts w:ascii="Franklin Gothic Book" w:hAnsi="Franklin Gothic Book"/>
          <w:b/>
          <w:color w:val="F6872B"/>
          <w:spacing w:val="20"/>
          <w:sz w:val="24"/>
          <w:szCs w:val="32"/>
        </w:rPr>
      </w:pPr>
      <w:r>
        <w:rPr>
          <w:color w:val="F6872B"/>
          <w:sz w:val="24"/>
        </w:rPr>
        <w:br w:type="page"/>
      </w:r>
    </w:p>
    <w:p w:rsidR="00D86A11" w:rsidRPr="00AF204C" w:rsidRDefault="00D86A11" w:rsidP="00D86A11">
      <w:pPr>
        <w:pStyle w:val="Heading1"/>
        <w:rPr>
          <w:color w:val="F6872B"/>
          <w:sz w:val="24"/>
        </w:rPr>
      </w:pPr>
      <w:r w:rsidRPr="00AF204C">
        <w:rPr>
          <w:color w:val="F6872B"/>
          <w:sz w:val="24"/>
        </w:rPr>
        <w:lastRenderedPageBreak/>
        <w:t>3-P3 Permanency in 12 Months in Care 24 Months or More</w:t>
      </w:r>
    </w:p>
    <w:tbl>
      <w:tblPr>
        <w:tblW w:w="0" w:type="auto"/>
        <w:tblBorders>
          <w:top w:val="single" w:sz="18" w:space="0" w:color="F6872B"/>
          <w:bottom w:val="single" w:sz="18" w:space="0" w:color="F6872B"/>
        </w:tblBorders>
        <w:tblLook w:val="04A0" w:firstRow="1" w:lastRow="0" w:firstColumn="1" w:lastColumn="0" w:noHBand="0" w:noVBand="1"/>
      </w:tblPr>
      <w:tblGrid>
        <w:gridCol w:w="3521"/>
        <w:gridCol w:w="981"/>
        <w:gridCol w:w="948"/>
        <w:gridCol w:w="948"/>
        <w:gridCol w:w="948"/>
        <w:gridCol w:w="844"/>
        <w:gridCol w:w="1170"/>
      </w:tblGrid>
      <w:tr w:rsidR="00D86A11" w:rsidRPr="006B5523" w:rsidTr="006E40A6">
        <w:trPr>
          <w:trHeight w:val="747"/>
        </w:trPr>
        <w:tc>
          <w:tcPr>
            <w:tcW w:w="9378" w:type="dxa"/>
            <w:gridSpan w:val="7"/>
            <w:shd w:val="clear" w:color="auto" w:fill="013161"/>
            <w:noWrap/>
          </w:tcPr>
          <w:p w:rsidR="00D86A11" w:rsidRPr="000055D1" w:rsidRDefault="00D86A11" w:rsidP="00D86A11">
            <w:pPr>
              <w:spacing w:after="0"/>
              <w:contextualSpacing/>
              <w:jc w:val="center"/>
              <w:rPr>
                <w:rFonts w:ascii="Calibri" w:hAnsi="Calibri" w:cs="Calibri"/>
                <w:color w:val="FFFFFF"/>
              </w:rPr>
            </w:pPr>
            <w:r>
              <w:rPr>
                <w:rFonts w:ascii="Calibri" w:hAnsi="Calibri" w:cs="Calibri"/>
                <w:b/>
                <w:color w:val="FFFFFF"/>
                <w:sz w:val="24"/>
              </w:rPr>
              <w:t>Exhibit 81. County of San Diego</w:t>
            </w:r>
            <w:r w:rsidRPr="00E415BF">
              <w:rPr>
                <w:rFonts w:ascii="Calibri" w:hAnsi="Calibri" w:cs="Calibri"/>
                <w:b/>
                <w:color w:val="FFFFFF"/>
                <w:sz w:val="24"/>
              </w:rPr>
              <w:t xml:space="preserve"> Probation - Permanency in 12 Months for Children in Care 24+ Months</w:t>
            </w:r>
            <w:r w:rsidRPr="000055D1">
              <w:rPr>
                <w:rFonts w:ascii="Calibri" w:hAnsi="Calibri" w:cs="Calibri"/>
                <w:color w:val="FFFFFF"/>
              </w:rPr>
              <w:br/>
              <w:t>National Goal 30.3%; California at 15.2%</w:t>
            </w:r>
          </w:p>
        </w:tc>
      </w:tr>
      <w:tr w:rsidR="00D86A11" w:rsidRPr="006B5523" w:rsidTr="006E40A6">
        <w:trPr>
          <w:trHeight w:val="289"/>
        </w:trPr>
        <w:tc>
          <w:tcPr>
            <w:tcW w:w="3528" w:type="dxa"/>
            <w:shd w:val="clear" w:color="auto" w:fill="013161"/>
            <w:noWrap/>
          </w:tcPr>
          <w:p w:rsidR="00D86A11" w:rsidRPr="00721EF1" w:rsidRDefault="00D86A11" w:rsidP="00D86A11">
            <w:pPr>
              <w:spacing w:after="0"/>
              <w:contextualSpacing/>
              <w:rPr>
                <w:rFonts w:ascii="Calibri" w:hAnsi="Calibri" w:cs="Calibri"/>
                <w:b/>
                <w:color w:val="FFFFFF"/>
              </w:rPr>
            </w:pPr>
            <w:r w:rsidRPr="00721EF1">
              <w:rPr>
                <w:rFonts w:ascii="Calibri" w:hAnsi="Calibri" w:cs="Calibri"/>
                <w:b/>
                <w:color w:val="FFFFFF"/>
              </w:rPr>
              <w:t> </w:t>
            </w:r>
          </w:p>
        </w:tc>
        <w:tc>
          <w:tcPr>
            <w:tcW w:w="983"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2010</w:t>
            </w:r>
          </w:p>
        </w:tc>
        <w:tc>
          <w:tcPr>
            <w:tcW w:w="950"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2011</w:t>
            </w:r>
          </w:p>
        </w:tc>
        <w:tc>
          <w:tcPr>
            <w:tcW w:w="950"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2012</w:t>
            </w:r>
          </w:p>
        </w:tc>
        <w:tc>
          <w:tcPr>
            <w:tcW w:w="950"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2013</w:t>
            </w:r>
          </w:p>
        </w:tc>
        <w:tc>
          <w:tcPr>
            <w:tcW w:w="845"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2014</w:t>
            </w:r>
          </w:p>
        </w:tc>
        <w:tc>
          <w:tcPr>
            <w:tcW w:w="1172" w:type="dxa"/>
            <w:shd w:val="clear" w:color="auto" w:fill="013161"/>
            <w:noWrap/>
          </w:tcPr>
          <w:p w:rsidR="00D86A11" w:rsidRPr="00721EF1" w:rsidRDefault="00D86A11" w:rsidP="00D86A11">
            <w:pPr>
              <w:spacing w:after="0"/>
              <w:contextualSpacing/>
              <w:jc w:val="center"/>
              <w:rPr>
                <w:rFonts w:ascii="Calibri" w:hAnsi="Calibri" w:cs="Calibri"/>
                <w:b/>
                <w:color w:val="FFFFFF"/>
              </w:rPr>
            </w:pPr>
            <w:r w:rsidRPr="00721EF1">
              <w:rPr>
                <w:rFonts w:ascii="Calibri" w:hAnsi="Calibri" w:cs="Calibri"/>
                <w:b/>
                <w:color w:val="FFFFFF"/>
              </w:rPr>
              <w:t>2015</w:t>
            </w:r>
          </w:p>
        </w:tc>
      </w:tr>
      <w:tr w:rsidR="00D86A11" w:rsidRPr="006B5523" w:rsidTr="006E40A6">
        <w:trPr>
          <w:trHeight w:val="289"/>
        </w:trPr>
        <w:tc>
          <w:tcPr>
            <w:tcW w:w="3528" w:type="dxa"/>
            <w:shd w:val="clear" w:color="auto" w:fill="auto"/>
            <w:noWrap/>
          </w:tcPr>
          <w:p w:rsidR="00D86A11" w:rsidRPr="00694DFA" w:rsidRDefault="00D86A11" w:rsidP="00D86A11">
            <w:pPr>
              <w:spacing w:after="0"/>
              <w:contextualSpacing/>
              <w:rPr>
                <w:rFonts w:ascii="Calibri" w:hAnsi="Calibri" w:cs="Calibri"/>
                <w:b/>
                <w:color w:val="013161"/>
                <w:sz w:val="20"/>
              </w:rPr>
            </w:pPr>
            <w:r w:rsidRPr="00694DFA">
              <w:rPr>
                <w:rFonts w:ascii="Calibri" w:hAnsi="Calibri" w:cs="Calibri"/>
                <w:b/>
                <w:color w:val="013161"/>
                <w:sz w:val="20"/>
              </w:rPr>
              <w:t>Children with exits to permanency (%)</w:t>
            </w:r>
          </w:p>
        </w:tc>
        <w:tc>
          <w:tcPr>
            <w:tcW w:w="983" w:type="dxa"/>
            <w:shd w:val="clear" w:color="auto" w:fill="auto"/>
            <w:noWrap/>
          </w:tcPr>
          <w:p w:rsidR="00D86A11" w:rsidRPr="00694DFA" w:rsidRDefault="00D86A11" w:rsidP="00D86A11">
            <w:pPr>
              <w:jc w:val="center"/>
              <w:rPr>
                <w:rFonts w:ascii="Calibri" w:hAnsi="Calibri"/>
                <w:b/>
                <w:color w:val="013161"/>
                <w:sz w:val="20"/>
              </w:rPr>
            </w:pPr>
            <w:r w:rsidRPr="00694DFA">
              <w:rPr>
                <w:rFonts w:ascii="Calibri" w:hAnsi="Calibri"/>
                <w:b/>
                <w:color w:val="013161"/>
                <w:sz w:val="20"/>
              </w:rPr>
              <w:t>16.7</w:t>
            </w:r>
          </w:p>
        </w:tc>
        <w:tc>
          <w:tcPr>
            <w:tcW w:w="950" w:type="dxa"/>
            <w:shd w:val="clear" w:color="auto" w:fill="auto"/>
            <w:noWrap/>
          </w:tcPr>
          <w:p w:rsidR="00D86A11" w:rsidRPr="00694DFA" w:rsidRDefault="00D86A11" w:rsidP="00D86A11">
            <w:pPr>
              <w:jc w:val="center"/>
              <w:rPr>
                <w:rFonts w:ascii="Calibri" w:hAnsi="Calibri"/>
                <w:b/>
                <w:color w:val="013161"/>
                <w:sz w:val="20"/>
              </w:rPr>
            </w:pPr>
            <w:r w:rsidRPr="00694DFA">
              <w:rPr>
                <w:rFonts w:ascii="Calibri" w:hAnsi="Calibri"/>
                <w:b/>
                <w:color w:val="013161"/>
                <w:sz w:val="20"/>
              </w:rPr>
              <w:t>11.9</w:t>
            </w:r>
          </w:p>
        </w:tc>
        <w:tc>
          <w:tcPr>
            <w:tcW w:w="950" w:type="dxa"/>
            <w:shd w:val="clear" w:color="auto" w:fill="auto"/>
            <w:noWrap/>
          </w:tcPr>
          <w:p w:rsidR="00D86A11" w:rsidRPr="00694DFA" w:rsidRDefault="00D86A11" w:rsidP="00D86A11">
            <w:pPr>
              <w:jc w:val="center"/>
              <w:rPr>
                <w:rFonts w:ascii="Calibri" w:hAnsi="Calibri"/>
                <w:b/>
                <w:color w:val="013161"/>
                <w:sz w:val="20"/>
              </w:rPr>
            </w:pPr>
            <w:r w:rsidRPr="00694DFA">
              <w:rPr>
                <w:rFonts w:ascii="Calibri" w:hAnsi="Calibri"/>
                <w:b/>
                <w:color w:val="013161"/>
                <w:sz w:val="20"/>
              </w:rPr>
              <w:t>6.4</w:t>
            </w:r>
          </w:p>
        </w:tc>
        <w:tc>
          <w:tcPr>
            <w:tcW w:w="950" w:type="dxa"/>
            <w:shd w:val="clear" w:color="auto" w:fill="auto"/>
            <w:noWrap/>
          </w:tcPr>
          <w:p w:rsidR="00D86A11" w:rsidRPr="00694DFA" w:rsidRDefault="00D86A11" w:rsidP="00D86A11">
            <w:pPr>
              <w:jc w:val="center"/>
              <w:rPr>
                <w:rFonts w:ascii="Calibri" w:hAnsi="Calibri"/>
                <w:b/>
                <w:color w:val="013161"/>
                <w:sz w:val="20"/>
              </w:rPr>
            </w:pPr>
            <w:r w:rsidRPr="00694DFA">
              <w:rPr>
                <w:rFonts w:ascii="Calibri" w:hAnsi="Calibri"/>
                <w:b/>
                <w:color w:val="013161"/>
                <w:sz w:val="20"/>
              </w:rPr>
              <w:t>10.6</w:t>
            </w:r>
          </w:p>
        </w:tc>
        <w:tc>
          <w:tcPr>
            <w:tcW w:w="845" w:type="dxa"/>
            <w:shd w:val="clear" w:color="auto" w:fill="auto"/>
            <w:noWrap/>
          </w:tcPr>
          <w:p w:rsidR="00D86A11" w:rsidRPr="00694DFA" w:rsidRDefault="00D86A11" w:rsidP="00D86A11">
            <w:pPr>
              <w:jc w:val="center"/>
              <w:rPr>
                <w:rFonts w:ascii="Calibri" w:hAnsi="Calibri"/>
                <w:b/>
                <w:color w:val="013161"/>
                <w:sz w:val="20"/>
              </w:rPr>
            </w:pPr>
            <w:r w:rsidRPr="00694DFA">
              <w:rPr>
                <w:rFonts w:ascii="Calibri" w:hAnsi="Calibri"/>
                <w:b/>
                <w:color w:val="013161"/>
                <w:sz w:val="20"/>
              </w:rPr>
              <w:t>20.5</w:t>
            </w:r>
          </w:p>
        </w:tc>
        <w:tc>
          <w:tcPr>
            <w:tcW w:w="1172" w:type="dxa"/>
            <w:shd w:val="clear" w:color="auto" w:fill="auto"/>
            <w:noWrap/>
          </w:tcPr>
          <w:p w:rsidR="00D86A11" w:rsidRPr="00694DFA" w:rsidRDefault="00D86A11" w:rsidP="00D86A11">
            <w:pPr>
              <w:jc w:val="center"/>
              <w:rPr>
                <w:rFonts w:ascii="Calibri" w:hAnsi="Calibri"/>
                <w:b/>
                <w:color w:val="013161"/>
                <w:sz w:val="20"/>
              </w:rPr>
            </w:pPr>
            <w:r w:rsidRPr="00694DFA">
              <w:rPr>
                <w:rFonts w:ascii="Calibri" w:hAnsi="Calibri"/>
                <w:b/>
                <w:color w:val="013161"/>
                <w:sz w:val="20"/>
              </w:rPr>
              <w:t>24.1</w:t>
            </w:r>
          </w:p>
        </w:tc>
      </w:tr>
      <w:tr w:rsidR="00D86A11" w:rsidRPr="006B5523" w:rsidTr="006E40A6">
        <w:trPr>
          <w:trHeight w:val="289"/>
        </w:trPr>
        <w:tc>
          <w:tcPr>
            <w:tcW w:w="3528" w:type="dxa"/>
            <w:shd w:val="clear" w:color="auto" w:fill="DBE5F1"/>
            <w:noWrap/>
          </w:tcPr>
          <w:p w:rsidR="00D86A11" w:rsidRPr="00694DFA" w:rsidRDefault="00D86A11" w:rsidP="00D86A11">
            <w:pPr>
              <w:spacing w:after="0"/>
              <w:contextualSpacing/>
              <w:rPr>
                <w:rFonts w:ascii="Calibri" w:hAnsi="Calibri" w:cs="Calibri"/>
                <w:b/>
                <w:color w:val="013161"/>
                <w:sz w:val="20"/>
              </w:rPr>
            </w:pPr>
            <w:r w:rsidRPr="00694DFA">
              <w:rPr>
                <w:rFonts w:ascii="Calibri" w:hAnsi="Calibri" w:cs="Calibri"/>
                <w:b/>
                <w:color w:val="013161"/>
                <w:sz w:val="20"/>
              </w:rPr>
              <w:t>Children with exits to permanency (n)</w:t>
            </w:r>
          </w:p>
        </w:tc>
        <w:tc>
          <w:tcPr>
            <w:tcW w:w="983" w:type="dxa"/>
            <w:shd w:val="clear" w:color="auto" w:fill="DBE5F1"/>
            <w:noWrap/>
          </w:tcPr>
          <w:p w:rsidR="00D86A11" w:rsidRPr="00694DFA" w:rsidRDefault="00D86A11" w:rsidP="00D86A11">
            <w:pPr>
              <w:jc w:val="center"/>
              <w:rPr>
                <w:rFonts w:ascii="Calibri" w:hAnsi="Calibri"/>
                <w:b/>
                <w:color w:val="013161"/>
                <w:sz w:val="20"/>
              </w:rPr>
            </w:pPr>
            <w:r w:rsidRPr="00694DFA">
              <w:rPr>
                <w:rFonts w:ascii="Calibri" w:hAnsi="Calibri"/>
                <w:b/>
                <w:color w:val="013161"/>
                <w:sz w:val="20"/>
              </w:rPr>
              <w:t>5</w:t>
            </w:r>
          </w:p>
        </w:tc>
        <w:tc>
          <w:tcPr>
            <w:tcW w:w="950" w:type="dxa"/>
            <w:shd w:val="clear" w:color="auto" w:fill="DBE5F1"/>
            <w:noWrap/>
          </w:tcPr>
          <w:p w:rsidR="00D86A11" w:rsidRPr="00694DFA" w:rsidRDefault="00D86A11" w:rsidP="00D86A11">
            <w:pPr>
              <w:jc w:val="center"/>
              <w:rPr>
                <w:rFonts w:ascii="Calibri" w:hAnsi="Calibri"/>
                <w:b/>
                <w:color w:val="013161"/>
                <w:sz w:val="20"/>
              </w:rPr>
            </w:pPr>
            <w:r w:rsidRPr="00694DFA">
              <w:rPr>
                <w:rFonts w:ascii="Calibri" w:hAnsi="Calibri"/>
                <w:b/>
                <w:color w:val="013161"/>
                <w:sz w:val="20"/>
              </w:rPr>
              <w:t>5</w:t>
            </w:r>
          </w:p>
        </w:tc>
        <w:tc>
          <w:tcPr>
            <w:tcW w:w="950" w:type="dxa"/>
            <w:shd w:val="clear" w:color="auto" w:fill="DBE5F1"/>
            <w:noWrap/>
          </w:tcPr>
          <w:p w:rsidR="00D86A11" w:rsidRPr="00694DFA" w:rsidRDefault="00D86A11" w:rsidP="00D86A11">
            <w:pPr>
              <w:jc w:val="center"/>
              <w:rPr>
                <w:rFonts w:ascii="Calibri" w:hAnsi="Calibri"/>
                <w:b/>
                <w:color w:val="013161"/>
                <w:sz w:val="20"/>
              </w:rPr>
            </w:pPr>
            <w:r w:rsidRPr="00694DFA">
              <w:rPr>
                <w:rFonts w:ascii="Calibri" w:hAnsi="Calibri"/>
                <w:b/>
                <w:color w:val="013161"/>
                <w:sz w:val="20"/>
              </w:rPr>
              <w:t>3</w:t>
            </w:r>
          </w:p>
        </w:tc>
        <w:tc>
          <w:tcPr>
            <w:tcW w:w="950" w:type="dxa"/>
            <w:shd w:val="clear" w:color="auto" w:fill="DBE5F1"/>
            <w:noWrap/>
          </w:tcPr>
          <w:p w:rsidR="00D86A11" w:rsidRPr="00694DFA" w:rsidRDefault="00D86A11" w:rsidP="00D86A11">
            <w:pPr>
              <w:jc w:val="center"/>
              <w:rPr>
                <w:rFonts w:ascii="Calibri" w:hAnsi="Calibri"/>
                <w:b/>
                <w:color w:val="013161"/>
                <w:sz w:val="20"/>
              </w:rPr>
            </w:pPr>
            <w:r w:rsidRPr="00694DFA">
              <w:rPr>
                <w:rFonts w:ascii="Calibri" w:hAnsi="Calibri"/>
                <w:b/>
                <w:color w:val="013161"/>
                <w:sz w:val="20"/>
              </w:rPr>
              <w:t>5</w:t>
            </w:r>
          </w:p>
        </w:tc>
        <w:tc>
          <w:tcPr>
            <w:tcW w:w="845" w:type="dxa"/>
            <w:shd w:val="clear" w:color="auto" w:fill="DBE5F1"/>
            <w:noWrap/>
          </w:tcPr>
          <w:p w:rsidR="00D86A11" w:rsidRPr="00694DFA" w:rsidRDefault="00D86A11" w:rsidP="00D86A11">
            <w:pPr>
              <w:jc w:val="center"/>
              <w:rPr>
                <w:rFonts w:ascii="Calibri" w:hAnsi="Calibri"/>
                <w:b/>
                <w:color w:val="013161"/>
                <w:sz w:val="20"/>
              </w:rPr>
            </w:pPr>
            <w:r w:rsidRPr="00694DFA">
              <w:rPr>
                <w:rFonts w:ascii="Calibri" w:hAnsi="Calibri"/>
                <w:b/>
                <w:color w:val="013161"/>
                <w:sz w:val="20"/>
              </w:rPr>
              <w:t>9</w:t>
            </w:r>
          </w:p>
        </w:tc>
        <w:tc>
          <w:tcPr>
            <w:tcW w:w="1172" w:type="dxa"/>
            <w:shd w:val="clear" w:color="auto" w:fill="DBE5F1"/>
            <w:noWrap/>
          </w:tcPr>
          <w:p w:rsidR="00D86A11" w:rsidRPr="00694DFA" w:rsidRDefault="00D86A11" w:rsidP="00D86A11">
            <w:pPr>
              <w:jc w:val="center"/>
              <w:rPr>
                <w:rFonts w:ascii="Calibri" w:hAnsi="Calibri"/>
                <w:b/>
                <w:color w:val="013161"/>
                <w:sz w:val="20"/>
              </w:rPr>
            </w:pPr>
            <w:r w:rsidRPr="00694DFA">
              <w:rPr>
                <w:rFonts w:ascii="Calibri" w:hAnsi="Calibri"/>
                <w:b/>
                <w:color w:val="013161"/>
                <w:sz w:val="20"/>
              </w:rPr>
              <w:t>7</w:t>
            </w:r>
          </w:p>
        </w:tc>
      </w:tr>
    </w:tbl>
    <w:p w:rsidR="00D86A11" w:rsidRPr="00AF204C" w:rsidRDefault="00D86A11" w:rsidP="00D86A11">
      <w:pPr>
        <w:pStyle w:val="Heading1"/>
        <w:rPr>
          <w:color w:val="2E7029"/>
          <w:sz w:val="24"/>
        </w:rPr>
      </w:pPr>
      <w:r w:rsidRPr="00AF204C">
        <w:rPr>
          <w:color w:val="2E7029"/>
          <w:sz w:val="24"/>
        </w:rPr>
        <w:t>Analysis</w:t>
      </w:r>
    </w:p>
    <w:p w:rsidR="00D86A11" w:rsidRPr="009479BA" w:rsidRDefault="00D86A11" w:rsidP="00D86A11">
      <w:pPr>
        <w:spacing w:after="0"/>
        <w:rPr>
          <w:rFonts w:ascii="Franklin Gothic Book" w:hAnsi="Franklin Gothic Book"/>
          <w:color w:val="auto"/>
          <w:spacing w:val="20"/>
          <w:szCs w:val="28"/>
        </w:rPr>
      </w:pPr>
      <w:r w:rsidRPr="009479BA">
        <w:rPr>
          <w:rFonts w:ascii="Franklin Gothic Book" w:hAnsi="Franklin Gothic Book"/>
          <w:b/>
          <w:color w:val="auto"/>
          <w:spacing w:val="20"/>
          <w:szCs w:val="28"/>
        </w:rPr>
        <w:t>Trends:</w:t>
      </w:r>
      <w:r w:rsidRPr="009479BA">
        <w:rPr>
          <w:rFonts w:ascii="Franklin Gothic Book" w:hAnsi="Franklin Gothic Book"/>
          <w:color w:val="auto"/>
          <w:spacing w:val="20"/>
          <w:szCs w:val="28"/>
        </w:rPr>
        <w:t xml:space="preserve"> Exits to permanency increased to 20.5% and 24.1% in 2014 and 2015, respectively. San Diego Probation is performing above the State and only 6 percentage points below the national goal. </w:t>
      </w:r>
    </w:p>
    <w:p w:rsidR="00D86A11" w:rsidRPr="009479BA" w:rsidRDefault="00D86A11" w:rsidP="00D86A11">
      <w:pPr>
        <w:spacing w:before="240" w:after="0"/>
        <w:rPr>
          <w:rFonts w:ascii="Franklin Gothic Book" w:hAnsi="Franklin Gothic Book"/>
          <w:color w:val="auto"/>
          <w:spacing w:val="20"/>
          <w:szCs w:val="28"/>
        </w:rPr>
      </w:pPr>
      <w:r w:rsidRPr="009479BA">
        <w:rPr>
          <w:rFonts w:ascii="Franklin Gothic Book" w:hAnsi="Franklin Gothic Book"/>
          <w:b/>
          <w:color w:val="auto"/>
          <w:spacing w:val="20"/>
          <w:szCs w:val="28"/>
        </w:rPr>
        <w:t>Race/Ethnicity:</w:t>
      </w:r>
      <w:r w:rsidRPr="009479BA">
        <w:rPr>
          <w:rFonts w:ascii="Franklin Gothic Book" w:hAnsi="Franklin Gothic Book"/>
          <w:color w:val="auto"/>
          <w:spacing w:val="20"/>
          <w:szCs w:val="28"/>
        </w:rPr>
        <w:t xml:space="preserve"> In 2015, White youth experienced the highest permanency rates at 33.3% (1), followed by Latino at 31.3% (5), and Black youth at 14.3% (1). No youth of other race/ethnicities exited with 12-23 months. </w:t>
      </w:r>
    </w:p>
    <w:p w:rsidR="00D86A11" w:rsidRPr="009479BA" w:rsidRDefault="00D86A11" w:rsidP="00D86A11">
      <w:pPr>
        <w:spacing w:before="240" w:after="0"/>
        <w:rPr>
          <w:rFonts w:ascii="Franklin Gothic Book" w:hAnsi="Franklin Gothic Book"/>
          <w:color w:val="auto"/>
          <w:spacing w:val="20"/>
          <w:szCs w:val="28"/>
        </w:rPr>
      </w:pPr>
      <w:r w:rsidRPr="009479BA">
        <w:rPr>
          <w:rFonts w:ascii="Franklin Gothic Book" w:hAnsi="Franklin Gothic Book"/>
          <w:b/>
          <w:color w:val="auto"/>
          <w:spacing w:val="20"/>
          <w:szCs w:val="28"/>
        </w:rPr>
        <w:t>Age:</w:t>
      </w:r>
      <w:r w:rsidRPr="009479BA">
        <w:rPr>
          <w:rFonts w:ascii="Franklin Gothic Book" w:hAnsi="Franklin Gothic Book"/>
          <w:color w:val="auto"/>
          <w:spacing w:val="20"/>
          <w:szCs w:val="28"/>
        </w:rPr>
        <w:t xml:space="preserve"> In 2015, 25.0% (1) of 11-15 year olds who had been in care for 24+ months attained permanency as did 14.8% (6) of 16-17 year olds. </w:t>
      </w:r>
    </w:p>
    <w:p w:rsidR="00D86A11" w:rsidRPr="001375F2" w:rsidRDefault="00D86A11" w:rsidP="00D86A11">
      <w:pPr>
        <w:pStyle w:val="Heading3"/>
        <w:spacing w:line="276" w:lineRule="auto"/>
        <w:rPr>
          <w:b w:val="0"/>
          <w:color w:val="auto"/>
          <w:sz w:val="22"/>
        </w:rPr>
      </w:pPr>
      <w:r w:rsidRPr="001375F2">
        <w:rPr>
          <w:b w:val="0"/>
          <w:color w:val="auto"/>
          <w:sz w:val="22"/>
        </w:rPr>
        <w:t xml:space="preserve">Youth in care for extended periods of time often have higher needs related to sexually reactive behavior, extensive substance abuse issues, or more pronounced criminogenic and/or violent behaviors. Youth in treatment for sexually reactive behavior often require at least 18 months of treatment in order to complete their treatment goals before they can safely return home, which could explain the lengthy stays in residential care. In addition, youth adjudicated for sexually reactive offenses may not be able to reunify due to the presence of victims in the home of the family; therefore, the options are limited. </w:t>
      </w:r>
    </w:p>
    <w:p w:rsidR="00D86A11" w:rsidRPr="001375F2" w:rsidRDefault="00D86A11" w:rsidP="00D86A11">
      <w:pPr>
        <w:pStyle w:val="Heading3"/>
        <w:spacing w:line="276" w:lineRule="auto"/>
        <w:rPr>
          <w:b w:val="0"/>
          <w:color w:val="auto"/>
          <w:sz w:val="22"/>
        </w:rPr>
      </w:pPr>
      <w:r w:rsidRPr="001375F2">
        <w:rPr>
          <w:b w:val="0"/>
          <w:color w:val="auto"/>
          <w:sz w:val="22"/>
        </w:rPr>
        <w:t xml:space="preserve">This measure also correlates with the increased rate of psychotropic medication authorizations during the same time period, validating the supposition that youth in care from 2012-2014 required a higher level of care and longer periods of treatment. </w:t>
      </w:r>
      <w:r w:rsidR="007552CE">
        <w:rPr>
          <w:b w:val="0"/>
          <w:color w:val="auto"/>
          <w:sz w:val="22"/>
          <w:szCs w:val="28"/>
        </w:rPr>
        <w:t xml:space="preserve">This data is outlined below in the analysis of measure 5F- </w:t>
      </w:r>
      <w:r w:rsidR="002B386D">
        <w:rPr>
          <w:b w:val="0"/>
          <w:color w:val="auto"/>
          <w:sz w:val="22"/>
          <w:szCs w:val="28"/>
        </w:rPr>
        <w:t>Authorized</w:t>
      </w:r>
      <w:r w:rsidR="00E34A17">
        <w:rPr>
          <w:b w:val="0"/>
          <w:color w:val="auto"/>
          <w:sz w:val="22"/>
          <w:szCs w:val="28"/>
        </w:rPr>
        <w:t xml:space="preserve"> for Psychotropic Medication.</w:t>
      </w:r>
    </w:p>
    <w:p w:rsidR="00D86A11" w:rsidRPr="00AF204C" w:rsidRDefault="00D86A11" w:rsidP="00D86A11">
      <w:pPr>
        <w:pStyle w:val="Heading1"/>
        <w:rPr>
          <w:color w:val="F6872B"/>
          <w:sz w:val="24"/>
        </w:rPr>
      </w:pPr>
      <w:r w:rsidRPr="00AF204C">
        <w:rPr>
          <w:color w:val="F6872B"/>
          <w:sz w:val="24"/>
        </w:rPr>
        <w:t xml:space="preserve">3-P4 Re-Entry to Foster Care in 12 Months </w:t>
      </w:r>
    </w:p>
    <w:tbl>
      <w:tblPr>
        <w:tblW w:w="0" w:type="auto"/>
        <w:tblBorders>
          <w:top w:val="single" w:sz="18" w:space="0" w:color="F6872B"/>
          <w:bottom w:val="single" w:sz="18" w:space="0" w:color="F6872B"/>
        </w:tblBorders>
        <w:tblLook w:val="04A0" w:firstRow="1" w:lastRow="0" w:firstColumn="1" w:lastColumn="0" w:noHBand="0" w:noVBand="1"/>
      </w:tblPr>
      <w:tblGrid>
        <w:gridCol w:w="3024"/>
        <w:gridCol w:w="1056"/>
        <w:gridCol w:w="1056"/>
        <w:gridCol w:w="1056"/>
        <w:gridCol w:w="1056"/>
        <w:gridCol w:w="1056"/>
        <w:gridCol w:w="1056"/>
      </w:tblGrid>
      <w:tr w:rsidR="00D86A11" w:rsidRPr="006B5523">
        <w:trPr>
          <w:trHeight w:val="729"/>
        </w:trPr>
        <w:tc>
          <w:tcPr>
            <w:tcW w:w="9576" w:type="dxa"/>
            <w:gridSpan w:val="7"/>
            <w:shd w:val="clear" w:color="auto" w:fill="013161"/>
            <w:noWrap/>
          </w:tcPr>
          <w:p w:rsidR="00D86A11" w:rsidRPr="000055D1" w:rsidRDefault="00D86A11" w:rsidP="00D86A11">
            <w:pPr>
              <w:spacing w:after="0"/>
              <w:jc w:val="center"/>
              <w:rPr>
                <w:rFonts w:ascii="Calibri" w:hAnsi="Calibri" w:cs="Calibri"/>
                <w:smallCaps/>
                <w:color w:val="FFFFFF"/>
              </w:rPr>
            </w:pPr>
            <w:r>
              <w:rPr>
                <w:rFonts w:ascii="Calibri" w:hAnsi="Calibri" w:cs="Calibri"/>
                <w:b/>
                <w:color w:val="FFFFFF"/>
                <w:sz w:val="24"/>
              </w:rPr>
              <w:t>Exhibit 82. County of San Diego</w:t>
            </w:r>
            <w:r w:rsidRPr="00E415BF">
              <w:rPr>
                <w:rFonts w:ascii="Calibri" w:hAnsi="Calibri" w:cs="Calibri"/>
                <w:b/>
                <w:color w:val="FFFFFF"/>
                <w:sz w:val="24"/>
              </w:rPr>
              <w:t xml:space="preserve"> Probation - Re-Entry to Foster Care in 12 Months</w:t>
            </w:r>
            <w:r w:rsidRPr="000055D1">
              <w:rPr>
                <w:rFonts w:ascii="Calibri" w:hAnsi="Calibri" w:cs="Calibri"/>
                <w:color w:val="FFFFFF"/>
              </w:rPr>
              <w:br/>
              <w:t>National Goal 8.3%; California at 20.2%</w:t>
            </w:r>
          </w:p>
        </w:tc>
      </w:tr>
      <w:tr w:rsidR="00D86A11" w:rsidRPr="006B5523">
        <w:trPr>
          <w:trHeight w:val="255"/>
        </w:trPr>
        <w:tc>
          <w:tcPr>
            <w:tcW w:w="3102" w:type="dxa"/>
            <w:shd w:val="clear" w:color="auto" w:fill="013161"/>
            <w:noWrap/>
          </w:tcPr>
          <w:p w:rsidR="00D86A11" w:rsidRPr="00721EF1" w:rsidRDefault="00D86A11" w:rsidP="00D86A11">
            <w:pPr>
              <w:spacing w:after="0"/>
              <w:rPr>
                <w:rFonts w:ascii="Calibri" w:hAnsi="Calibri" w:cs="Calibri"/>
                <w:b/>
                <w:smallCaps/>
                <w:color w:val="FFFFFF"/>
              </w:rPr>
            </w:pPr>
          </w:p>
        </w:tc>
        <w:tc>
          <w:tcPr>
            <w:tcW w:w="1079"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2008</w:t>
            </w:r>
          </w:p>
        </w:tc>
        <w:tc>
          <w:tcPr>
            <w:tcW w:w="1079"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2009</w:t>
            </w:r>
          </w:p>
        </w:tc>
        <w:tc>
          <w:tcPr>
            <w:tcW w:w="1079"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2010</w:t>
            </w:r>
          </w:p>
        </w:tc>
        <w:tc>
          <w:tcPr>
            <w:tcW w:w="1079"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2011</w:t>
            </w:r>
          </w:p>
        </w:tc>
        <w:tc>
          <w:tcPr>
            <w:tcW w:w="1079"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2012</w:t>
            </w:r>
          </w:p>
        </w:tc>
        <w:tc>
          <w:tcPr>
            <w:tcW w:w="1079" w:type="dxa"/>
            <w:shd w:val="clear" w:color="auto" w:fill="013161"/>
            <w:noWrap/>
          </w:tcPr>
          <w:p w:rsidR="00D86A11" w:rsidRPr="00721EF1" w:rsidRDefault="00D86A11" w:rsidP="00D86A11">
            <w:pPr>
              <w:spacing w:after="0"/>
              <w:jc w:val="center"/>
              <w:rPr>
                <w:rFonts w:ascii="Calibri" w:hAnsi="Calibri" w:cs="Calibri"/>
                <w:b/>
                <w:smallCaps/>
                <w:color w:val="FFFFFF"/>
              </w:rPr>
            </w:pPr>
            <w:r w:rsidRPr="00721EF1">
              <w:rPr>
                <w:rFonts w:ascii="Calibri" w:hAnsi="Calibri" w:cs="Calibri"/>
                <w:b/>
                <w:smallCaps/>
                <w:color w:val="FFFFFF"/>
              </w:rPr>
              <w:t>2013</w:t>
            </w:r>
          </w:p>
        </w:tc>
      </w:tr>
      <w:tr w:rsidR="00D86A11" w:rsidRPr="006B5523">
        <w:trPr>
          <w:trHeight w:val="255"/>
        </w:trPr>
        <w:tc>
          <w:tcPr>
            <w:tcW w:w="3102" w:type="dxa"/>
            <w:shd w:val="clear" w:color="auto" w:fill="auto"/>
            <w:noWrap/>
          </w:tcPr>
          <w:p w:rsidR="00D86A11" w:rsidRPr="00937446" w:rsidRDefault="00D86A11" w:rsidP="00D86A11">
            <w:pPr>
              <w:spacing w:after="0"/>
              <w:contextualSpacing/>
              <w:rPr>
                <w:rFonts w:ascii="Calibri" w:hAnsi="Calibri" w:cs="Calibri"/>
                <w:b/>
                <w:color w:val="013161"/>
                <w:sz w:val="20"/>
              </w:rPr>
            </w:pPr>
            <w:r w:rsidRPr="00937446">
              <w:rPr>
                <w:rFonts w:ascii="Calibri" w:hAnsi="Calibri" w:cs="Calibri"/>
                <w:b/>
                <w:color w:val="013161"/>
                <w:sz w:val="20"/>
              </w:rPr>
              <w:t>Children with re-entries (%)</w:t>
            </w:r>
          </w:p>
        </w:tc>
        <w:tc>
          <w:tcPr>
            <w:tcW w:w="1079" w:type="dxa"/>
            <w:shd w:val="clear" w:color="auto" w:fill="auto"/>
            <w:noWrap/>
          </w:tcPr>
          <w:p w:rsidR="00D86A11" w:rsidRPr="00937446" w:rsidRDefault="00D86A11" w:rsidP="00D86A11">
            <w:pPr>
              <w:spacing w:after="0"/>
              <w:jc w:val="center"/>
              <w:rPr>
                <w:rFonts w:ascii="Calibri" w:hAnsi="Calibri" w:cs="Calibri"/>
                <w:b/>
                <w:smallCaps/>
                <w:color w:val="013161"/>
                <w:sz w:val="20"/>
              </w:rPr>
            </w:pPr>
            <w:r w:rsidRPr="00937446">
              <w:rPr>
                <w:rFonts w:ascii="Calibri" w:hAnsi="Calibri" w:cs="Calibri"/>
                <w:b/>
                <w:smallCaps/>
                <w:color w:val="013161"/>
                <w:sz w:val="20"/>
              </w:rPr>
              <w:t>5.6</w:t>
            </w:r>
          </w:p>
        </w:tc>
        <w:tc>
          <w:tcPr>
            <w:tcW w:w="1079" w:type="dxa"/>
            <w:shd w:val="clear" w:color="auto" w:fill="auto"/>
            <w:noWrap/>
          </w:tcPr>
          <w:p w:rsidR="00D86A11" w:rsidRPr="00937446" w:rsidRDefault="00D86A11" w:rsidP="00D86A11">
            <w:pPr>
              <w:spacing w:after="0"/>
              <w:jc w:val="center"/>
              <w:rPr>
                <w:rFonts w:ascii="Calibri" w:hAnsi="Calibri" w:cs="Calibri"/>
                <w:b/>
                <w:smallCaps/>
                <w:color w:val="013161"/>
                <w:sz w:val="20"/>
              </w:rPr>
            </w:pPr>
            <w:r w:rsidRPr="00937446">
              <w:rPr>
                <w:rFonts w:ascii="Calibri" w:hAnsi="Calibri" w:cs="Calibri"/>
                <w:b/>
                <w:smallCaps/>
                <w:color w:val="013161"/>
                <w:sz w:val="20"/>
              </w:rPr>
              <w:t>21.1</w:t>
            </w:r>
          </w:p>
        </w:tc>
        <w:tc>
          <w:tcPr>
            <w:tcW w:w="1079" w:type="dxa"/>
            <w:shd w:val="clear" w:color="auto" w:fill="auto"/>
            <w:noWrap/>
          </w:tcPr>
          <w:p w:rsidR="00D86A11" w:rsidRPr="00937446" w:rsidRDefault="00D86A11" w:rsidP="00D86A11">
            <w:pPr>
              <w:spacing w:after="0"/>
              <w:jc w:val="center"/>
              <w:rPr>
                <w:rFonts w:ascii="Calibri" w:hAnsi="Calibri" w:cs="Calibri"/>
                <w:b/>
                <w:smallCaps/>
                <w:color w:val="013161"/>
                <w:sz w:val="20"/>
              </w:rPr>
            </w:pPr>
            <w:r w:rsidRPr="00937446">
              <w:rPr>
                <w:rFonts w:ascii="Calibri" w:hAnsi="Calibri" w:cs="Calibri"/>
                <w:b/>
                <w:smallCaps/>
                <w:color w:val="013161"/>
                <w:sz w:val="20"/>
              </w:rPr>
              <w:t>7.4</w:t>
            </w:r>
          </w:p>
        </w:tc>
        <w:tc>
          <w:tcPr>
            <w:tcW w:w="1079" w:type="dxa"/>
            <w:shd w:val="clear" w:color="auto" w:fill="auto"/>
            <w:noWrap/>
          </w:tcPr>
          <w:p w:rsidR="00D86A11" w:rsidRPr="00937446" w:rsidRDefault="00D86A11" w:rsidP="00D86A11">
            <w:pPr>
              <w:spacing w:after="0"/>
              <w:jc w:val="center"/>
              <w:rPr>
                <w:rFonts w:ascii="Calibri" w:hAnsi="Calibri" w:cs="Calibri"/>
                <w:b/>
                <w:smallCaps/>
                <w:color w:val="013161"/>
                <w:sz w:val="20"/>
              </w:rPr>
            </w:pPr>
            <w:r w:rsidRPr="00937446">
              <w:rPr>
                <w:rFonts w:ascii="Calibri" w:hAnsi="Calibri" w:cs="Calibri"/>
                <w:b/>
                <w:smallCaps/>
                <w:color w:val="013161"/>
                <w:sz w:val="20"/>
              </w:rPr>
              <w:t>6.7</w:t>
            </w:r>
          </w:p>
        </w:tc>
        <w:tc>
          <w:tcPr>
            <w:tcW w:w="1079" w:type="dxa"/>
            <w:shd w:val="clear" w:color="auto" w:fill="auto"/>
            <w:noWrap/>
          </w:tcPr>
          <w:p w:rsidR="00D86A11" w:rsidRPr="00937446" w:rsidRDefault="00D86A11" w:rsidP="00D86A11">
            <w:pPr>
              <w:spacing w:after="0"/>
              <w:jc w:val="center"/>
              <w:rPr>
                <w:rFonts w:ascii="Calibri" w:hAnsi="Calibri" w:cs="Calibri"/>
                <w:b/>
                <w:smallCaps/>
                <w:color w:val="013161"/>
                <w:sz w:val="20"/>
              </w:rPr>
            </w:pPr>
            <w:r w:rsidRPr="00937446">
              <w:rPr>
                <w:rFonts w:ascii="Calibri" w:hAnsi="Calibri" w:cs="Calibri"/>
                <w:b/>
                <w:smallCaps/>
                <w:color w:val="013161"/>
                <w:sz w:val="20"/>
              </w:rPr>
              <w:t>3.7</w:t>
            </w:r>
          </w:p>
        </w:tc>
        <w:tc>
          <w:tcPr>
            <w:tcW w:w="1079" w:type="dxa"/>
            <w:shd w:val="clear" w:color="auto" w:fill="auto"/>
            <w:noWrap/>
          </w:tcPr>
          <w:p w:rsidR="00D86A11" w:rsidRPr="00937446" w:rsidRDefault="00D86A11" w:rsidP="00D86A11">
            <w:pPr>
              <w:spacing w:after="0"/>
              <w:jc w:val="center"/>
              <w:rPr>
                <w:rFonts w:ascii="Calibri" w:hAnsi="Calibri" w:cs="Calibri"/>
                <w:b/>
                <w:smallCaps/>
                <w:color w:val="013161"/>
                <w:sz w:val="20"/>
              </w:rPr>
            </w:pPr>
            <w:r w:rsidRPr="00937446">
              <w:rPr>
                <w:rFonts w:ascii="Calibri" w:hAnsi="Calibri" w:cs="Calibri"/>
                <w:b/>
                <w:smallCaps/>
                <w:color w:val="013161"/>
                <w:sz w:val="20"/>
              </w:rPr>
              <w:t>13.7</w:t>
            </w:r>
          </w:p>
        </w:tc>
      </w:tr>
      <w:tr w:rsidR="00D86A11" w:rsidRPr="006B5523">
        <w:trPr>
          <w:trHeight w:val="255"/>
        </w:trPr>
        <w:tc>
          <w:tcPr>
            <w:tcW w:w="3102" w:type="dxa"/>
            <w:shd w:val="clear" w:color="auto" w:fill="DBE5F1"/>
            <w:noWrap/>
          </w:tcPr>
          <w:p w:rsidR="00D86A11" w:rsidRPr="00937446" w:rsidRDefault="00D86A11" w:rsidP="00D86A11">
            <w:pPr>
              <w:spacing w:after="0"/>
              <w:contextualSpacing/>
              <w:rPr>
                <w:rFonts w:ascii="Calibri" w:hAnsi="Calibri" w:cs="Calibri"/>
                <w:b/>
                <w:color w:val="013161"/>
                <w:sz w:val="20"/>
              </w:rPr>
            </w:pPr>
            <w:r w:rsidRPr="00937446">
              <w:rPr>
                <w:rFonts w:ascii="Calibri" w:hAnsi="Calibri" w:cs="Calibri"/>
                <w:b/>
                <w:color w:val="013161"/>
                <w:sz w:val="20"/>
              </w:rPr>
              <w:t>Children with re-entries (n)</w:t>
            </w:r>
          </w:p>
        </w:tc>
        <w:tc>
          <w:tcPr>
            <w:tcW w:w="1079" w:type="dxa"/>
            <w:shd w:val="clear" w:color="auto" w:fill="DBE5F1"/>
            <w:noWrap/>
          </w:tcPr>
          <w:p w:rsidR="00D86A11" w:rsidRPr="00937446" w:rsidRDefault="00D86A11" w:rsidP="00D86A11">
            <w:pPr>
              <w:jc w:val="center"/>
              <w:rPr>
                <w:rFonts w:ascii="Calibri" w:hAnsi="Calibri"/>
                <w:b/>
                <w:color w:val="013161"/>
                <w:sz w:val="20"/>
              </w:rPr>
            </w:pPr>
            <w:r w:rsidRPr="00937446">
              <w:rPr>
                <w:rFonts w:ascii="Calibri" w:hAnsi="Calibri"/>
                <w:b/>
                <w:color w:val="013161"/>
                <w:sz w:val="20"/>
              </w:rPr>
              <w:t>1</w:t>
            </w:r>
          </w:p>
        </w:tc>
        <w:tc>
          <w:tcPr>
            <w:tcW w:w="1079" w:type="dxa"/>
            <w:shd w:val="clear" w:color="auto" w:fill="DBE5F1"/>
            <w:noWrap/>
          </w:tcPr>
          <w:p w:rsidR="00D86A11" w:rsidRPr="00937446" w:rsidRDefault="00D86A11" w:rsidP="00D86A11">
            <w:pPr>
              <w:jc w:val="center"/>
              <w:rPr>
                <w:rFonts w:ascii="Calibri" w:hAnsi="Calibri"/>
                <w:b/>
                <w:color w:val="013161"/>
                <w:sz w:val="20"/>
              </w:rPr>
            </w:pPr>
            <w:r w:rsidRPr="00937446">
              <w:rPr>
                <w:rFonts w:ascii="Calibri" w:hAnsi="Calibri"/>
                <w:b/>
                <w:color w:val="013161"/>
                <w:sz w:val="20"/>
              </w:rPr>
              <w:t>4</w:t>
            </w:r>
          </w:p>
        </w:tc>
        <w:tc>
          <w:tcPr>
            <w:tcW w:w="1079" w:type="dxa"/>
            <w:shd w:val="clear" w:color="auto" w:fill="DBE5F1"/>
            <w:noWrap/>
          </w:tcPr>
          <w:p w:rsidR="00D86A11" w:rsidRPr="00937446" w:rsidRDefault="00D86A11" w:rsidP="00D86A11">
            <w:pPr>
              <w:jc w:val="center"/>
              <w:rPr>
                <w:rFonts w:ascii="Calibri" w:hAnsi="Calibri"/>
                <w:b/>
                <w:color w:val="013161"/>
                <w:sz w:val="20"/>
              </w:rPr>
            </w:pPr>
            <w:r w:rsidRPr="00937446">
              <w:rPr>
                <w:rFonts w:ascii="Calibri" w:hAnsi="Calibri"/>
                <w:b/>
                <w:color w:val="013161"/>
                <w:sz w:val="20"/>
              </w:rPr>
              <w:t>2</w:t>
            </w:r>
          </w:p>
        </w:tc>
        <w:tc>
          <w:tcPr>
            <w:tcW w:w="1079" w:type="dxa"/>
            <w:shd w:val="clear" w:color="auto" w:fill="DBE5F1"/>
            <w:noWrap/>
          </w:tcPr>
          <w:p w:rsidR="00D86A11" w:rsidRPr="00937446" w:rsidRDefault="00D86A11" w:rsidP="00D86A11">
            <w:pPr>
              <w:jc w:val="center"/>
              <w:rPr>
                <w:rFonts w:ascii="Calibri" w:hAnsi="Calibri"/>
                <w:b/>
                <w:color w:val="013161"/>
                <w:sz w:val="20"/>
              </w:rPr>
            </w:pPr>
            <w:r w:rsidRPr="00937446">
              <w:rPr>
                <w:rFonts w:ascii="Calibri" w:hAnsi="Calibri"/>
                <w:b/>
                <w:color w:val="013161"/>
                <w:sz w:val="20"/>
              </w:rPr>
              <w:t>2</w:t>
            </w:r>
          </w:p>
        </w:tc>
        <w:tc>
          <w:tcPr>
            <w:tcW w:w="1079" w:type="dxa"/>
            <w:shd w:val="clear" w:color="auto" w:fill="DBE5F1"/>
            <w:noWrap/>
          </w:tcPr>
          <w:p w:rsidR="00D86A11" w:rsidRPr="00937446" w:rsidRDefault="00D86A11" w:rsidP="00D86A11">
            <w:pPr>
              <w:jc w:val="center"/>
              <w:rPr>
                <w:rFonts w:ascii="Calibri" w:hAnsi="Calibri"/>
                <w:b/>
                <w:color w:val="013161"/>
                <w:sz w:val="20"/>
              </w:rPr>
            </w:pPr>
            <w:r w:rsidRPr="00937446">
              <w:rPr>
                <w:rFonts w:ascii="Calibri" w:hAnsi="Calibri"/>
                <w:b/>
                <w:color w:val="013161"/>
                <w:sz w:val="20"/>
              </w:rPr>
              <w:t>1</w:t>
            </w:r>
          </w:p>
        </w:tc>
        <w:tc>
          <w:tcPr>
            <w:tcW w:w="1079" w:type="dxa"/>
            <w:shd w:val="clear" w:color="auto" w:fill="DBE5F1"/>
            <w:noWrap/>
          </w:tcPr>
          <w:p w:rsidR="00D86A11" w:rsidRPr="00937446" w:rsidRDefault="00D86A11" w:rsidP="00D86A11">
            <w:pPr>
              <w:jc w:val="center"/>
              <w:rPr>
                <w:rFonts w:ascii="Calibri" w:hAnsi="Calibri"/>
                <w:b/>
                <w:color w:val="013161"/>
                <w:sz w:val="20"/>
              </w:rPr>
            </w:pPr>
            <w:r w:rsidRPr="00937446">
              <w:rPr>
                <w:rFonts w:ascii="Calibri" w:hAnsi="Calibri"/>
                <w:b/>
                <w:color w:val="013161"/>
                <w:sz w:val="20"/>
              </w:rPr>
              <w:t>7</w:t>
            </w:r>
          </w:p>
        </w:tc>
      </w:tr>
    </w:tbl>
    <w:p w:rsidR="001240D5" w:rsidRDefault="001240D5" w:rsidP="00D86A11">
      <w:pPr>
        <w:pStyle w:val="Heading1"/>
        <w:rPr>
          <w:color w:val="2E7029"/>
          <w:sz w:val="24"/>
        </w:rPr>
      </w:pPr>
    </w:p>
    <w:p w:rsidR="00D86A11" w:rsidRPr="00AF204C" w:rsidRDefault="00D86A11" w:rsidP="00D86A11">
      <w:pPr>
        <w:pStyle w:val="Heading1"/>
        <w:rPr>
          <w:color w:val="2E7029"/>
          <w:sz w:val="24"/>
        </w:rPr>
      </w:pPr>
      <w:r w:rsidRPr="00AF204C">
        <w:rPr>
          <w:color w:val="2E7029"/>
          <w:sz w:val="24"/>
        </w:rPr>
        <w:lastRenderedPageBreak/>
        <w:t>Analysis</w:t>
      </w:r>
    </w:p>
    <w:p w:rsidR="00D86A11" w:rsidRPr="00710E9C" w:rsidRDefault="00D86A11" w:rsidP="00D86A11">
      <w:pPr>
        <w:spacing w:after="0"/>
        <w:rPr>
          <w:rFonts w:ascii="Franklin Gothic Book" w:hAnsi="Franklin Gothic Book"/>
          <w:color w:val="auto"/>
          <w:spacing w:val="20"/>
          <w:szCs w:val="28"/>
        </w:rPr>
      </w:pPr>
      <w:r w:rsidRPr="00710E9C">
        <w:rPr>
          <w:rFonts w:ascii="Franklin Gothic Book" w:hAnsi="Franklin Gothic Book"/>
          <w:b/>
          <w:color w:val="auto"/>
          <w:spacing w:val="20"/>
          <w:szCs w:val="28"/>
        </w:rPr>
        <w:t>Trends:</w:t>
      </w:r>
      <w:r w:rsidRPr="00710E9C">
        <w:rPr>
          <w:rFonts w:ascii="Franklin Gothic Book" w:hAnsi="Franklin Gothic Book"/>
          <w:color w:val="auto"/>
          <w:spacing w:val="20"/>
          <w:szCs w:val="28"/>
        </w:rPr>
        <w:t xml:space="preserve"> The re-entry rate has significantly fluctuated from 2008-2015.  In 2009, the Probation Department experienced its highest re-entry rates of 21.1% of all probation involved youth exiting foster care re-entering within the next 12 months.  Subsequent to that year, the Department experienced a downward trend of youth re-entering foster care.  However in 2013, the rate jumped to 13.7%.  This was a significant increase in re-entry from 2012 (3.7%). Overall, the number of youth re-entering has been very low with the exception of 2013, and Probation has met the national goal in all but two of the last six years.</w:t>
      </w:r>
    </w:p>
    <w:p w:rsidR="00D86A11" w:rsidRPr="00710E9C" w:rsidRDefault="00D86A11" w:rsidP="00D86A11">
      <w:pPr>
        <w:spacing w:before="240" w:after="0"/>
        <w:rPr>
          <w:rFonts w:ascii="Franklin Gothic Book" w:hAnsi="Franklin Gothic Book"/>
          <w:color w:val="auto"/>
          <w:spacing w:val="20"/>
          <w:szCs w:val="28"/>
        </w:rPr>
      </w:pPr>
      <w:r w:rsidRPr="00710E9C">
        <w:rPr>
          <w:rFonts w:ascii="Franklin Gothic Book" w:hAnsi="Franklin Gothic Book"/>
          <w:b/>
          <w:color w:val="auto"/>
          <w:spacing w:val="20"/>
          <w:szCs w:val="28"/>
        </w:rPr>
        <w:t>Race/Ethnicity:</w:t>
      </w:r>
      <w:r w:rsidRPr="00710E9C">
        <w:rPr>
          <w:rFonts w:ascii="Franklin Gothic Book" w:hAnsi="Franklin Gothic Book"/>
          <w:color w:val="auto"/>
          <w:spacing w:val="20"/>
          <w:szCs w:val="28"/>
        </w:rPr>
        <w:t xml:space="preserve"> 20% (1) of black youth who entered the system in 2013 re-entered within 12 months as did 18.8% (3) of White youth and 11.5% (3) of Latino youth. </w:t>
      </w:r>
    </w:p>
    <w:p w:rsidR="00D86A11" w:rsidRPr="00710E9C" w:rsidRDefault="00D86A11" w:rsidP="00D86A11">
      <w:pPr>
        <w:spacing w:before="240" w:after="0"/>
        <w:rPr>
          <w:rFonts w:ascii="Franklin Gothic Book" w:hAnsi="Franklin Gothic Book"/>
          <w:color w:val="auto"/>
          <w:spacing w:val="20"/>
          <w:szCs w:val="28"/>
        </w:rPr>
      </w:pPr>
      <w:r w:rsidRPr="00710E9C">
        <w:rPr>
          <w:rFonts w:ascii="Franklin Gothic Book" w:hAnsi="Franklin Gothic Book"/>
          <w:b/>
          <w:color w:val="auto"/>
          <w:spacing w:val="20"/>
          <w:szCs w:val="28"/>
        </w:rPr>
        <w:t>Age:</w:t>
      </w:r>
      <w:r w:rsidRPr="00710E9C">
        <w:rPr>
          <w:rFonts w:ascii="Franklin Gothic Book" w:hAnsi="Franklin Gothic Book"/>
          <w:color w:val="auto"/>
          <w:spacing w:val="20"/>
          <w:szCs w:val="28"/>
        </w:rPr>
        <w:t xml:space="preserve"> 28.6% (6) of the 11-15 year olds, who entered the system in 2013, re-entered within 12 months and 3.3% (1) of the 16-17 year olds re-entered. </w:t>
      </w:r>
    </w:p>
    <w:p w:rsidR="00D86A11" w:rsidRPr="00710E9C" w:rsidRDefault="00D86A11" w:rsidP="00D86A11">
      <w:pPr>
        <w:spacing w:after="0"/>
        <w:rPr>
          <w:rFonts w:ascii="Franklin Gothic Book" w:hAnsi="Franklin Gothic Book"/>
          <w:color w:val="auto"/>
          <w:spacing w:val="20"/>
          <w:szCs w:val="28"/>
        </w:rPr>
      </w:pPr>
      <w:r w:rsidRPr="00710E9C">
        <w:rPr>
          <w:rFonts w:ascii="Franklin Gothic Book" w:hAnsi="Franklin Gothic Book"/>
          <w:color w:val="auto"/>
          <w:spacing w:val="20"/>
          <w:szCs w:val="28"/>
        </w:rPr>
        <w:t xml:space="preserve">During this time period, Probation increased its focus on relative and non-relative placements. Although the goal is to place youth in the least restrictive placement (i.e. relatives) those placements may not have necessarily been the most appropriate, which could have resulted in the return to care. Additionally, these families may not have been as prepared or had the appropriate supports in place to continue to meet the needs of the youth, resulting in discontinued placements and re-entry. As mentioned earlier, there has been a trend of increasing authorizations for psychotropic medications from 2012 to 2015 which validates the notion that youth in care during those times needed a higher level of care. Given the Department’s protocol of placing youth in the least restrictive placement (lower level of group home or with relatives), this could have resulted in youth being placed in too low of a level of care, thus resulting in subsequent returns to foster care and into a higher level of care. </w:t>
      </w:r>
    </w:p>
    <w:p w:rsidR="00D86A11" w:rsidRPr="001375F2" w:rsidRDefault="00D86A11" w:rsidP="00D86A11">
      <w:pPr>
        <w:pStyle w:val="Heading3"/>
        <w:spacing w:line="276" w:lineRule="auto"/>
        <w:rPr>
          <w:b w:val="0"/>
          <w:color w:val="auto"/>
          <w:sz w:val="22"/>
        </w:rPr>
      </w:pPr>
      <w:r w:rsidRPr="001375F2">
        <w:rPr>
          <w:b w:val="0"/>
          <w:color w:val="auto"/>
          <w:sz w:val="22"/>
        </w:rPr>
        <w:t xml:space="preserve">Other factors possibly contributing to re-entry to care are continued episodes of absconding from placement and recidivism. Typically, when a youth absconds from a placement, he/she returns to court and receives another placement order. Upon placement, he/she is typically placed in a higher level of care because of his/her history of absconding. The Department also places youth in Community Based Organizations (CBO’s) which are for shorter periods of time, typically no longer than 90 days. Although the placement is shorter, youth who are placed in CBO’s do not stay long enough to address their mental health, substance abuse or delinquency issues, which could have resulted in re-entry.  There is a direct correlation between the number of placement moves from 2009 to 2015 and the number of youth who re-entered. </w:t>
      </w:r>
    </w:p>
    <w:p w:rsidR="00D86A11" w:rsidRPr="001375F2" w:rsidRDefault="00D86A11" w:rsidP="00D86A11">
      <w:pPr>
        <w:pStyle w:val="Heading3"/>
        <w:spacing w:line="276" w:lineRule="auto"/>
        <w:rPr>
          <w:b w:val="0"/>
          <w:color w:val="auto"/>
          <w:sz w:val="22"/>
        </w:rPr>
      </w:pPr>
      <w:r w:rsidRPr="001375F2">
        <w:rPr>
          <w:b w:val="0"/>
          <w:color w:val="auto"/>
          <w:sz w:val="22"/>
        </w:rPr>
        <w:t xml:space="preserve">Some of the challenges to improving this outcome, that were identified during the CSA stakeholder meetings and Peer Review, included: mental health issues, trauma, complex needs of families, family violence, culturally sensitive approaches/assessments, lack of ability to mandate parental participation and accountability, and aftercare planning. </w:t>
      </w:r>
    </w:p>
    <w:p w:rsidR="00D86A11" w:rsidRPr="00AF204C" w:rsidRDefault="00D86A11" w:rsidP="00D86A11">
      <w:pPr>
        <w:pStyle w:val="Heading1"/>
        <w:rPr>
          <w:color w:val="F6872B"/>
          <w:sz w:val="24"/>
        </w:rPr>
      </w:pPr>
      <w:r w:rsidRPr="00AF204C">
        <w:rPr>
          <w:color w:val="F6872B"/>
          <w:sz w:val="24"/>
        </w:rPr>
        <w:lastRenderedPageBreak/>
        <w:t>3-P5 Placement Stability</w:t>
      </w:r>
    </w:p>
    <w:tbl>
      <w:tblPr>
        <w:tblW w:w="0" w:type="auto"/>
        <w:tblBorders>
          <w:top w:val="single" w:sz="18" w:space="0" w:color="F6872B"/>
          <w:bottom w:val="single" w:sz="18" w:space="0" w:color="F6872B"/>
        </w:tblBorders>
        <w:tblLook w:val="04A0" w:firstRow="1" w:lastRow="0" w:firstColumn="1" w:lastColumn="0" w:noHBand="0" w:noVBand="1"/>
      </w:tblPr>
      <w:tblGrid>
        <w:gridCol w:w="3615"/>
        <w:gridCol w:w="969"/>
        <w:gridCol w:w="882"/>
        <w:gridCol w:w="969"/>
        <w:gridCol w:w="969"/>
        <w:gridCol w:w="969"/>
        <w:gridCol w:w="987"/>
      </w:tblGrid>
      <w:tr w:rsidR="00D86A11" w:rsidRPr="000055D1">
        <w:trPr>
          <w:trHeight w:val="738"/>
        </w:trPr>
        <w:tc>
          <w:tcPr>
            <w:tcW w:w="9576" w:type="dxa"/>
            <w:gridSpan w:val="7"/>
            <w:shd w:val="clear" w:color="auto" w:fill="013161"/>
            <w:noWrap/>
          </w:tcPr>
          <w:p w:rsidR="00D86A11" w:rsidRPr="000055D1" w:rsidRDefault="00D86A11" w:rsidP="00D86A11">
            <w:pPr>
              <w:spacing w:after="0"/>
              <w:jc w:val="center"/>
              <w:rPr>
                <w:rFonts w:ascii="Calibri" w:hAnsi="Calibri" w:cs="Calibri"/>
                <w:color w:val="FFFFFF"/>
              </w:rPr>
            </w:pPr>
            <w:r>
              <w:rPr>
                <w:rFonts w:ascii="Calibri" w:hAnsi="Calibri" w:cs="Calibri"/>
                <w:b/>
                <w:color w:val="FFFFFF"/>
                <w:sz w:val="24"/>
              </w:rPr>
              <w:t>Exhibit 83. County of San Diego</w:t>
            </w:r>
            <w:r w:rsidRPr="00E415BF">
              <w:rPr>
                <w:rFonts w:ascii="Calibri" w:hAnsi="Calibri" w:cs="Calibri"/>
                <w:b/>
                <w:color w:val="FFFFFF"/>
                <w:sz w:val="24"/>
              </w:rPr>
              <w:t xml:space="preserve"> Probation - Placement Stability</w:t>
            </w:r>
            <w:r w:rsidRPr="000055D1">
              <w:rPr>
                <w:rFonts w:ascii="Calibri" w:hAnsi="Calibri" w:cs="Calibri"/>
                <w:color w:val="FFFFFF"/>
              </w:rPr>
              <w:br/>
              <w:t>National Goal 4.12; California at 1.75</w:t>
            </w:r>
          </w:p>
        </w:tc>
      </w:tr>
      <w:tr w:rsidR="00D86A11" w:rsidRPr="000055D1">
        <w:trPr>
          <w:trHeight w:val="255"/>
        </w:trPr>
        <w:tc>
          <w:tcPr>
            <w:tcW w:w="3708" w:type="dxa"/>
            <w:shd w:val="clear" w:color="auto" w:fill="013161"/>
            <w:noWrap/>
          </w:tcPr>
          <w:p w:rsidR="00D86A11" w:rsidRPr="00721EF1" w:rsidRDefault="00D86A11" w:rsidP="00D86A11">
            <w:pPr>
              <w:spacing w:after="0"/>
              <w:rPr>
                <w:rFonts w:ascii="Calibri" w:hAnsi="Calibri" w:cs="Calibri"/>
                <w:b/>
                <w:color w:val="FFFFFF"/>
              </w:rPr>
            </w:pPr>
          </w:p>
        </w:tc>
        <w:tc>
          <w:tcPr>
            <w:tcW w:w="99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2010</w:t>
            </w:r>
          </w:p>
        </w:tc>
        <w:tc>
          <w:tcPr>
            <w:tcW w:w="90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2011</w:t>
            </w:r>
          </w:p>
        </w:tc>
        <w:tc>
          <w:tcPr>
            <w:tcW w:w="99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2012</w:t>
            </w:r>
          </w:p>
        </w:tc>
        <w:tc>
          <w:tcPr>
            <w:tcW w:w="99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2013</w:t>
            </w:r>
          </w:p>
        </w:tc>
        <w:tc>
          <w:tcPr>
            <w:tcW w:w="99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2014</w:t>
            </w:r>
          </w:p>
        </w:tc>
        <w:tc>
          <w:tcPr>
            <w:tcW w:w="1008"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2015</w:t>
            </w:r>
          </w:p>
        </w:tc>
      </w:tr>
      <w:tr w:rsidR="00D86A11" w:rsidRPr="000055D1" w:rsidTr="001240D5">
        <w:trPr>
          <w:trHeight w:val="255"/>
        </w:trPr>
        <w:tc>
          <w:tcPr>
            <w:tcW w:w="3708" w:type="dxa"/>
            <w:shd w:val="clear" w:color="auto" w:fill="auto"/>
            <w:noWrap/>
            <w:vAlign w:val="center"/>
          </w:tcPr>
          <w:p w:rsidR="00D86A11" w:rsidRPr="00B129D9" w:rsidRDefault="00D86A11" w:rsidP="001240D5">
            <w:pPr>
              <w:spacing w:after="0"/>
              <w:rPr>
                <w:rFonts w:ascii="Calibri" w:hAnsi="Calibri" w:cs="Calibri"/>
                <w:b/>
                <w:color w:val="013161"/>
                <w:sz w:val="20"/>
              </w:rPr>
            </w:pPr>
            <w:r w:rsidRPr="00B129D9">
              <w:rPr>
                <w:rFonts w:ascii="Calibri" w:hAnsi="Calibri" w:cs="Calibri"/>
                <w:b/>
                <w:color w:val="013161"/>
                <w:sz w:val="20"/>
              </w:rPr>
              <w:t>Rate of placement moves (per 1,000 days)</w:t>
            </w:r>
          </w:p>
        </w:tc>
        <w:tc>
          <w:tcPr>
            <w:tcW w:w="990" w:type="dxa"/>
            <w:shd w:val="clear" w:color="auto" w:fill="auto"/>
            <w:noWrap/>
            <w:vAlign w:val="center"/>
          </w:tcPr>
          <w:p w:rsidR="00D86A11" w:rsidRPr="00B129D9" w:rsidRDefault="00D86A11" w:rsidP="001240D5">
            <w:pPr>
              <w:jc w:val="center"/>
              <w:rPr>
                <w:rFonts w:ascii="Calibri" w:hAnsi="Calibri"/>
                <w:b/>
                <w:color w:val="013161"/>
                <w:sz w:val="20"/>
              </w:rPr>
            </w:pPr>
            <w:r w:rsidRPr="00B129D9">
              <w:rPr>
                <w:rFonts w:ascii="Calibri" w:hAnsi="Calibri"/>
                <w:b/>
                <w:color w:val="013161"/>
                <w:sz w:val="20"/>
              </w:rPr>
              <w:t>0.56</w:t>
            </w:r>
          </w:p>
        </w:tc>
        <w:tc>
          <w:tcPr>
            <w:tcW w:w="900" w:type="dxa"/>
            <w:shd w:val="clear" w:color="auto" w:fill="auto"/>
            <w:noWrap/>
            <w:vAlign w:val="center"/>
          </w:tcPr>
          <w:p w:rsidR="00D86A11" w:rsidRPr="00B129D9" w:rsidRDefault="00D86A11" w:rsidP="001240D5">
            <w:pPr>
              <w:jc w:val="center"/>
              <w:rPr>
                <w:rFonts w:ascii="Calibri" w:hAnsi="Calibri"/>
                <w:b/>
                <w:color w:val="013161"/>
                <w:sz w:val="20"/>
              </w:rPr>
            </w:pPr>
            <w:r w:rsidRPr="00B129D9">
              <w:rPr>
                <w:rFonts w:ascii="Calibri" w:hAnsi="Calibri"/>
                <w:b/>
                <w:color w:val="013161"/>
                <w:sz w:val="20"/>
              </w:rPr>
              <w:t>0.58</w:t>
            </w:r>
          </w:p>
        </w:tc>
        <w:tc>
          <w:tcPr>
            <w:tcW w:w="990" w:type="dxa"/>
            <w:shd w:val="clear" w:color="auto" w:fill="auto"/>
            <w:noWrap/>
            <w:vAlign w:val="center"/>
          </w:tcPr>
          <w:p w:rsidR="00D86A11" w:rsidRPr="00B129D9" w:rsidRDefault="00D86A11" w:rsidP="001240D5">
            <w:pPr>
              <w:jc w:val="center"/>
              <w:rPr>
                <w:rFonts w:ascii="Calibri" w:hAnsi="Calibri"/>
                <w:b/>
                <w:color w:val="013161"/>
                <w:sz w:val="20"/>
              </w:rPr>
            </w:pPr>
            <w:r w:rsidRPr="00B129D9">
              <w:rPr>
                <w:rFonts w:ascii="Calibri" w:hAnsi="Calibri"/>
                <w:b/>
                <w:color w:val="013161"/>
                <w:sz w:val="20"/>
              </w:rPr>
              <w:t>0.48</w:t>
            </w:r>
          </w:p>
        </w:tc>
        <w:tc>
          <w:tcPr>
            <w:tcW w:w="990" w:type="dxa"/>
            <w:shd w:val="clear" w:color="auto" w:fill="auto"/>
            <w:noWrap/>
            <w:vAlign w:val="center"/>
          </w:tcPr>
          <w:p w:rsidR="00D86A11" w:rsidRPr="00B129D9" w:rsidRDefault="00D86A11" w:rsidP="001240D5">
            <w:pPr>
              <w:jc w:val="center"/>
              <w:rPr>
                <w:rFonts w:ascii="Calibri" w:hAnsi="Calibri"/>
                <w:b/>
                <w:color w:val="013161"/>
                <w:sz w:val="20"/>
              </w:rPr>
            </w:pPr>
            <w:r w:rsidRPr="00B129D9">
              <w:rPr>
                <w:rFonts w:ascii="Calibri" w:hAnsi="Calibri"/>
                <w:b/>
                <w:color w:val="013161"/>
                <w:sz w:val="20"/>
              </w:rPr>
              <w:t>0.89</w:t>
            </w:r>
          </w:p>
        </w:tc>
        <w:tc>
          <w:tcPr>
            <w:tcW w:w="990" w:type="dxa"/>
            <w:shd w:val="clear" w:color="auto" w:fill="auto"/>
            <w:noWrap/>
            <w:vAlign w:val="center"/>
          </w:tcPr>
          <w:p w:rsidR="00D86A11" w:rsidRPr="00B129D9" w:rsidRDefault="00D86A11" w:rsidP="001240D5">
            <w:pPr>
              <w:jc w:val="center"/>
              <w:rPr>
                <w:rFonts w:ascii="Calibri" w:hAnsi="Calibri"/>
                <w:b/>
                <w:color w:val="013161"/>
                <w:sz w:val="20"/>
              </w:rPr>
            </w:pPr>
            <w:r w:rsidRPr="00B129D9">
              <w:rPr>
                <w:rFonts w:ascii="Calibri" w:hAnsi="Calibri"/>
                <w:b/>
                <w:color w:val="013161"/>
                <w:sz w:val="20"/>
              </w:rPr>
              <w:t>1.20</w:t>
            </w:r>
          </w:p>
        </w:tc>
        <w:tc>
          <w:tcPr>
            <w:tcW w:w="1008" w:type="dxa"/>
            <w:shd w:val="clear" w:color="auto" w:fill="auto"/>
            <w:noWrap/>
            <w:vAlign w:val="center"/>
          </w:tcPr>
          <w:p w:rsidR="00D86A11" w:rsidRPr="00B129D9" w:rsidRDefault="00D86A11" w:rsidP="001240D5">
            <w:pPr>
              <w:jc w:val="center"/>
              <w:rPr>
                <w:rFonts w:ascii="Calibri" w:hAnsi="Calibri"/>
                <w:b/>
                <w:color w:val="013161"/>
                <w:sz w:val="20"/>
              </w:rPr>
            </w:pPr>
            <w:r w:rsidRPr="00B129D9">
              <w:rPr>
                <w:rFonts w:ascii="Calibri" w:hAnsi="Calibri"/>
                <w:b/>
                <w:color w:val="013161"/>
                <w:sz w:val="20"/>
              </w:rPr>
              <w:t>1.69</w:t>
            </w:r>
          </w:p>
        </w:tc>
      </w:tr>
      <w:tr w:rsidR="00D86A11" w:rsidRPr="000055D1" w:rsidTr="001240D5">
        <w:trPr>
          <w:trHeight w:val="255"/>
        </w:trPr>
        <w:tc>
          <w:tcPr>
            <w:tcW w:w="3708" w:type="dxa"/>
            <w:shd w:val="clear" w:color="auto" w:fill="DBE5F1"/>
            <w:noWrap/>
            <w:vAlign w:val="center"/>
          </w:tcPr>
          <w:p w:rsidR="00D86A11" w:rsidRPr="00B129D9" w:rsidRDefault="00D86A11" w:rsidP="001240D5">
            <w:pPr>
              <w:spacing w:after="0"/>
              <w:rPr>
                <w:rFonts w:ascii="Calibri" w:hAnsi="Calibri" w:cs="Calibri"/>
                <w:b/>
                <w:color w:val="013161"/>
                <w:sz w:val="20"/>
              </w:rPr>
            </w:pPr>
            <w:r w:rsidRPr="00B129D9">
              <w:rPr>
                <w:rFonts w:ascii="Calibri" w:hAnsi="Calibri" w:cs="Calibri"/>
                <w:b/>
                <w:color w:val="013161"/>
                <w:sz w:val="20"/>
              </w:rPr>
              <w:t>Placement moves count (n)</w:t>
            </w:r>
          </w:p>
        </w:tc>
        <w:tc>
          <w:tcPr>
            <w:tcW w:w="990" w:type="dxa"/>
            <w:shd w:val="clear" w:color="auto" w:fill="DBE5F1"/>
            <w:noWrap/>
            <w:vAlign w:val="center"/>
          </w:tcPr>
          <w:p w:rsidR="00D86A11" w:rsidRPr="00B129D9" w:rsidRDefault="00D86A11" w:rsidP="001240D5">
            <w:pPr>
              <w:jc w:val="center"/>
              <w:rPr>
                <w:rFonts w:ascii="Calibri" w:hAnsi="Calibri"/>
                <w:b/>
                <w:color w:val="013161"/>
                <w:sz w:val="20"/>
              </w:rPr>
            </w:pPr>
            <w:r w:rsidRPr="00B129D9">
              <w:rPr>
                <w:rFonts w:ascii="Calibri" w:hAnsi="Calibri"/>
                <w:b/>
                <w:color w:val="013161"/>
                <w:sz w:val="20"/>
              </w:rPr>
              <w:t>9</w:t>
            </w:r>
          </w:p>
        </w:tc>
        <w:tc>
          <w:tcPr>
            <w:tcW w:w="900" w:type="dxa"/>
            <w:shd w:val="clear" w:color="auto" w:fill="DBE5F1"/>
            <w:noWrap/>
            <w:vAlign w:val="center"/>
          </w:tcPr>
          <w:p w:rsidR="00D86A11" w:rsidRPr="00B129D9" w:rsidRDefault="00D86A11" w:rsidP="001240D5">
            <w:pPr>
              <w:jc w:val="center"/>
              <w:rPr>
                <w:rFonts w:ascii="Calibri" w:hAnsi="Calibri"/>
                <w:b/>
                <w:color w:val="013161"/>
                <w:sz w:val="20"/>
              </w:rPr>
            </w:pPr>
            <w:r w:rsidRPr="00B129D9">
              <w:rPr>
                <w:rFonts w:ascii="Calibri" w:hAnsi="Calibri"/>
                <w:b/>
                <w:color w:val="013161"/>
                <w:sz w:val="20"/>
              </w:rPr>
              <w:t>10</w:t>
            </w:r>
          </w:p>
        </w:tc>
        <w:tc>
          <w:tcPr>
            <w:tcW w:w="990" w:type="dxa"/>
            <w:shd w:val="clear" w:color="auto" w:fill="DBE5F1"/>
            <w:noWrap/>
            <w:vAlign w:val="center"/>
          </w:tcPr>
          <w:p w:rsidR="00D86A11" w:rsidRPr="00B129D9" w:rsidRDefault="00D86A11" w:rsidP="001240D5">
            <w:pPr>
              <w:jc w:val="center"/>
              <w:rPr>
                <w:rFonts w:ascii="Calibri" w:hAnsi="Calibri"/>
                <w:b/>
                <w:color w:val="013161"/>
                <w:sz w:val="20"/>
              </w:rPr>
            </w:pPr>
            <w:r w:rsidRPr="00B129D9">
              <w:rPr>
                <w:rFonts w:ascii="Calibri" w:hAnsi="Calibri"/>
                <w:b/>
                <w:color w:val="013161"/>
                <w:sz w:val="20"/>
              </w:rPr>
              <w:t>9</w:t>
            </w:r>
          </w:p>
        </w:tc>
        <w:tc>
          <w:tcPr>
            <w:tcW w:w="990" w:type="dxa"/>
            <w:shd w:val="clear" w:color="auto" w:fill="DBE5F1"/>
            <w:noWrap/>
            <w:vAlign w:val="center"/>
          </w:tcPr>
          <w:p w:rsidR="00D86A11" w:rsidRPr="00B129D9" w:rsidRDefault="00D86A11" w:rsidP="001240D5">
            <w:pPr>
              <w:jc w:val="center"/>
              <w:rPr>
                <w:rFonts w:ascii="Calibri" w:hAnsi="Calibri"/>
                <w:b/>
                <w:color w:val="013161"/>
                <w:sz w:val="20"/>
              </w:rPr>
            </w:pPr>
            <w:r w:rsidRPr="00B129D9">
              <w:rPr>
                <w:rFonts w:ascii="Calibri" w:hAnsi="Calibri"/>
                <w:b/>
                <w:color w:val="013161"/>
                <w:sz w:val="20"/>
              </w:rPr>
              <w:t>19</w:t>
            </w:r>
          </w:p>
        </w:tc>
        <w:tc>
          <w:tcPr>
            <w:tcW w:w="990" w:type="dxa"/>
            <w:shd w:val="clear" w:color="auto" w:fill="DBE5F1"/>
            <w:noWrap/>
            <w:vAlign w:val="center"/>
          </w:tcPr>
          <w:p w:rsidR="00D86A11" w:rsidRPr="00B129D9" w:rsidRDefault="00D86A11" w:rsidP="001240D5">
            <w:pPr>
              <w:jc w:val="center"/>
              <w:rPr>
                <w:rFonts w:ascii="Calibri" w:hAnsi="Calibri"/>
                <w:b/>
                <w:color w:val="013161"/>
                <w:sz w:val="20"/>
              </w:rPr>
            </w:pPr>
            <w:r w:rsidRPr="00B129D9">
              <w:rPr>
                <w:rFonts w:ascii="Calibri" w:hAnsi="Calibri"/>
                <w:b/>
                <w:color w:val="013161"/>
                <w:sz w:val="20"/>
              </w:rPr>
              <w:t>23</w:t>
            </w:r>
          </w:p>
        </w:tc>
        <w:tc>
          <w:tcPr>
            <w:tcW w:w="1008" w:type="dxa"/>
            <w:shd w:val="clear" w:color="auto" w:fill="DBE5F1"/>
            <w:noWrap/>
            <w:vAlign w:val="center"/>
          </w:tcPr>
          <w:p w:rsidR="00D86A11" w:rsidRPr="00B129D9" w:rsidRDefault="00D86A11" w:rsidP="001240D5">
            <w:pPr>
              <w:jc w:val="center"/>
              <w:rPr>
                <w:rFonts w:ascii="Calibri" w:hAnsi="Calibri"/>
                <w:b/>
                <w:color w:val="013161"/>
                <w:sz w:val="20"/>
              </w:rPr>
            </w:pPr>
            <w:r w:rsidRPr="00B129D9">
              <w:rPr>
                <w:rFonts w:ascii="Calibri" w:hAnsi="Calibri"/>
                <w:b/>
                <w:color w:val="013161"/>
                <w:sz w:val="20"/>
              </w:rPr>
              <w:t>26</w:t>
            </w:r>
          </w:p>
        </w:tc>
      </w:tr>
    </w:tbl>
    <w:p w:rsidR="00D86A11" w:rsidRPr="00AF204C" w:rsidRDefault="00D86A11" w:rsidP="00D86A11">
      <w:pPr>
        <w:pStyle w:val="Heading1"/>
        <w:rPr>
          <w:color w:val="2E7029"/>
          <w:sz w:val="24"/>
        </w:rPr>
      </w:pPr>
      <w:r w:rsidRPr="00AF204C">
        <w:rPr>
          <w:color w:val="2E7029"/>
          <w:sz w:val="24"/>
        </w:rPr>
        <w:t>Analysis</w:t>
      </w:r>
    </w:p>
    <w:p w:rsidR="00D86A11" w:rsidRPr="00710E9C" w:rsidRDefault="00D86A11" w:rsidP="00D86A11">
      <w:pPr>
        <w:spacing w:after="0"/>
        <w:rPr>
          <w:rFonts w:ascii="Franklin Gothic Book" w:hAnsi="Franklin Gothic Book"/>
          <w:color w:val="auto"/>
          <w:spacing w:val="20"/>
          <w:szCs w:val="28"/>
        </w:rPr>
      </w:pPr>
      <w:r w:rsidRPr="00710E9C">
        <w:rPr>
          <w:rFonts w:ascii="Franklin Gothic Book" w:hAnsi="Franklin Gothic Book"/>
          <w:color w:val="auto"/>
          <w:spacing w:val="20"/>
          <w:szCs w:val="28"/>
        </w:rPr>
        <w:t xml:space="preserve">Placement stability is measured by calculating the number of placement moves per 1,000 foster care days. </w:t>
      </w:r>
    </w:p>
    <w:p w:rsidR="00D86A11" w:rsidRPr="00710E9C" w:rsidRDefault="00D86A11" w:rsidP="00D86A11">
      <w:pPr>
        <w:spacing w:before="240" w:after="0"/>
        <w:rPr>
          <w:rFonts w:ascii="Franklin Gothic Book" w:hAnsi="Franklin Gothic Book"/>
          <w:color w:val="auto"/>
          <w:spacing w:val="20"/>
          <w:szCs w:val="28"/>
        </w:rPr>
      </w:pPr>
      <w:r w:rsidRPr="00710E9C">
        <w:rPr>
          <w:rFonts w:ascii="Franklin Gothic Book" w:hAnsi="Franklin Gothic Book"/>
          <w:b/>
          <w:color w:val="auto"/>
          <w:spacing w:val="20"/>
          <w:szCs w:val="28"/>
        </w:rPr>
        <w:t>Trends:</w:t>
      </w:r>
      <w:r w:rsidRPr="00710E9C">
        <w:rPr>
          <w:rFonts w:ascii="Franklin Gothic Book" w:hAnsi="Franklin Gothic Book"/>
          <w:color w:val="auto"/>
          <w:spacing w:val="20"/>
          <w:szCs w:val="28"/>
        </w:rPr>
        <w:t xml:space="preserve"> Probation has been well below the national standard of 4.12 placement moves per 1,000 days in care for the past six years.</w:t>
      </w:r>
    </w:p>
    <w:p w:rsidR="00D86A11" w:rsidRPr="00710E9C" w:rsidRDefault="00D86A11" w:rsidP="00D86A11">
      <w:pPr>
        <w:spacing w:before="240" w:after="0"/>
        <w:rPr>
          <w:rFonts w:ascii="Franklin Gothic Book" w:hAnsi="Franklin Gothic Book"/>
          <w:b/>
          <w:color w:val="auto"/>
          <w:spacing w:val="20"/>
          <w:szCs w:val="28"/>
        </w:rPr>
      </w:pPr>
      <w:r w:rsidRPr="00710E9C">
        <w:rPr>
          <w:rFonts w:ascii="Franklin Gothic Book" w:hAnsi="Franklin Gothic Book"/>
          <w:b/>
          <w:color w:val="auto"/>
          <w:spacing w:val="20"/>
          <w:szCs w:val="28"/>
        </w:rPr>
        <w:t>Race/Ethnicity:</w:t>
      </w:r>
      <w:r w:rsidRPr="00710E9C">
        <w:rPr>
          <w:rFonts w:ascii="Franklin Gothic Book" w:hAnsi="Franklin Gothic Book"/>
          <w:color w:val="auto"/>
          <w:spacing w:val="20"/>
          <w:szCs w:val="28"/>
        </w:rPr>
        <w:t xml:space="preserve"> In 2015, Black youth had the highest rate at 3.20 (10) followed by White youth at 1.68 (9), and Latino youth at 1.09 (7)</w:t>
      </w:r>
    </w:p>
    <w:p w:rsidR="00D86A11" w:rsidRPr="00710E9C" w:rsidRDefault="00D86A11" w:rsidP="00D86A11">
      <w:pPr>
        <w:spacing w:before="240" w:after="0"/>
        <w:rPr>
          <w:rFonts w:ascii="Franklin Gothic Book" w:hAnsi="Franklin Gothic Book"/>
          <w:color w:val="auto"/>
          <w:spacing w:val="20"/>
          <w:szCs w:val="28"/>
        </w:rPr>
      </w:pPr>
      <w:r w:rsidRPr="00710E9C">
        <w:rPr>
          <w:rFonts w:ascii="Franklin Gothic Book" w:hAnsi="Franklin Gothic Book"/>
          <w:b/>
          <w:color w:val="auto"/>
          <w:spacing w:val="20"/>
          <w:szCs w:val="28"/>
        </w:rPr>
        <w:t>Age:</w:t>
      </w:r>
      <w:r w:rsidRPr="00710E9C">
        <w:rPr>
          <w:rFonts w:ascii="Franklin Gothic Book" w:hAnsi="Franklin Gothic Book"/>
          <w:color w:val="auto"/>
          <w:spacing w:val="20"/>
          <w:szCs w:val="28"/>
        </w:rPr>
        <w:t xml:space="preserve"> In 2015, the rate of 2.87 (16) for 11-15 year olds was higher than the 1.02 (10) rate for 16-17 year olds. </w:t>
      </w:r>
    </w:p>
    <w:p w:rsidR="00D86A11" w:rsidRPr="001375F2" w:rsidRDefault="00D86A11" w:rsidP="00D86A11">
      <w:pPr>
        <w:pStyle w:val="Heading3"/>
        <w:spacing w:line="276" w:lineRule="auto"/>
        <w:rPr>
          <w:b w:val="0"/>
          <w:color w:val="auto"/>
          <w:sz w:val="22"/>
        </w:rPr>
      </w:pPr>
      <w:r w:rsidRPr="001375F2">
        <w:rPr>
          <w:b w:val="0"/>
          <w:color w:val="auto"/>
          <w:sz w:val="22"/>
        </w:rPr>
        <w:t>The increase of placement moves could, in part, be the result of a significant number of youth absconding from placement. Typically, youth are not returned to the same residential facility upon their return to care after absconding.  The youth typically are placed in a higher level of care at another treatment facility.</w:t>
      </w:r>
    </w:p>
    <w:p w:rsidR="00D86A11" w:rsidRPr="001375F2" w:rsidRDefault="00D86A11" w:rsidP="00D86A11">
      <w:pPr>
        <w:pStyle w:val="Heading3"/>
        <w:spacing w:line="276" w:lineRule="auto"/>
        <w:rPr>
          <w:b w:val="0"/>
          <w:color w:val="auto"/>
          <w:sz w:val="22"/>
        </w:rPr>
      </w:pPr>
      <w:r w:rsidRPr="001375F2">
        <w:rPr>
          <w:b w:val="0"/>
          <w:color w:val="auto"/>
          <w:sz w:val="22"/>
        </w:rPr>
        <w:t>The number of placement moves has steadily increased throughout the years, as the need for higher levels of care increased. In summary, in reviewing the numbers and trends for relative placements and the upward trend in the authorization for psychotropic medications, it can be inferred that the result of the increase of placement moves is because of the youth’s need for a higher level of care. During the 2012-2013 years, placements with relatives (least restrictive) decreased, numbers for psychotropic medications increased and placements in group homes increased (from 65% in 2012 to 82.9% in 2013). Additionally, our department protocol in placement is to place youth in the least restrictive placement initially, then graduate with advanced levels of care as necessary. This protocol could have resulted in inappropriate placements of youth in group homes or with relatives who were not necessarily the most appropriate fit, in terms of having the ability to meet the youth’s treatment needs</w:t>
      </w:r>
      <w:r>
        <w:rPr>
          <w:b w:val="0"/>
          <w:color w:val="auto"/>
          <w:sz w:val="22"/>
        </w:rPr>
        <w:t>. This</w:t>
      </w:r>
      <w:r w:rsidRPr="001375F2">
        <w:rPr>
          <w:b w:val="0"/>
          <w:color w:val="auto"/>
          <w:sz w:val="22"/>
        </w:rPr>
        <w:t xml:space="preserve"> could have inadvertently resulted in increased placement instability as youth moved from lower to higher levels of care. </w:t>
      </w:r>
    </w:p>
    <w:p w:rsidR="00D86A11" w:rsidRPr="001375F2" w:rsidRDefault="00D86A11" w:rsidP="00D86A11">
      <w:pPr>
        <w:pStyle w:val="Heading3"/>
        <w:spacing w:line="276" w:lineRule="auto"/>
        <w:rPr>
          <w:b w:val="0"/>
          <w:color w:val="auto"/>
          <w:sz w:val="22"/>
        </w:rPr>
      </w:pPr>
      <w:r w:rsidRPr="001375F2">
        <w:rPr>
          <w:b w:val="0"/>
          <w:color w:val="auto"/>
          <w:sz w:val="22"/>
        </w:rPr>
        <w:t xml:space="preserve">The limited number of placements was identified as </w:t>
      </w:r>
      <w:r>
        <w:rPr>
          <w:b w:val="0"/>
          <w:color w:val="auto"/>
          <w:sz w:val="22"/>
        </w:rPr>
        <w:t xml:space="preserve">a </w:t>
      </w:r>
      <w:r w:rsidRPr="001375F2">
        <w:rPr>
          <w:b w:val="0"/>
          <w:color w:val="auto"/>
          <w:sz w:val="22"/>
        </w:rPr>
        <w:t>strength during the Peer Review. This reflects on the Placement Screener’s ability to match the youth’s issues to appropriate facilities, thereby reducing the number of placement moves. Efforts in placement matching have likely resulted in the positive outcomes seen in placement stability over the past six years.</w:t>
      </w:r>
    </w:p>
    <w:p w:rsidR="00D86A11" w:rsidRPr="00E024F4" w:rsidRDefault="00D86A11" w:rsidP="00D86A11">
      <w:pPr>
        <w:pStyle w:val="Heading1"/>
        <w:rPr>
          <w:rFonts w:ascii="Calibri" w:hAnsi="Calibri" w:cs="Calibri"/>
          <w:color w:val="auto"/>
          <w:szCs w:val="28"/>
        </w:rPr>
      </w:pPr>
      <w:r w:rsidRPr="00AF204C">
        <w:rPr>
          <w:color w:val="F6872B"/>
          <w:sz w:val="24"/>
        </w:rPr>
        <w:lastRenderedPageBreak/>
        <w:t>2F Monthly Visits (out of home)</w:t>
      </w:r>
    </w:p>
    <w:tbl>
      <w:tblPr>
        <w:tblW w:w="9468" w:type="dxa"/>
        <w:tblBorders>
          <w:top w:val="single" w:sz="18" w:space="0" w:color="F6872B"/>
          <w:bottom w:val="single" w:sz="18" w:space="0" w:color="F6872B"/>
        </w:tblBorders>
        <w:tblLook w:val="04A0" w:firstRow="1" w:lastRow="0" w:firstColumn="1" w:lastColumn="0" w:noHBand="0" w:noVBand="1"/>
      </w:tblPr>
      <w:tblGrid>
        <w:gridCol w:w="2898"/>
        <w:gridCol w:w="1571"/>
        <w:gridCol w:w="1622"/>
        <w:gridCol w:w="1307"/>
        <w:gridCol w:w="2070"/>
      </w:tblGrid>
      <w:tr w:rsidR="00D86A11" w:rsidRPr="006B5523">
        <w:trPr>
          <w:trHeight w:val="675"/>
        </w:trPr>
        <w:tc>
          <w:tcPr>
            <w:tcW w:w="9468" w:type="dxa"/>
            <w:gridSpan w:val="5"/>
            <w:shd w:val="clear" w:color="auto" w:fill="013161"/>
            <w:noWrap/>
          </w:tcPr>
          <w:p w:rsidR="00D86A11" w:rsidRPr="000055D1" w:rsidRDefault="00D86A11" w:rsidP="00D86A11">
            <w:pPr>
              <w:spacing w:after="0"/>
              <w:jc w:val="center"/>
              <w:rPr>
                <w:rFonts w:ascii="Calibri" w:hAnsi="Calibri" w:cs="Calibri"/>
                <w:color w:val="FFFFFF"/>
              </w:rPr>
            </w:pPr>
            <w:r>
              <w:rPr>
                <w:rFonts w:ascii="Calibri" w:hAnsi="Calibri" w:cs="Calibri"/>
                <w:b/>
                <w:color w:val="FFFFFF"/>
                <w:sz w:val="24"/>
              </w:rPr>
              <w:t>Exhibit 84. County of San Diego</w:t>
            </w:r>
            <w:r w:rsidRPr="00E415BF">
              <w:rPr>
                <w:rFonts w:ascii="Calibri" w:hAnsi="Calibri" w:cs="Calibri"/>
                <w:b/>
                <w:color w:val="FFFFFF"/>
                <w:sz w:val="24"/>
              </w:rPr>
              <w:t xml:space="preserve"> Probation - Monthly Visits (out of home)</w:t>
            </w:r>
            <w:r w:rsidRPr="000055D1">
              <w:rPr>
                <w:rFonts w:ascii="Calibri" w:hAnsi="Calibri" w:cs="Calibri"/>
                <w:color w:val="FFFFFF"/>
              </w:rPr>
              <w:br/>
              <w:t>State Standard 95%; California at 81.5%</w:t>
            </w:r>
          </w:p>
        </w:tc>
      </w:tr>
      <w:tr w:rsidR="00D86A11" w:rsidRPr="006B5523">
        <w:trPr>
          <w:trHeight w:val="251"/>
        </w:trPr>
        <w:tc>
          <w:tcPr>
            <w:tcW w:w="2898" w:type="dxa"/>
            <w:shd w:val="clear" w:color="auto" w:fill="013161"/>
            <w:noWrap/>
          </w:tcPr>
          <w:p w:rsidR="00D86A11" w:rsidRPr="00721EF1" w:rsidRDefault="00D86A11" w:rsidP="00D86A11">
            <w:pPr>
              <w:spacing w:after="0"/>
              <w:rPr>
                <w:rFonts w:ascii="Calibri" w:hAnsi="Calibri" w:cs="Calibri"/>
                <w:b/>
                <w:color w:val="FFFFFF"/>
              </w:rPr>
            </w:pPr>
          </w:p>
        </w:tc>
        <w:tc>
          <w:tcPr>
            <w:tcW w:w="1571"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2012</w:t>
            </w:r>
          </w:p>
        </w:tc>
        <w:tc>
          <w:tcPr>
            <w:tcW w:w="1622"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2013</w:t>
            </w:r>
          </w:p>
        </w:tc>
        <w:tc>
          <w:tcPr>
            <w:tcW w:w="1307"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2014</w:t>
            </w:r>
          </w:p>
        </w:tc>
        <w:tc>
          <w:tcPr>
            <w:tcW w:w="2070" w:type="dxa"/>
            <w:shd w:val="clear" w:color="auto" w:fill="013161"/>
            <w:noWrap/>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2015</w:t>
            </w:r>
          </w:p>
        </w:tc>
      </w:tr>
      <w:tr w:rsidR="00D86A11" w:rsidRPr="006B5523">
        <w:trPr>
          <w:trHeight w:val="58"/>
        </w:trPr>
        <w:tc>
          <w:tcPr>
            <w:tcW w:w="2898" w:type="dxa"/>
            <w:shd w:val="clear" w:color="auto" w:fill="auto"/>
            <w:noWrap/>
          </w:tcPr>
          <w:p w:rsidR="00D86A11" w:rsidRPr="00B129D9" w:rsidRDefault="00D86A11" w:rsidP="00D86A11">
            <w:pPr>
              <w:spacing w:after="0"/>
              <w:rPr>
                <w:rFonts w:ascii="Calibri" w:hAnsi="Calibri" w:cs="Calibri"/>
                <w:b/>
                <w:color w:val="013161"/>
                <w:sz w:val="20"/>
              </w:rPr>
            </w:pPr>
            <w:r w:rsidRPr="00B129D9">
              <w:rPr>
                <w:rFonts w:ascii="Calibri" w:hAnsi="Calibri" w:cs="Calibri"/>
                <w:b/>
                <w:color w:val="013161"/>
                <w:sz w:val="20"/>
              </w:rPr>
              <w:t>Months with visits (%)</w:t>
            </w:r>
          </w:p>
        </w:tc>
        <w:tc>
          <w:tcPr>
            <w:tcW w:w="1571" w:type="dxa"/>
            <w:shd w:val="clear" w:color="auto" w:fill="auto"/>
            <w:noWrap/>
          </w:tcPr>
          <w:p w:rsidR="00D86A11" w:rsidRPr="00B129D9" w:rsidRDefault="00D86A11" w:rsidP="00D86A11">
            <w:pPr>
              <w:jc w:val="center"/>
              <w:rPr>
                <w:rFonts w:ascii="Calibri" w:hAnsi="Calibri"/>
                <w:b/>
                <w:color w:val="013161"/>
                <w:sz w:val="20"/>
              </w:rPr>
            </w:pPr>
            <w:r w:rsidRPr="00B129D9">
              <w:rPr>
                <w:rFonts w:ascii="Calibri" w:hAnsi="Calibri"/>
                <w:b/>
                <w:color w:val="013161"/>
                <w:sz w:val="20"/>
              </w:rPr>
              <w:t>59.0</w:t>
            </w:r>
          </w:p>
        </w:tc>
        <w:tc>
          <w:tcPr>
            <w:tcW w:w="1622" w:type="dxa"/>
            <w:shd w:val="clear" w:color="auto" w:fill="auto"/>
            <w:noWrap/>
          </w:tcPr>
          <w:p w:rsidR="00D86A11" w:rsidRPr="00B129D9" w:rsidRDefault="00D86A11" w:rsidP="00D86A11">
            <w:pPr>
              <w:jc w:val="center"/>
              <w:rPr>
                <w:rFonts w:ascii="Calibri" w:hAnsi="Calibri"/>
                <w:b/>
                <w:color w:val="013161"/>
                <w:sz w:val="20"/>
              </w:rPr>
            </w:pPr>
            <w:r w:rsidRPr="00B129D9">
              <w:rPr>
                <w:rFonts w:ascii="Calibri" w:hAnsi="Calibri"/>
                <w:b/>
                <w:color w:val="013161"/>
                <w:sz w:val="20"/>
              </w:rPr>
              <w:t>70.5</w:t>
            </w:r>
          </w:p>
        </w:tc>
        <w:tc>
          <w:tcPr>
            <w:tcW w:w="1307" w:type="dxa"/>
            <w:shd w:val="clear" w:color="auto" w:fill="auto"/>
            <w:noWrap/>
          </w:tcPr>
          <w:p w:rsidR="00D86A11" w:rsidRPr="00B129D9" w:rsidRDefault="00D86A11" w:rsidP="00D86A11">
            <w:pPr>
              <w:jc w:val="center"/>
              <w:rPr>
                <w:rFonts w:ascii="Calibri" w:hAnsi="Calibri"/>
                <w:b/>
                <w:color w:val="013161"/>
                <w:sz w:val="20"/>
              </w:rPr>
            </w:pPr>
            <w:r w:rsidRPr="00B129D9">
              <w:rPr>
                <w:rFonts w:ascii="Calibri" w:hAnsi="Calibri"/>
                <w:b/>
                <w:color w:val="013161"/>
                <w:sz w:val="20"/>
              </w:rPr>
              <w:t>87.2</w:t>
            </w:r>
          </w:p>
        </w:tc>
        <w:tc>
          <w:tcPr>
            <w:tcW w:w="2070" w:type="dxa"/>
            <w:shd w:val="clear" w:color="auto" w:fill="auto"/>
            <w:noWrap/>
          </w:tcPr>
          <w:p w:rsidR="00D86A11" w:rsidRPr="00B129D9" w:rsidRDefault="00D86A11" w:rsidP="00D86A11">
            <w:pPr>
              <w:jc w:val="center"/>
              <w:rPr>
                <w:rFonts w:ascii="Calibri" w:hAnsi="Calibri"/>
                <w:b/>
                <w:color w:val="013161"/>
                <w:sz w:val="20"/>
              </w:rPr>
            </w:pPr>
            <w:r w:rsidRPr="00B129D9">
              <w:rPr>
                <w:rFonts w:ascii="Calibri" w:hAnsi="Calibri"/>
                <w:b/>
                <w:color w:val="013161"/>
                <w:sz w:val="20"/>
              </w:rPr>
              <w:t>88.6</w:t>
            </w:r>
          </w:p>
        </w:tc>
      </w:tr>
    </w:tbl>
    <w:p w:rsidR="00D86A11" w:rsidRPr="00AF204C" w:rsidRDefault="00D86A11" w:rsidP="00D86A11">
      <w:pPr>
        <w:pStyle w:val="Heading1"/>
        <w:rPr>
          <w:color w:val="F6872B"/>
          <w:sz w:val="24"/>
        </w:rPr>
      </w:pPr>
      <w:r w:rsidRPr="00AF204C">
        <w:rPr>
          <w:color w:val="F6872B"/>
          <w:sz w:val="24"/>
        </w:rPr>
        <w:t>2F Monthly Visits in Residence (out of home)</w:t>
      </w:r>
    </w:p>
    <w:tbl>
      <w:tblPr>
        <w:tblW w:w="9624" w:type="dxa"/>
        <w:tblBorders>
          <w:top w:val="single" w:sz="18" w:space="0" w:color="F6872B"/>
          <w:bottom w:val="single" w:sz="18" w:space="0" w:color="F6872B"/>
        </w:tblBorders>
        <w:tblLook w:val="04A0" w:firstRow="1" w:lastRow="0" w:firstColumn="1" w:lastColumn="0" w:noHBand="0" w:noVBand="1"/>
      </w:tblPr>
      <w:tblGrid>
        <w:gridCol w:w="3618"/>
        <w:gridCol w:w="1298"/>
        <w:gridCol w:w="1492"/>
        <w:gridCol w:w="1170"/>
        <w:gridCol w:w="2046"/>
      </w:tblGrid>
      <w:tr w:rsidR="00D86A11" w:rsidRPr="000055D1">
        <w:trPr>
          <w:trHeight w:val="441"/>
        </w:trPr>
        <w:tc>
          <w:tcPr>
            <w:tcW w:w="9624" w:type="dxa"/>
            <w:gridSpan w:val="5"/>
            <w:shd w:val="clear" w:color="auto" w:fill="013161"/>
            <w:noWrap/>
          </w:tcPr>
          <w:p w:rsidR="00D86A11" w:rsidRPr="000055D1" w:rsidRDefault="00D86A11" w:rsidP="00D86A11">
            <w:pPr>
              <w:spacing w:after="0" w:line="240" w:lineRule="auto"/>
              <w:jc w:val="center"/>
              <w:rPr>
                <w:rFonts w:ascii="Calibri" w:eastAsia="Times New Roman" w:hAnsi="Calibri" w:cs="Arial"/>
                <w:color w:val="013161"/>
              </w:rPr>
            </w:pPr>
            <w:r>
              <w:rPr>
                <w:rFonts w:ascii="Calibri" w:hAnsi="Calibri" w:cs="Calibri"/>
                <w:b/>
                <w:color w:val="FFFFFF"/>
                <w:sz w:val="24"/>
              </w:rPr>
              <w:t>Exhibit 85. County of San Diego</w:t>
            </w:r>
            <w:r w:rsidRPr="00E415BF">
              <w:rPr>
                <w:rFonts w:ascii="Calibri" w:hAnsi="Calibri" w:cs="Calibri"/>
                <w:b/>
                <w:color w:val="FFFFFF"/>
                <w:sz w:val="24"/>
              </w:rPr>
              <w:t xml:space="preserve"> Probation - Monthly Visits in Residence (out of home)</w:t>
            </w:r>
            <w:r w:rsidRPr="000055D1">
              <w:rPr>
                <w:rFonts w:ascii="Calibri" w:hAnsi="Calibri" w:cs="Calibri"/>
                <w:color w:val="FFFFFF"/>
              </w:rPr>
              <w:br/>
              <w:t>State Standard 50%; California at 88%</w:t>
            </w:r>
          </w:p>
        </w:tc>
      </w:tr>
      <w:tr w:rsidR="00D86A11" w:rsidRPr="000055D1">
        <w:trPr>
          <w:trHeight w:val="258"/>
        </w:trPr>
        <w:tc>
          <w:tcPr>
            <w:tcW w:w="3618" w:type="dxa"/>
            <w:shd w:val="clear" w:color="auto" w:fill="013161"/>
            <w:noWrap/>
          </w:tcPr>
          <w:p w:rsidR="00D86A11" w:rsidRPr="00721EF1" w:rsidRDefault="00D86A11" w:rsidP="00D86A11">
            <w:pPr>
              <w:spacing w:after="0" w:line="240" w:lineRule="auto"/>
              <w:jc w:val="right"/>
              <w:rPr>
                <w:rFonts w:ascii="Calibri" w:eastAsia="Times New Roman" w:hAnsi="Calibri" w:cs="Arial"/>
                <w:b/>
                <w:color w:val="FFFFFF"/>
              </w:rPr>
            </w:pPr>
          </w:p>
        </w:tc>
        <w:tc>
          <w:tcPr>
            <w:tcW w:w="1298"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2012</w:t>
            </w:r>
          </w:p>
        </w:tc>
        <w:tc>
          <w:tcPr>
            <w:tcW w:w="1492"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2013</w:t>
            </w:r>
          </w:p>
        </w:tc>
        <w:tc>
          <w:tcPr>
            <w:tcW w:w="1170"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2014</w:t>
            </w:r>
          </w:p>
        </w:tc>
        <w:tc>
          <w:tcPr>
            <w:tcW w:w="2046" w:type="dxa"/>
            <w:shd w:val="clear" w:color="auto" w:fill="013161"/>
            <w:noWrap/>
          </w:tcPr>
          <w:p w:rsidR="00D86A11" w:rsidRPr="00721EF1" w:rsidRDefault="00D86A11" w:rsidP="00D86A11">
            <w:pPr>
              <w:spacing w:after="0" w:line="240" w:lineRule="auto"/>
              <w:jc w:val="center"/>
              <w:rPr>
                <w:rFonts w:ascii="Calibri" w:eastAsia="Times New Roman" w:hAnsi="Calibri" w:cs="Arial"/>
                <w:b/>
                <w:color w:val="FFFFFF"/>
              </w:rPr>
            </w:pPr>
            <w:r w:rsidRPr="00721EF1">
              <w:rPr>
                <w:rFonts w:ascii="Calibri" w:eastAsia="Times New Roman" w:hAnsi="Calibri" w:cs="Arial"/>
                <w:b/>
                <w:color w:val="FFFFFF"/>
              </w:rPr>
              <w:t>2015</w:t>
            </w:r>
          </w:p>
        </w:tc>
      </w:tr>
      <w:tr w:rsidR="00D86A11" w:rsidRPr="000055D1">
        <w:trPr>
          <w:trHeight w:val="258"/>
        </w:trPr>
        <w:tc>
          <w:tcPr>
            <w:tcW w:w="3618" w:type="dxa"/>
            <w:shd w:val="clear" w:color="auto" w:fill="auto"/>
            <w:noWrap/>
          </w:tcPr>
          <w:p w:rsidR="00D86A11" w:rsidRPr="00B129D9" w:rsidRDefault="00D86A11" w:rsidP="00D86A11">
            <w:pPr>
              <w:spacing w:after="0" w:line="240" w:lineRule="auto"/>
              <w:rPr>
                <w:rFonts w:ascii="Calibri" w:eastAsia="Times New Roman" w:hAnsi="Calibri" w:cs="Arial"/>
                <w:b/>
                <w:color w:val="013161"/>
                <w:sz w:val="20"/>
              </w:rPr>
            </w:pPr>
            <w:r w:rsidRPr="00B129D9">
              <w:rPr>
                <w:rFonts w:ascii="Calibri" w:eastAsia="Times New Roman" w:hAnsi="Calibri" w:cs="Arial"/>
                <w:b/>
                <w:color w:val="013161"/>
                <w:sz w:val="20"/>
              </w:rPr>
              <w:t>Months with visits in residence (%)</w:t>
            </w:r>
          </w:p>
        </w:tc>
        <w:tc>
          <w:tcPr>
            <w:tcW w:w="1298" w:type="dxa"/>
            <w:shd w:val="clear" w:color="auto" w:fill="auto"/>
            <w:noWrap/>
          </w:tcPr>
          <w:p w:rsidR="00D86A11" w:rsidRPr="00B129D9" w:rsidRDefault="00D86A11" w:rsidP="00D86A11">
            <w:pPr>
              <w:jc w:val="center"/>
              <w:rPr>
                <w:rFonts w:ascii="Calibri" w:hAnsi="Calibri"/>
                <w:b/>
                <w:color w:val="013161"/>
                <w:sz w:val="20"/>
              </w:rPr>
            </w:pPr>
            <w:r w:rsidRPr="00B129D9">
              <w:rPr>
                <w:rFonts w:ascii="Calibri" w:hAnsi="Calibri"/>
                <w:b/>
                <w:color w:val="013161"/>
                <w:sz w:val="20"/>
              </w:rPr>
              <w:t>38.4</w:t>
            </w:r>
          </w:p>
        </w:tc>
        <w:tc>
          <w:tcPr>
            <w:tcW w:w="1492" w:type="dxa"/>
            <w:shd w:val="clear" w:color="auto" w:fill="auto"/>
            <w:noWrap/>
          </w:tcPr>
          <w:p w:rsidR="00D86A11" w:rsidRPr="00B129D9" w:rsidRDefault="00D86A11" w:rsidP="00D86A11">
            <w:pPr>
              <w:jc w:val="center"/>
              <w:rPr>
                <w:rFonts w:ascii="Calibri" w:hAnsi="Calibri"/>
                <w:b/>
                <w:color w:val="013161"/>
                <w:sz w:val="20"/>
              </w:rPr>
            </w:pPr>
            <w:r w:rsidRPr="00B129D9">
              <w:rPr>
                <w:rFonts w:ascii="Calibri" w:hAnsi="Calibri"/>
                <w:b/>
                <w:color w:val="013161"/>
                <w:sz w:val="20"/>
              </w:rPr>
              <w:t>43.9</w:t>
            </w:r>
          </w:p>
        </w:tc>
        <w:tc>
          <w:tcPr>
            <w:tcW w:w="1170" w:type="dxa"/>
            <w:shd w:val="clear" w:color="auto" w:fill="auto"/>
            <w:noWrap/>
          </w:tcPr>
          <w:p w:rsidR="00D86A11" w:rsidRPr="00B129D9" w:rsidRDefault="00D86A11" w:rsidP="00D86A11">
            <w:pPr>
              <w:jc w:val="center"/>
              <w:rPr>
                <w:rFonts w:ascii="Calibri" w:hAnsi="Calibri"/>
                <w:b/>
                <w:color w:val="013161"/>
                <w:sz w:val="20"/>
              </w:rPr>
            </w:pPr>
            <w:r w:rsidRPr="00B129D9">
              <w:rPr>
                <w:rFonts w:ascii="Calibri" w:hAnsi="Calibri"/>
                <w:b/>
                <w:color w:val="013161"/>
                <w:sz w:val="20"/>
              </w:rPr>
              <w:t>56.0</w:t>
            </w:r>
          </w:p>
        </w:tc>
        <w:tc>
          <w:tcPr>
            <w:tcW w:w="2046" w:type="dxa"/>
            <w:shd w:val="clear" w:color="auto" w:fill="auto"/>
            <w:noWrap/>
          </w:tcPr>
          <w:p w:rsidR="00D86A11" w:rsidRPr="00B129D9" w:rsidRDefault="00D86A11" w:rsidP="00D86A11">
            <w:pPr>
              <w:jc w:val="center"/>
              <w:rPr>
                <w:rFonts w:ascii="Calibri" w:hAnsi="Calibri"/>
                <w:b/>
                <w:color w:val="013161"/>
                <w:sz w:val="20"/>
              </w:rPr>
            </w:pPr>
            <w:r w:rsidRPr="00B129D9">
              <w:rPr>
                <w:rFonts w:ascii="Calibri" w:hAnsi="Calibri"/>
                <w:b/>
                <w:color w:val="013161"/>
                <w:sz w:val="20"/>
              </w:rPr>
              <w:t>54.5</w:t>
            </w:r>
          </w:p>
        </w:tc>
      </w:tr>
    </w:tbl>
    <w:p w:rsidR="00D86A11" w:rsidRPr="00AF204C" w:rsidRDefault="00D86A11" w:rsidP="00D86A11">
      <w:pPr>
        <w:pStyle w:val="Heading1"/>
        <w:rPr>
          <w:color w:val="2E7029"/>
          <w:sz w:val="24"/>
        </w:rPr>
      </w:pPr>
      <w:r w:rsidRPr="00AF204C">
        <w:rPr>
          <w:color w:val="2E7029"/>
          <w:sz w:val="24"/>
        </w:rPr>
        <w:t xml:space="preserve">Analysis </w:t>
      </w:r>
    </w:p>
    <w:p w:rsidR="00D86A11" w:rsidRPr="00710E9C" w:rsidRDefault="00D86A11" w:rsidP="00D86A11">
      <w:pPr>
        <w:spacing w:after="0"/>
        <w:rPr>
          <w:rFonts w:ascii="Franklin Gothic Book" w:hAnsi="Franklin Gothic Book"/>
          <w:color w:val="auto"/>
          <w:spacing w:val="20"/>
          <w:szCs w:val="28"/>
        </w:rPr>
      </w:pPr>
      <w:r w:rsidRPr="00710E9C">
        <w:rPr>
          <w:rFonts w:ascii="Franklin Gothic Book" w:hAnsi="Franklin Gothic Book"/>
          <w:color w:val="auto"/>
          <w:spacing w:val="20"/>
          <w:szCs w:val="28"/>
        </w:rPr>
        <w:t>The first table above “2F Monthly Visits (out of home)” provides the percentage of children in out-of-home care who had timely in-person monthly visits from a Probation Officer in a given year. The second table, “2F Monthly Visits in Residence (out of home)” provides the percentage of children in out-of-home care who had an in-person visit with a caseworker in the placement residence in which the children were living. The standard for the first 2F measure was previously 90% and was raised to 95% as of July 1, 2015.</w:t>
      </w:r>
    </w:p>
    <w:p w:rsidR="00D86A11" w:rsidRPr="00710E9C" w:rsidRDefault="00D86A11" w:rsidP="00D86A11">
      <w:pPr>
        <w:spacing w:after="0"/>
        <w:rPr>
          <w:rFonts w:ascii="Franklin Gothic Book" w:hAnsi="Franklin Gothic Book"/>
          <w:color w:val="auto"/>
          <w:spacing w:val="20"/>
          <w:szCs w:val="28"/>
        </w:rPr>
      </w:pPr>
    </w:p>
    <w:p w:rsidR="00D86A11" w:rsidRPr="00710E9C" w:rsidRDefault="00D86A11" w:rsidP="00D86A11">
      <w:pPr>
        <w:spacing w:after="0"/>
        <w:rPr>
          <w:rFonts w:ascii="Franklin Gothic Book" w:hAnsi="Franklin Gothic Book"/>
          <w:color w:val="auto"/>
          <w:spacing w:val="20"/>
          <w:szCs w:val="28"/>
        </w:rPr>
      </w:pPr>
      <w:r w:rsidRPr="00710E9C">
        <w:rPr>
          <w:rFonts w:ascii="Franklin Gothic Book" w:hAnsi="Franklin Gothic Book"/>
          <w:b/>
          <w:color w:val="auto"/>
          <w:spacing w:val="20"/>
          <w:szCs w:val="28"/>
        </w:rPr>
        <w:t>Trends:</w:t>
      </w:r>
      <w:r w:rsidRPr="00710E9C">
        <w:rPr>
          <w:rFonts w:ascii="Franklin Gothic Book" w:hAnsi="Franklin Gothic Book"/>
          <w:color w:val="auto"/>
          <w:spacing w:val="20"/>
          <w:szCs w:val="28"/>
        </w:rPr>
        <w:t xml:space="preserve"> Although the number of monthly visits and those that occurred in the residence increased from 2012 to 2015, Probation is still below the state standard of 95% for Monthly Visits. Performance on Monthly Visits in Residence has met the 50% goal for the past two years. </w:t>
      </w:r>
    </w:p>
    <w:p w:rsidR="00D86A11" w:rsidRDefault="00D86A11" w:rsidP="00D86A11">
      <w:pPr>
        <w:spacing w:before="240" w:after="0"/>
        <w:rPr>
          <w:rFonts w:ascii="Franklin Gothic Book" w:hAnsi="Franklin Gothic Book"/>
          <w:color w:val="auto"/>
          <w:spacing w:val="20"/>
          <w:szCs w:val="28"/>
        </w:rPr>
      </w:pPr>
      <w:r w:rsidRPr="00710E9C">
        <w:rPr>
          <w:rFonts w:ascii="Franklin Gothic Book" w:hAnsi="Franklin Gothic Book"/>
          <w:b/>
          <w:color w:val="auto"/>
          <w:spacing w:val="20"/>
          <w:szCs w:val="28"/>
        </w:rPr>
        <w:t>Race/Ethnicity</w:t>
      </w:r>
      <w:r w:rsidRPr="00710E9C">
        <w:rPr>
          <w:rFonts w:ascii="Franklin Gothic Book" w:hAnsi="Franklin Gothic Book"/>
          <w:color w:val="auto"/>
          <w:spacing w:val="20"/>
          <w:szCs w:val="28"/>
        </w:rPr>
        <w:t xml:space="preserve">: In 2015, Native American youth had the highest Monthly Visits rate at 100%, followed by Latinos at 89.7%, Asian/PI at 89.3%, White at 88.0% and Black at 87.4%. These rates vary and there is no clear pattern across years. For Monthly Visits in Residence, Black and Latino youth have tended to have the lowest rates. In 2015, Black youth were at 49.2%, Latinos at 49.5%, Asian/PI at 56.0%, </w:t>
      </w:r>
      <w:r w:rsidR="00A56CE5" w:rsidRPr="00710E9C">
        <w:rPr>
          <w:rFonts w:ascii="Franklin Gothic Book" w:hAnsi="Franklin Gothic Book"/>
          <w:color w:val="auto"/>
          <w:spacing w:val="20"/>
          <w:szCs w:val="28"/>
        </w:rPr>
        <w:t>and White</w:t>
      </w:r>
      <w:r w:rsidRPr="00710E9C">
        <w:rPr>
          <w:rFonts w:ascii="Franklin Gothic Book" w:hAnsi="Franklin Gothic Book"/>
          <w:color w:val="auto"/>
          <w:spacing w:val="20"/>
          <w:szCs w:val="28"/>
        </w:rPr>
        <w:t xml:space="preserve"> at 69.9% and Native American at 71.0%. </w:t>
      </w:r>
    </w:p>
    <w:p w:rsidR="00D86A11" w:rsidRPr="00E4191E" w:rsidRDefault="00D86A11" w:rsidP="00D86A11">
      <w:pPr>
        <w:spacing w:before="240" w:after="0"/>
        <w:rPr>
          <w:rFonts w:ascii="Franklin Gothic Book" w:hAnsi="Franklin Gothic Book"/>
          <w:b/>
          <w:color w:val="auto"/>
          <w:spacing w:val="20"/>
          <w:szCs w:val="28"/>
        </w:rPr>
      </w:pPr>
      <w:r w:rsidRPr="00710E9C">
        <w:rPr>
          <w:rFonts w:ascii="Franklin Gothic Book" w:hAnsi="Franklin Gothic Book"/>
          <w:b/>
          <w:color w:val="auto"/>
          <w:spacing w:val="20"/>
          <w:szCs w:val="28"/>
        </w:rPr>
        <w:t>Age:</w:t>
      </w:r>
      <w:r w:rsidRPr="00E4191E">
        <w:rPr>
          <w:rFonts w:ascii="Franklin Gothic Book" w:hAnsi="Franklin Gothic Book"/>
          <w:b/>
          <w:color w:val="auto"/>
          <w:spacing w:val="20"/>
          <w:szCs w:val="28"/>
        </w:rPr>
        <w:t xml:space="preserve"> </w:t>
      </w:r>
      <w:r w:rsidRPr="00E4191E">
        <w:rPr>
          <w:rFonts w:ascii="Franklin Gothic Book" w:hAnsi="Franklin Gothic Book"/>
          <w:color w:val="auto"/>
          <w:spacing w:val="20"/>
          <w:szCs w:val="28"/>
        </w:rPr>
        <w:t>The 2015 Monthly Visits rate for 11-15 year olds was 91.5% and has been consistently higher that the rate for 16-17 year olds which was 86.8% in 2015. The 2015 Monthly Visits in Residence rate for 11-15 year olds was 62.2% and the rate for 16-17 year olds was 49.4%.</w:t>
      </w:r>
    </w:p>
    <w:p w:rsidR="00D86A11" w:rsidRPr="001375F2" w:rsidRDefault="00D86A11" w:rsidP="00D86A11">
      <w:pPr>
        <w:pStyle w:val="Heading3"/>
        <w:spacing w:line="276" w:lineRule="auto"/>
        <w:rPr>
          <w:b w:val="0"/>
          <w:color w:val="auto"/>
          <w:sz w:val="22"/>
        </w:rPr>
      </w:pPr>
      <w:r w:rsidRPr="001375F2">
        <w:rPr>
          <w:b w:val="0"/>
          <w:color w:val="auto"/>
          <w:sz w:val="22"/>
        </w:rPr>
        <w:t xml:space="preserve">It is the Department’s belief that monthly contacts with available youth in care are being made; however, incomplete or inaccurate data entry into CWS/CMS may not accurately reflect the percentage rate. The Placement Division has seen significant staffing changes as a result of operational expansion, as well as some turnover </w:t>
      </w:r>
      <w:r w:rsidR="00A56CE5" w:rsidRPr="001375F2">
        <w:rPr>
          <w:b w:val="0"/>
          <w:color w:val="auto"/>
          <w:sz w:val="22"/>
          <w:szCs w:val="28"/>
        </w:rPr>
        <w:t>staffing;</w:t>
      </w:r>
      <w:r w:rsidRPr="001375F2">
        <w:rPr>
          <w:b w:val="0"/>
          <w:color w:val="auto"/>
          <w:sz w:val="22"/>
        </w:rPr>
        <w:t xml:space="preserve"> as such CWS/CMS training has yet to be provided to all staff. Probation is focused on the training needs and is working to ensure that staff is trained in </w:t>
      </w:r>
      <w:r w:rsidRPr="001375F2">
        <w:rPr>
          <w:b w:val="0"/>
          <w:color w:val="auto"/>
          <w:sz w:val="22"/>
        </w:rPr>
        <w:lastRenderedPageBreak/>
        <w:t xml:space="preserve">CWS/CMS, and all available resources to meet this measure are utilized. Another factor impacting the outcome is youth who have run away from placement which results in the inability of the officer to contact them skews the performance. </w:t>
      </w:r>
    </w:p>
    <w:p w:rsidR="00D86A11" w:rsidRPr="001375F2" w:rsidRDefault="00D86A11" w:rsidP="00D86A11">
      <w:pPr>
        <w:pStyle w:val="Heading3"/>
        <w:spacing w:line="276" w:lineRule="auto"/>
        <w:rPr>
          <w:b w:val="0"/>
          <w:color w:val="auto"/>
          <w:sz w:val="22"/>
        </w:rPr>
      </w:pPr>
      <w:r>
        <w:rPr>
          <w:b w:val="0"/>
          <w:color w:val="auto"/>
          <w:sz w:val="22"/>
        </w:rPr>
        <w:t xml:space="preserve">The </w:t>
      </w:r>
      <w:r w:rsidRPr="001375F2">
        <w:rPr>
          <w:b w:val="0"/>
          <w:color w:val="auto"/>
          <w:sz w:val="22"/>
        </w:rPr>
        <w:t xml:space="preserve">recent increases in performance in monthly visits in residence in part can be attributed to increased staffing and caseload structuring, which has improved officers’ ability to make face to face contact with the youth. </w:t>
      </w:r>
      <w:r>
        <w:rPr>
          <w:b w:val="0"/>
          <w:color w:val="auto"/>
          <w:sz w:val="22"/>
        </w:rPr>
        <w:t>C</w:t>
      </w:r>
      <w:r w:rsidRPr="001375F2">
        <w:rPr>
          <w:b w:val="0"/>
          <w:color w:val="auto"/>
          <w:sz w:val="22"/>
        </w:rPr>
        <w:t>aseloads were reduced as a result of increased caseload responsibilities</w:t>
      </w:r>
      <w:r>
        <w:rPr>
          <w:b w:val="0"/>
          <w:color w:val="auto"/>
          <w:sz w:val="22"/>
        </w:rPr>
        <w:t>. A</w:t>
      </w:r>
      <w:r w:rsidRPr="001375F2">
        <w:rPr>
          <w:b w:val="0"/>
          <w:color w:val="auto"/>
          <w:sz w:val="22"/>
        </w:rPr>
        <w:t>ssignment practices were restructured so officers were assigned to oversee the supervision of youth in designated group homes, which allowed officers to maximize travel time and eliminate the redundancy of having different officers visit the same facilities. Caseloads were di</w:t>
      </w:r>
      <w:r>
        <w:rPr>
          <w:b w:val="0"/>
          <w:color w:val="auto"/>
          <w:sz w:val="22"/>
        </w:rPr>
        <w:t xml:space="preserve">vided into specialty categories (i.e. </w:t>
      </w:r>
      <w:r w:rsidRPr="001375F2">
        <w:rPr>
          <w:b w:val="0"/>
          <w:color w:val="auto"/>
          <w:sz w:val="22"/>
        </w:rPr>
        <w:t>Extended Foster Care, Dual Jurisdiction, relative placement, and group home/res</w:t>
      </w:r>
      <w:r>
        <w:rPr>
          <w:b w:val="0"/>
          <w:color w:val="auto"/>
          <w:sz w:val="22"/>
        </w:rPr>
        <w:t xml:space="preserve">idential care) which </w:t>
      </w:r>
      <w:r w:rsidRPr="001375F2">
        <w:rPr>
          <w:b w:val="0"/>
          <w:color w:val="auto"/>
          <w:sz w:val="22"/>
        </w:rPr>
        <w:t xml:space="preserve">allowed officers maximum ability to supervise and visit youth in the residence.   </w:t>
      </w:r>
    </w:p>
    <w:p w:rsidR="00D86A11" w:rsidRPr="00AF204C" w:rsidRDefault="00121985" w:rsidP="00D86A11">
      <w:pPr>
        <w:pStyle w:val="Heading1"/>
        <w:rPr>
          <w:color w:val="F6872B"/>
          <w:sz w:val="24"/>
        </w:rPr>
      </w:pPr>
      <w:r w:rsidRPr="00121985">
        <w:rPr>
          <w:color w:val="F6872B"/>
          <w:sz w:val="24"/>
        </w:rPr>
        <w:t>4B Least Restrictive Placement (Entries First Placement)</w:t>
      </w:r>
    </w:p>
    <w:tbl>
      <w:tblPr>
        <w:tblW w:w="9446" w:type="dxa"/>
        <w:tblBorders>
          <w:top w:val="single" w:sz="18" w:space="0" w:color="F6872B"/>
          <w:bottom w:val="single" w:sz="18" w:space="0" w:color="F6872B"/>
        </w:tblBorders>
        <w:tblLook w:val="04A0" w:firstRow="1" w:lastRow="0" w:firstColumn="1" w:lastColumn="0" w:noHBand="0" w:noVBand="1"/>
      </w:tblPr>
      <w:tblGrid>
        <w:gridCol w:w="3168"/>
        <w:gridCol w:w="917"/>
        <w:gridCol w:w="917"/>
        <w:gridCol w:w="917"/>
        <w:gridCol w:w="849"/>
        <w:gridCol w:w="917"/>
        <w:gridCol w:w="917"/>
        <w:gridCol w:w="844"/>
      </w:tblGrid>
      <w:tr w:rsidR="00D86A11" w:rsidRPr="000055D1">
        <w:trPr>
          <w:trHeight w:val="297"/>
        </w:trPr>
        <w:tc>
          <w:tcPr>
            <w:tcW w:w="9446" w:type="dxa"/>
            <w:gridSpan w:val="8"/>
            <w:shd w:val="clear" w:color="auto" w:fill="013161"/>
            <w:noWrap/>
          </w:tcPr>
          <w:p w:rsidR="00D86A11" w:rsidRPr="000055D1" w:rsidRDefault="00D86A11" w:rsidP="00D86A11">
            <w:pPr>
              <w:spacing w:after="0"/>
              <w:jc w:val="center"/>
              <w:rPr>
                <w:rFonts w:ascii="Calibri" w:hAnsi="Calibri" w:cs="Calibri"/>
                <w:b/>
                <w:color w:val="FFFFFF"/>
              </w:rPr>
            </w:pPr>
            <w:r>
              <w:rPr>
                <w:rFonts w:ascii="Calibri" w:hAnsi="Calibri" w:cs="Calibri"/>
                <w:b/>
                <w:color w:val="FFFFFF"/>
                <w:sz w:val="24"/>
              </w:rPr>
              <w:t>Exhibit 86. County of San Diego</w:t>
            </w:r>
            <w:r w:rsidRPr="00E415BF">
              <w:rPr>
                <w:rFonts w:ascii="Calibri" w:hAnsi="Calibri" w:cs="Calibri"/>
                <w:b/>
                <w:color w:val="FFFFFF"/>
                <w:sz w:val="24"/>
              </w:rPr>
              <w:t xml:space="preserve"> Probation - Least Restrictive Placement for Children’s First Placement</w:t>
            </w:r>
          </w:p>
        </w:tc>
      </w:tr>
      <w:tr w:rsidR="00D86A11" w:rsidRPr="000055D1">
        <w:trPr>
          <w:trHeight w:val="297"/>
        </w:trPr>
        <w:tc>
          <w:tcPr>
            <w:tcW w:w="3168" w:type="dxa"/>
            <w:shd w:val="clear" w:color="auto" w:fill="013161"/>
            <w:noWrap/>
          </w:tcPr>
          <w:p w:rsidR="00D86A11" w:rsidRPr="00721EF1" w:rsidRDefault="00D86A11" w:rsidP="00D86A11">
            <w:pPr>
              <w:spacing w:after="0"/>
              <w:rPr>
                <w:rFonts w:ascii="Calibri" w:hAnsi="Calibri" w:cs="Calibri"/>
                <w:b/>
                <w:color w:val="FFFFFF"/>
              </w:rPr>
            </w:pPr>
          </w:p>
        </w:tc>
        <w:tc>
          <w:tcPr>
            <w:tcW w:w="917" w:type="dxa"/>
            <w:shd w:val="clear" w:color="auto" w:fill="013161"/>
            <w:noWrap/>
            <w:vAlign w:val="center"/>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2010</w:t>
            </w:r>
          </w:p>
        </w:tc>
        <w:tc>
          <w:tcPr>
            <w:tcW w:w="917" w:type="dxa"/>
            <w:shd w:val="clear" w:color="auto" w:fill="013161"/>
            <w:noWrap/>
            <w:vAlign w:val="center"/>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2011</w:t>
            </w:r>
          </w:p>
        </w:tc>
        <w:tc>
          <w:tcPr>
            <w:tcW w:w="917" w:type="dxa"/>
            <w:shd w:val="clear" w:color="auto" w:fill="013161"/>
            <w:noWrap/>
            <w:vAlign w:val="center"/>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2012</w:t>
            </w:r>
          </w:p>
        </w:tc>
        <w:tc>
          <w:tcPr>
            <w:tcW w:w="849" w:type="dxa"/>
            <w:shd w:val="clear" w:color="auto" w:fill="013161"/>
            <w:noWrap/>
            <w:vAlign w:val="center"/>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2013</w:t>
            </w:r>
          </w:p>
        </w:tc>
        <w:tc>
          <w:tcPr>
            <w:tcW w:w="917" w:type="dxa"/>
            <w:shd w:val="clear" w:color="auto" w:fill="013161"/>
            <w:noWrap/>
            <w:vAlign w:val="center"/>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2014</w:t>
            </w:r>
          </w:p>
        </w:tc>
        <w:tc>
          <w:tcPr>
            <w:tcW w:w="917" w:type="dxa"/>
            <w:shd w:val="clear" w:color="auto" w:fill="013161"/>
            <w:noWrap/>
            <w:vAlign w:val="center"/>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2015</w:t>
            </w:r>
          </w:p>
        </w:tc>
        <w:tc>
          <w:tcPr>
            <w:tcW w:w="844" w:type="dxa"/>
            <w:shd w:val="clear" w:color="auto" w:fill="013161"/>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CA</w:t>
            </w:r>
          </w:p>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2015</w:t>
            </w:r>
          </w:p>
        </w:tc>
      </w:tr>
      <w:tr w:rsidR="00D86A11" w:rsidRPr="000055D1" w:rsidTr="001240D5">
        <w:trPr>
          <w:trHeight w:val="297"/>
        </w:trPr>
        <w:tc>
          <w:tcPr>
            <w:tcW w:w="3168" w:type="dxa"/>
            <w:shd w:val="clear" w:color="auto" w:fill="auto"/>
            <w:noWrap/>
            <w:vAlign w:val="center"/>
          </w:tcPr>
          <w:p w:rsidR="00D86A11" w:rsidRPr="00B129D9" w:rsidRDefault="00D86A11" w:rsidP="001240D5">
            <w:pPr>
              <w:spacing w:after="0"/>
              <w:rPr>
                <w:rFonts w:ascii="Calibri" w:hAnsi="Calibri" w:cs="Calibri"/>
                <w:b/>
                <w:color w:val="013161"/>
                <w:sz w:val="20"/>
              </w:rPr>
            </w:pPr>
            <w:r w:rsidRPr="00B129D9">
              <w:rPr>
                <w:rFonts w:ascii="Calibri" w:hAnsi="Calibri" w:cs="Calibri"/>
                <w:b/>
                <w:color w:val="013161"/>
                <w:sz w:val="20"/>
              </w:rPr>
              <w:t>First placement: relative (%)</w:t>
            </w:r>
          </w:p>
        </w:tc>
        <w:tc>
          <w:tcPr>
            <w:tcW w:w="917" w:type="dxa"/>
            <w:shd w:val="clear" w:color="auto" w:fill="auto"/>
            <w:noWrap/>
            <w:vAlign w:val="center"/>
          </w:tcPr>
          <w:p w:rsidR="00D86A11" w:rsidRPr="00B129D9" w:rsidRDefault="00D86A11" w:rsidP="001240D5">
            <w:pPr>
              <w:spacing w:after="0"/>
              <w:jc w:val="center"/>
              <w:rPr>
                <w:rFonts w:ascii="Calibri" w:hAnsi="Calibri" w:cs="Calibri"/>
                <w:b/>
                <w:color w:val="013161"/>
                <w:sz w:val="20"/>
              </w:rPr>
            </w:pPr>
            <w:r w:rsidRPr="00B129D9">
              <w:rPr>
                <w:rFonts w:ascii="Calibri" w:hAnsi="Calibri" w:cs="Calibri"/>
                <w:b/>
                <w:color w:val="013161"/>
                <w:sz w:val="20"/>
              </w:rPr>
              <w:t>36.8</w:t>
            </w:r>
          </w:p>
        </w:tc>
        <w:tc>
          <w:tcPr>
            <w:tcW w:w="917" w:type="dxa"/>
            <w:shd w:val="clear" w:color="auto" w:fill="auto"/>
            <w:noWrap/>
            <w:vAlign w:val="center"/>
          </w:tcPr>
          <w:p w:rsidR="00D86A11" w:rsidRPr="00B129D9" w:rsidRDefault="00D86A11" w:rsidP="001240D5">
            <w:pPr>
              <w:spacing w:after="0"/>
              <w:jc w:val="center"/>
              <w:rPr>
                <w:rFonts w:ascii="Calibri" w:hAnsi="Calibri" w:cs="Calibri"/>
                <w:b/>
                <w:color w:val="013161"/>
                <w:sz w:val="20"/>
              </w:rPr>
            </w:pPr>
            <w:r w:rsidRPr="00B129D9">
              <w:rPr>
                <w:rFonts w:ascii="Calibri" w:hAnsi="Calibri" w:cs="Calibri"/>
                <w:b/>
                <w:color w:val="013161"/>
                <w:sz w:val="20"/>
              </w:rPr>
              <w:t>39.7</w:t>
            </w:r>
          </w:p>
        </w:tc>
        <w:tc>
          <w:tcPr>
            <w:tcW w:w="917" w:type="dxa"/>
            <w:shd w:val="clear" w:color="auto" w:fill="auto"/>
            <w:noWrap/>
            <w:vAlign w:val="center"/>
          </w:tcPr>
          <w:p w:rsidR="00D86A11" w:rsidRPr="00B129D9" w:rsidRDefault="00D86A11" w:rsidP="001240D5">
            <w:pPr>
              <w:spacing w:after="0"/>
              <w:jc w:val="center"/>
              <w:rPr>
                <w:rFonts w:ascii="Calibri" w:hAnsi="Calibri" w:cs="Calibri"/>
                <w:b/>
                <w:color w:val="013161"/>
                <w:sz w:val="20"/>
              </w:rPr>
            </w:pPr>
            <w:r w:rsidRPr="00B129D9">
              <w:rPr>
                <w:rFonts w:ascii="Calibri" w:hAnsi="Calibri" w:cs="Calibri"/>
                <w:b/>
                <w:color w:val="013161"/>
                <w:sz w:val="20"/>
              </w:rPr>
              <w:t>35.0</w:t>
            </w:r>
          </w:p>
        </w:tc>
        <w:tc>
          <w:tcPr>
            <w:tcW w:w="849" w:type="dxa"/>
            <w:shd w:val="clear" w:color="auto" w:fill="auto"/>
            <w:noWrap/>
            <w:vAlign w:val="center"/>
          </w:tcPr>
          <w:p w:rsidR="00D86A11" w:rsidRPr="00B129D9" w:rsidRDefault="00D86A11" w:rsidP="001240D5">
            <w:pPr>
              <w:spacing w:after="0"/>
              <w:jc w:val="center"/>
              <w:rPr>
                <w:rFonts w:ascii="Calibri" w:hAnsi="Calibri" w:cs="Calibri"/>
                <w:b/>
                <w:color w:val="013161"/>
                <w:sz w:val="20"/>
              </w:rPr>
            </w:pPr>
            <w:r w:rsidRPr="00B129D9">
              <w:rPr>
                <w:rFonts w:ascii="Calibri" w:hAnsi="Calibri" w:cs="Calibri"/>
                <w:b/>
                <w:color w:val="013161"/>
                <w:sz w:val="20"/>
              </w:rPr>
              <w:t>17.1</w:t>
            </w:r>
          </w:p>
        </w:tc>
        <w:tc>
          <w:tcPr>
            <w:tcW w:w="917" w:type="dxa"/>
            <w:shd w:val="clear" w:color="auto" w:fill="auto"/>
            <w:noWrap/>
            <w:vAlign w:val="center"/>
          </w:tcPr>
          <w:p w:rsidR="00D86A11" w:rsidRPr="00B129D9" w:rsidRDefault="00D86A11" w:rsidP="001240D5">
            <w:pPr>
              <w:spacing w:after="0"/>
              <w:jc w:val="center"/>
              <w:rPr>
                <w:rFonts w:ascii="Calibri" w:hAnsi="Calibri" w:cs="Calibri"/>
                <w:b/>
                <w:color w:val="013161"/>
                <w:sz w:val="20"/>
              </w:rPr>
            </w:pPr>
            <w:r w:rsidRPr="00B129D9">
              <w:rPr>
                <w:rFonts w:ascii="Calibri" w:hAnsi="Calibri" w:cs="Calibri"/>
                <w:b/>
                <w:color w:val="013161"/>
                <w:sz w:val="20"/>
              </w:rPr>
              <w:t>23.1</w:t>
            </w:r>
          </w:p>
        </w:tc>
        <w:tc>
          <w:tcPr>
            <w:tcW w:w="917" w:type="dxa"/>
            <w:shd w:val="clear" w:color="auto" w:fill="auto"/>
            <w:noWrap/>
            <w:vAlign w:val="center"/>
          </w:tcPr>
          <w:p w:rsidR="00D86A11" w:rsidRPr="00B129D9" w:rsidRDefault="00D86A11" w:rsidP="001240D5">
            <w:pPr>
              <w:spacing w:after="0"/>
              <w:jc w:val="center"/>
              <w:rPr>
                <w:rFonts w:ascii="Calibri" w:hAnsi="Calibri" w:cs="Calibri"/>
                <w:b/>
                <w:color w:val="013161"/>
                <w:sz w:val="20"/>
              </w:rPr>
            </w:pPr>
            <w:r w:rsidRPr="00B129D9">
              <w:rPr>
                <w:rFonts w:ascii="Calibri" w:hAnsi="Calibri" w:cs="Calibri"/>
                <w:b/>
                <w:color w:val="013161"/>
                <w:sz w:val="20"/>
              </w:rPr>
              <w:t>2.2</w:t>
            </w:r>
          </w:p>
        </w:tc>
        <w:tc>
          <w:tcPr>
            <w:tcW w:w="844" w:type="dxa"/>
            <w:shd w:val="clear" w:color="auto" w:fill="auto"/>
            <w:vAlign w:val="center"/>
          </w:tcPr>
          <w:p w:rsidR="00D86A11" w:rsidRPr="00B129D9" w:rsidRDefault="00D86A11" w:rsidP="001240D5">
            <w:pPr>
              <w:spacing w:after="0"/>
              <w:jc w:val="center"/>
              <w:rPr>
                <w:rFonts w:ascii="Calibri" w:hAnsi="Calibri" w:cs="Calibri"/>
                <w:b/>
                <w:color w:val="2E7029"/>
                <w:sz w:val="20"/>
              </w:rPr>
            </w:pPr>
            <w:r w:rsidRPr="00B129D9">
              <w:rPr>
                <w:rFonts w:ascii="Calibri" w:hAnsi="Calibri" w:cs="Calibri"/>
                <w:b/>
                <w:color w:val="2E7029"/>
                <w:sz w:val="20"/>
              </w:rPr>
              <w:t>2.9</w:t>
            </w:r>
          </w:p>
        </w:tc>
      </w:tr>
      <w:tr w:rsidR="00D86A11" w:rsidRPr="000055D1" w:rsidTr="001240D5">
        <w:trPr>
          <w:trHeight w:val="297"/>
        </w:trPr>
        <w:tc>
          <w:tcPr>
            <w:tcW w:w="3168" w:type="dxa"/>
            <w:shd w:val="clear" w:color="auto" w:fill="DBE5F1"/>
            <w:noWrap/>
            <w:vAlign w:val="center"/>
          </w:tcPr>
          <w:p w:rsidR="00D86A11" w:rsidRPr="00B129D9" w:rsidRDefault="00D86A11" w:rsidP="001240D5">
            <w:pPr>
              <w:spacing w:after="0"/>
              <w:rPr>
                <w:rFonts w:ascii="Calibri" w:hAnsi="Calibri" w:cs="Calibri"/>
                <w:b/>
                <w:color w:val="013161"/>
                <w:sz w:val="20"/>
              </w:rPr>
            </w:pPr>
            <w:r w:rsidRPr="00B129D9">
              <w:rPr>
                <w:rFonts w:ascii="Calibri" w:hAnsi="Calibri" w:cs="Calibri"/>
                <w:b/>
                <w:color w:val="013161"/>
                <w:sz w:val="20"/>
              </w:rPr>
              <w:t>First placement: relative (n)</w:t>
            </w:r>
          </w:p>
        </w:tc>
        <w:tc>
          <w:tcPr>
            <w:tcW w:w="917" w:type="dxa"/>
            <w:shd w:val="clear" w:color="auto" w:fill="DBE5F1"/>
            <w:noWrap/>
            <w:vAlign w:val="center"/>
          </w:tcPr>
          <w:p w:rsidR="00D86A11" w:rsidRPr="00B129D9" w:rsidRDefault="00D86A11" w:rsidP="001240D5">
            <w:pPr>
              <w:spacing w:after="0"/>
              <w:jc w:val="center"/>
              <w:rPr>
                <w:rFonts w:ascii="Calibri" w:hAnsi="Calibri" w:cs="Calibri"/>
                <w:b/>
                <w:color w:val="013161"/>
                <w:sz w:val="20"/>
              </w:rPr>
            </w:pPr>
            <w:r w:rsidRPr="00B129D9">
              <w:rPr>
                <w:rFonts w:ascii="Calibri" w:hAnsi="Calibri" w:cs="Calibri"/>
                <w:b/>
                <w:color w:val="013161"/>
                <w:sz w:val="20"/>
              </w:rPr>
              <w:t>46</w:t>
            </w:r>
          </w:p>
        </w:tc>
        <w:tc>
          <w:tcPr>
            <w:tcW w:w="917" w:type="dxa"/>
            <w:shd w:val="clear" w:color="auto" w:fill="DBE5F1"/>
            <w:noWrap/>
            <w:vAlign w:val="center"/>
          </w:tcPr>
          <w:p w:rsidR="00D86A11" w:rsidRPr="00B129D9" w:rsidRDefault="00D86A11" w:rsidP="001240D5">
            <w:pPr>
              <w:spacing w:after="0"/>
              <w:jc w:val="center"/>
              <w:rPr>
                <w:rFonts w:ascii="Calibri" w:hAnsi="Calibri" w:cs="Calibri"/>
                <w:b/>
                <w:color w:val="013161"/>
                <w:sz w:val="20"/>
              </w:rPr>
            </w:pPr>
            <w:r w:rsidRPr="00B129D9">
              <w:rPr>
                <w:rFonts w:ascii="Calibri" w:hAnsi="Calibri" w:cs="Calibri"/>
                <w:b/>
                <w:color w:val="013161"/>
                <w:sz w:val="20"/>
              </w:rPr>
              <w:t>46</w:t>
            </w:r>
          </w:p>
        </w:tc>
        <w:tc>
          <w:tcPr>
            <w:tcW w:w="917" w:type="dxa"/>
            <w:shd w:val="clear" w:color="auto" w:fill="DBE5F1"/>
            <w:noWrap/>
            <w:vAlign w:val="center"/>
          </w:tcPr>
          <w:p w:rsidR="00D86A11" w:rsidRPr="00B129D9" w:rsidRDefault="00D86A11" w:rsidP="001240D5">
            <w:pPr>
              <w:spacing w:after="0"/>
              <w:jc w:val="center"/>
              <w:rPr>
                <w:rFonts w:ascii="Calibri" w:hAnsi="Calibri" w:cs="Calibri"/>
                <w:b/>
                <w:color w:val="013161"/>
                <w:sz w:val="20"/>
              </w:rPr>
            </w:pPr>
            <w:r w:rsidRPr="00B129D9">
              <w:rPr>
                <w:rFonts w:ascii="Calibri" w:hAnsi="Calibri" w:cs="Calibri"/>
                <w:b/>
                <w:color w:val="013161"/>
                <w:sz w:val="20"/>
              </w:rPr>
              <w:t>49</w:t>
            </w:r>
          </w:p>
        </w:tc>
        <w:tc>
          <w:tcPr>
            <w:tcW w:w="849" w:type="dxa"/>
            <w:shd w:val="clear" w:color="auto" w:fill="DBE5F1"/>
            <w:noWrap/>
            <w:vAlign w:val="center"/>
          </w:tcPr>
          <w:p w:rsidR="00D86A11" w:rsidRPr="00B129D9" w:rsidRDefault="00D86A11" w:rsidP="001240D5">
            <w:pPr>
              <w:spacing w:after="0"/>
              <w:jc w:val="center"/>
              <w:rPr>
                <w:rFonts w:ascii="Calibri" w:hAnsi="Calibri" w:cs="Calibri"/>
                <w:b/>
                <w:color w:val="013161"/>
                <w:sz w:val="20"/>
              </w:rPr>
            </w:pPr>
            <w:r w:rsidRPr="00B129D9">
              <w:rPr>
                <w:rFonts w:ascii="Calibri" w:hAnsi="Calibri" w:cs="Calibri"/>
                <w:b/>
                <w:color w:val="013161"/>
                <w:sz w:val="20"/>
              </w:rPr>
              <w:t>25</w:t>
            </w:r>
          </w:p>
        </w:tc>
        <w:tc>
          <w:tcPr>
            <w:tcW w:w="917" w:type="dxa"/>
            <w:shd w:val="clear" w:color="auto" w:fill="DBE5F1"/>
            <w:noWrap/>
            <w:vAlign w:val="center"/>
          </w:tcPr>
          <w:p w:rsidR="00D86A11" w:rsidRPr="00B129D9" w:rsidRDefault="00D86A11" w:rsidP="001240D5">
            <w:pPr>
              <w:spacing w:after="0"/>
              <w:jc w:val="center"/>
              <w:rPr>
                <w:rFonts w:ascii="Calibri" w:hAnsi="Calibri" w:cs="Calibri"/>
                <w:b/>
                <w:color w:val="013161"/>
                <w:sz w:val="20"/>
              </w:rPr>
            </w:pPr>
            <w:r w:rsidRPr="00B129D9">
              <w:rPr>
                <w:rFonts w:ascii="Calibri" w:hAnsi="Calibri" w:cs="Calibri"/>
                <w:b/>
                <w:color w:val="013161"/>
                <w:sz w:val="20"/>
              </w:rPr>
              <w:t>36</w:t>
            </w:r>
          </w:p>
        </w:tc>
        <w:tc>
          <w:tcPr>
            <w:tcW w:w="917" w:type="dxa"/>
            <w:shd w:val="clear" w:color="auto" w:fill="DBE5F1"/>
            <w:noWrap/>
            <w:vAlign w:val="center"/>
          </w:tcPr>
          <w:p w:rsidR="00D86A11" w:rsidRPr="00B129D9" w:rsidRDefault="00D86A11" w:rsidP="001240D5">
            <w:pPr>
              <w:spacing w:after="0"/>
              <w:jc w:val="center"/>
              <w:rPr>
                <w:rFonts w:ascii="Calibri" w:hAnsi="Calibri" w:cs="Calibri"/>
                <w:b/>
                <w:color w:val="013161"/>
                <w:sz w:val="20"/>
              </w:rPr>
            </w:pPr>
            <w:r w:rsidRPr="00B129D9">
              <w:rPr>
                <w:rFonts w:ascii="Calibri" w:hAnsi="Calibri" w:cs="Calibri"/>
                <w:b/>
                <w:color w:val="013161"/>
                <w:sz w:val="20"/>
              </w:rPr>
              <w:t>2</w:t>
            </w:r>
          </w:p>
        </w:tc>
        <w:tc>
          <w:tcPr>
            <w:tcW w:w="844" w:type="dxa"/>
            <w:shd w:val="clear" w:color="auto" w:fill="DBE5F1"/>
            <w:vAlign w:val="center"/>
          </w:tcPr>
          <w:p w:rsidR="00D86A11" w:rsidRPr="00B129D9" w:rsidRDefault="00D86A11" w:rsidP="001240D5">
            <w:pPr>
              <w:spacing w:after="0" w:line="240" w:lineRule="auto"/>
              <w:jc w:val="center"/>
              <w:rPr>
                <w:rFonts w:ascii="Calibri" w:eastAsia="Times New Roman" w:hAnsi="Calibri" w:cs="Arial"/>
                <w:b/>
                <w:color w:val="2E7029"/>
                <w:sz w:val="20"/>
              </w:rPr>
            </w:pPr>
            <w:r w:rsidRPr="00B129D9">
              <w:rPr>
                <w:rFonts w:ascii="Calibri" w:eastAsia="Times New Roman" w:hAnsi="Calibri" w:cs="Arial"/>
                <w:b/>
                <w:color w:val="2E7029"/>
                <w:sz w:val="20"/>
              </w:rPr>
              <w:t>-</w:t>
            </w:r>
          </w:p>
        </w:tc>
      </w:tr>
      <w:tr w:rsidR="00D86A11" w:rsidRPr="000055D1" w:rsidTr="001240D5">
        <w:trPr>
          <w:trHeight w:val="297"/>
        </w:trPr>
        <w:tc>
          <w:tcPr>
            <w:tcW w:w="3168" w:type="dxa"/>
            <w:shd w:val="clear" w:color="auto" w:fill="auto"/>
            <w:noWrap/>
            <w:vAlign w:val="center"/>
          </w:tcPr>
          <w:p w:rsidR="00D86A11" w:rsidRPr="00B129D9" w:rsidRDefault="00D86A11" w:rsidP="001240D5">
            <w:pPr>
              <w:spacing w:after="0" w:line="240" w:lineRule="auto"/>
              <w:rPr>
                <w:rFonts w:ascii="Calibri" w:eastAsia="Times New Roman" w:hAnsi="Calibri" w:cs="Arial"/>
                <w:b/>
                <w:color w:val="013161"/>
                <w:sz w:val="20"/>
              </w:rPr>
            </w:pPr>
            <w:r w:rsidRPr="00B129D9">
              <w:rPr>
                <w:rFonts w:ascii="Calibri" w:eastAsia="Times New Roman" w:hAnsi="Calibri" w:cs="Arial"/>
                <w:b/>
                <w:color w:val="013161"/>
                <w:sz w:val="20"/>
              </w:rPr>
              <w:t>First placement: foster home (%)</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849"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844" w:type="dxa"/>
            <w:shd w:val="clear" w:color="auto" w:fill="auto"/>
            <w:vAlign w:val="center"/>
          </w:tcPr>
          <w:p w:rsidR="00D86A11" w:rsidRPr="00B129D9" w:rsidRDefault="00D86A11" w:rsidP="001240D5">
            <w:pPr>
              <w:spacing w:after="0" w:line="240" w:lineRule="auto"/>
              <w:jc w:val="center"/>
              <w:rPr>
                <w:rFonts w:ascii="Calibri" w:eastAsia="Times New Roman" w:hAnsi="Calibri" w:cs="Arial"/>
                <w:b/>
                <w:color w:val="2E7029"/>
                <w:sz w:val="20"/>
              </w:rPr>
            </w:pPr>
            <w:r w:rsidRPr="00B129D9">
              <w:rPr>
                <w:rFonts w:ascii="Calibri" w:eastAsia="Times New Roman" w:hAnsi="Calibri" w:cs="Arial"/>
                <w:b/>
                <w:color w:val="2E7029"/>
                <w:sz w:val="20"/>
              </w:rPr>
              <w:t>.3</w:t>
            </w:r>
          </w:p>
        </w:tc>
      </w:tr>
      <w:tr w:rsidR="00D86A11" w:rsidRPr="000055D1" w:rsidTr="001240D5">
        <w:trPr>
          <w:trHeight w:val="297"/>
        </w:trPr>
        <w:tc>
          <w:tcPr>
            <w:tcW w:w="3168" w:type="dxa"/>
            <w:shd w:val="clear" w:color="auto" w:fill="DBE5F1"/>
            <w:noWrap/>
            <w:vAlign w:val="center"/>
          </w:tcPr>
          <w:p w:rsidR="00D86A11" w:rsidRPr="00B129D9" w:rsidRDefault="00D86A11" w:rsidP="001240D5">
            <w:pPr>
              <w:spacing w:after="0" w:line="240" w:lineRule="auto"/>
              <w:rPr>
                <w:rFonts w:ascii="Calibri" w:eastAsia="Times New Roman" w:hAnsi="Calibri" w:cs="Arial"/>
                <w:b/>
                <w:color w:val="013161"/>
                <w:sz w:val="20"/>
              </w:rPr>
            </w:pPr>
            <w:r w:rsidRPr="00B129D9">
              <w:rPr>
                <w:rFonts w:ascii="Calibri" w:eastAsia="Times New Roman" w:hAnsi="Calibri" w:cs="Arial"/>
                <w:b/>
                <w:color w:val="013161"/>
                <w:sz w:val="20"/>
              </w:rPr>
              <w:t>First placement: foster home (n)</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849"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844" w:type="dxa"/>
            <w:shd w:val="clear" w:color="auto" w:fill="DBE5F1"/>
            <w:vAlign w:val="center"/>
          </w:tcPr>
          <w:p w:rsidR="00D86A11" w:rsidRPr="00B129D9" w:rsidRDefault="00D86A11" w:rsidP="001240D5">
            <w:pPr>
              <w:spacing w:after="0" w:line="240" w:lineRule="auto"/>
              <w:jc w:val="center"/>
              <w:rPr>
                <w:rFonts w:ascii="Calibri" w:eastAsia="Times New Roman" w:hAnsi="Calibri" w:cs="Arial"/>
                <w:b/>
                <w:color w:val="2E7029"/>
                <w:sz w:val="20"/>
              </w:rPr>
            </w:pPr>
            <w:r w:rsidRPr="00B129D9">
              <w:rPr>
                <w:rFonts w:ascii="Calibri" w:eastAsia="Times New Roman" w:hAnsi="Calibri" w:cs="Arial"/>
                <w:b/>
                <w:color w:val="2E7029"/>
                <w:sz w:val="20"/>
              </w:rPr>
              <w:t>-</w:t>
            </w:r>
          </w:p>
        </w:tc>
      </w:tr>
      <w:tr w:rsidR="00D86A11" w:rsidRPr="000055D1" w:rsidTr="001240D5">
        <w:trPr>
          <w:trHeight w:val="297"/>
        </w:trPr>
        <w:tc>
          <w:tcPr>
            <w:tcW w:w="3168" w:type="dxa"/>
            <w:shd w:val="clear" w:color="auto" w:fill="auto"/>
            <w:noWrap/>
            <w:vAlign w:val="center"/>
          </w:tcPr>
          <w:p w:rsidR="00D86A11" w:rsidRPr="00B129D9" w:rsidRDefault="00D86A11" w:rsidP="001240D5">
            <w:pPr>
              <w:spacing w:after="0" w:line="240" w:lineRule="auto"/>
              <w:rPr>
                <w:rFonts w:ascii="Calibri" w:eastAsia="Times New Roman" w:hAnsi="Calibri" w:cs="Arial"/>
                <w:b/>
                <w:color w:val="013161"/>
                <w:sz w:val="20"/>
              </w:rPr>
            </w:pPr>
            <w:r w:rsidRPr="00B129D9">
              <w:rPr>
                <w:rFonts w:ascii="Calibri" w:eastAsia="Times New Roman" w:hAnsi="Calibri" w:cs="Arial"/>
                <w:b/>
                <w:color w:val="013161"/>
                <w:sz w:val="20"/>
              </w:rPr>
              <w:t>First placement: foster family agency home (FFA) (%)</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849"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844" w:type="dxa"/>
            <w:shd w:val="clear" w:color="auto" w:fill="auto"/>
            <w:vAlign w:val="center"/>
          </w:tcPr>
          <w:p w:rsidR="00D86A11" w:rsidRPr="00B129D9" w:rsidRDefault="00D86A11" w:rsidP="001240D5">
            <w:pPr>
              <w:spacing w:after="0" w:line="240" w:lineRule="auto"/>
              <w:jc w:val="center"/>
              <w:rPr>
                <w:rFonts w:ascii="Calibri" w:eastAsia="Times New Roman" w:hAnsi="Calibri" w:cs="Arial"/>
                <w:b/>
                <w:color w:val="2E7029"/>
                <w:sz w:val="20"/>
              </w:rPr>
            </w:pPr>
          </w:p>
          <w:p w:rsidR="00D86A11" w:rsidRPr="00B129D9" w:rsidRDefault="00D86A11" w:rsidP="001240D5">
            <w:pPr>
              <w:spacing w:after="0" w:line="240" w:lineRule="auto"/>
              <w:jc w:val="center"/>
              <w:rPr>
                <w:rFonts w:ascii="Calibri" w:eastAsia="Times New Roman" w:hAnsi="Calibri" w:cs="Arial"/>
                <w:b/>
                <w:color w:val="2E7029"/>
                <w:sz w:val="20"/>
              </w:rPr>
            </w:pPr>
            <w:r w:rsidRPr="00B129D9">
              <w:rPr>
                <w:rFonts w:ascii="Calibri" w:eastAsia="Times New Roman" w:hAnsi="Calibri" w:cs="Arial"/>
                <w:b/>
                <w:color w:val="2E7029"/>
                <w:sz w:val="20"/>
              </w:rPr>
              <w:t>.4</w:t>
            </w:r>
          </w:p>
        </w:tc>
      </w:tr>
      <w:tr w:rsidR="00D86A11" w:rsidRPr="000055D1" w:rsidTr="001240D5">
        <w:trPr>
          <w:trHeight w:val="297"/>
        </w:trPr>
        <w:tc>
          <w:tcPr>
            <w:tcW w:w="3168" w:type="dxa"/>
            <w:shd w:val="clear" w:color="auto" w:fill="DBE5F1"/>
            <w:noWrap/>
            <w:vAlign w:val="center"/>
          </w:tcPr>
          <w:p w:rsidR="00D86A11" w:rsidRPr="00B129D9" w:rsidRDefault="00D86A11" w:rsidP="001240D5">
            <w:pPr>
              <w:spacing w:after="0" w:line="240" w:lineRule="auto"/>
              <w:rPr>
                <w:rFonts w:ascii="Calibri" w:eastAsia="Times New Roman" w:hAnsi="Calibri" w:cs="Arial"/>
                <w:b/>
                <w:color w:val="013161"/>
                <w:sz w:val="20"/>
              </w:rPr>
            </w:pPr>
            <w:r w:rsidRPr="00B129D9">
              <w:rPr>
                <w:rFonts w:ascii="Calibri" w:eastAsia="Times New Roman" w:hAnsi="Calibri" w:cs="Arial"/>
                <w:b/>
                <w:color w:val="013161"/>
                <w:sz w:val="20"/>
              </w:rPr>
              <w:t>First placement: FFA (n)</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849"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844" w:type="dxa"/>
            <w:shd w:val="clear" w:color="auto" w:fill="DBE5F1"/>
            <w:vAlign w:val="center"/>
          </w:tcPr>
          <w:p w:rsidR="00D86A11" w:rsidRPr="00B129D9" w:rsidRDefault="00D86A11" w:rsidP="001240D5">
            <w:pPr>
              <w:spacing w:after="0" w:line="240" w:lineRule="auto"/>
              <w:jc w:val="center"/>
              <w:rPr>
                <w:rFonts w:ascii="Calibri" w:eastAsia="Times New Roman" w:hAnsi="Calibri" w:cs="Arial"/>
                <w:b/>
                <w:color w:val="2E7029"/>
                <w:sz w:val="20"/>
              </w:rPr>
            </w:pPr>
            <w:r w:rsidRPr="00B129D9">
              <w:rPr>
                <w:rFonts w:ascii="Calibri" w:eastAsia="Times New Roman" w:hAnsi="Calibri" w:cs="Arial"/>
                <w:b/>
                <w:color w:val="2E7029"/>
                <w:sz w:val="20"/>
              </w:rPr>
              <w:t>-</w:t>
            </w:r>
          </w:p>
        </w:tc>
      </w:tr>
      <w:tr w:rsidR="00D86A11" w:rsidRPr="000055D1" w:rsidTr="001240D5">
        <w:trPr>
          <w:trHeight w:val="297"/>
        </w:trPr>
        <w:tc>
          <w:tcPr>
            <w:tcW w:w="3168" w:type="dxa"/>
            <w:shd w:val="clear" w:color="auto" w:fill="auto"/>
            <w:noWrap/>
            <w:vAlign w:val="center"/>
          </w:tcPr>
          <w:p w:rsidR="00D86A11" w:rsidRPr="00B129D9" w:rsidRDefault="00D86A11" w:rsidP="001240D5">
            <w:pPr>
              <w:spacing w:after="0" w:line="240" w:lineRule="auto"/>
              <w:rPr>
                <w:rFonts w:ascii="Calibri" w:eastAsia="Times New Roman" w:hAnsi="Calibri" w:cs="Arial"/>
                <w:b/>
                <w:color w:val="013161"/>
                <w:sz w:val="20"/>
              </w:rPr>
            </w:pPr>
            <w:r w:rsidRPr="00B129D9">
              <w:rPr>
                <w:rFonts w:ascii="Calibri" w:eastAsia="Times New Roman" w:hAnsi="Calibri" w:cs="Arial"/>
                <w:b/>
                <w:color w:val="013161"/>
                <w:sz w:val="20"/>
              </w:rPr>
              <w:t>First placement: group/shelter (%)</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63.2</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59.5</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65.0</w:t>
            </w:r>
          </w:p>
        </w:tc>
        <w:tc>
          <w:tcPr>
            <w:tcW w:w="849"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82.9</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76.9</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97.8</w:t>
            </w:r>
          </w:p>
        </w:tc>
        <w:tc>
          <w:tcPr>
            <w:tcW w:w="844" w:type="dxa"/>
            <w:shd w:val="clear" w:color="auto" w:fill="auto"/>
            <w:vAlign w:val="center"/>
          </w:tcPr>
          <w:p w:rsidR="00D86A11" w:rsidRPr="00B129D9" w:rsidRDefault="00D86A11" w:rsidP="001240D5">
            <w:pPr>
              <w:spacing w:after="0" w:line="240" w:lineRule="auto"/>
              <w:jc w:val="center"/>
              <w:rPr>
                <w:rFonts w:ascii="Calibri" w:eastAsia="Times New Roman" w:hAnsi="Calibri" w:cs="Arial"/>
                <w:b/>
                <w:color w:val="2E7029"/>
                <w:sz w:val="20"/>
              </w:rPr>
            </w:pPr>
            <w:r w:rsidRPr="00B129D9">
              <w:rPr>
                <w:rFonts w:ascii="Calibri" w:eastAsia="Times New Roman" w:hAnsi="Calibri" w:cs="Arial"/>
                <w:b/>
                <w:color w:val="2E7029"/>
                <w:sz w:val="20"/>
              </w:rPr>
              <w:t>94.8</w:t>
            </w:r>
          </w:p>
        </w:tc>
      </w:tr>
      <w:tr w:rsidR="00D86A11" w:rsidRPr="000055D1" w:rsidTr="001240D5">
        <w:trPr>
          <w:trHeight w:val="297"/>
        </w:trPr>
        <w:tc>
          <w:tcPr>
            <w:tcW w:w="3168" w:type="dxa"/>
            <w:shd w:val="clear" w:color="auto" w:fill="DBE5F1"/>
            <w:noWrap/>
            <w:vAlign w:val="center"/>
          </w:tcPr>
          <w:p w:rsidR="00D86A11" w:rsidRPr="00B129D9" w:rsidRDefault="00D86A11" w:rsidP="001240D5">
            <w:pPr>
              <w:spacing w:after="0" w:line="240" w:lineRule="auto"/>
              <w:rPr>
                <w:rFonts w:ascii="Calibri" w:eastAsia="Times New Roman" w:hAnsi="Calibri" w:cs="Arial"/>
                <w:b/>
                <w:color w:val="013161"/>
                <w:sz w:val="20"/>
              </w:rPr>
            </w:pPr>
            <w:r w:rsidRPr="00B129D9">
              <w:rPr>
                <w:rFonts w:ascii="Calibri" w:eastAsia="Times New Roman" w:hAnsi="Calibri" w:cs="Arial"/>
                <w:b/>
                <w:color w:val="013161"/>
                <w:sz w:val="20"/>
              </w:rPr>
              <w:t>First placement: group/shelter (n)</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79</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69</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91</w:t>
            </w:r>
          </w:p>
        </w:tc>
        <w:tc>
          <w:tcPr>
            <w:tcW w:w="849"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121</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120</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90</w:t>
            </w:r>
          </w:p>
        </w:tc>
        <w:tc>
          <w:tcPr>
            <w:tcW w:w="844" w:type="dxa"/>
            <w:shd w:val="clear" w:color="auto" w:fill="DBE5F1"/>
            <w:vAlign w:val="center"/>
          </w:tcPr>
          <w:p w:rsidR="00D86A11" w:rsidRPr="00B129D9" w:rsidRDefault="00D86A11" w:rsidP="001240D5">
            <w:pPr>
              <w:spacing w:after="0" w:line="240" w:lineRule="auto"/>
              <w:jc w:val="center"/>
              <w:rPr>
                <w:rFonts w:ascii="Calibri" w:eastAsia="Times New Roman" w:hAnsi="Calibri" w:cs="Arial"/>
                <w:b/>
                <w:color w:val="2E7029"/>
                <w:sz w:val="20"/>
              </w:rPr>
            </w:pPr>
            <w:r w:rsidRPr="00B129D9">
              <w:rPr>
                <w:rFonts w:ascii="Calibri" w:eastAsia="Times New Roman" w:hAnsi="Calibri" w:cs="Arial"/>
                <w:b/>
                <w:color w:val="2E7029"/>
                <w:sz w:val="20"/>
              </w:rPr>
              <w:t>-</w:t>
            </w:r>
          </w:p>
        </w:tc>
      </w:tr>
      <w:tr w:rsidR="00D86A11" w:rsidRPr="000055D1" w:rsidTr="001240D5">
        <w:trPr>
          <w:trHeight w:val="297"/>
        </w:trPr>
        <w:tc>
          <w:tcPr>
            <w:tcW w:w="3168" w:type="dxa"/>
            <w:shd w:val="clear" w:color="auto" w:fill="auto"/>
            <w:noWrap/>
            <w:vAlign w:val="center"/>
          </w:tcPr>
          <w:p w:rsidR="00D86A11" w:rsidRPr="00B129D9" w:rsidRDefault="00D86A11" w:rsidP="001240D5">
            <w:pPr>
              <w:spacing w:after="0" w:line="240" w:lineRule="auto"/>
              <w:rPr>
                <w:rFonts w:ascii="Calibri" w:eastAsia="Times New Roman" w:hAnsi="Calibri" w:cs="Arial"/>
                <w:b/>
                <w:color w:val="013161"/>
                <w:sz w:val="20"/>
              </w:rPr>
            </w:pPr>
            <w:r w:rsidRPr="00B129D9">
              <w:rPr>
                <w:rFonts w:ascii="Calibri" w:eastAsia="Times New Roman" w:hAnsi="Calibri" w:cs="Arial"/>
                <w:b/>
                <w:color w:val="013161"/>
                <w:sz w:val="20"/>
              </w:rPr>
              <w:t>First placement: other (%)</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.9</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849"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auto"/>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844" w:type="dxa"/>
            <w:shd w:val="clear" w:color="auto" w:fill="auto"/>
            <w:vAlign w:val="center"/>
          </w:tcPr>
          <w:p w:rsidR="00D86A11" w:rsidRPr="00B129D9" w:rsidRDefault="00D86A11" w:rsidP="001240D5">
            <w:pPr>
              <w:spacing w:after="0" w:line="240" w:lineRule="auto"/>
              <w:jc w:val="center"/>
              <w:rPr>
                <w:rFonts w:ascii="Calibri" w:eastAsia="Times New Roman" w:hAnsi="Calibri" w:cs="Arial"/>
                <w:b/>
                <w:color w:val="2E7029"/>
                <w:sz w:val="20"/>
              </w:rPr>
            </w:pPr>
            <w:r w:rsidRPr="00B129D9">
              <w:rPr>
                <w:rFonts w:ascii="Calibri" w:eastAsia="Times New Roman" w:hAnsi="Calibri" w:cs="Arial"/>
                <w:b/>
                <w:color w:val="2E7029"/>
                <w:sz w:val="20"/>
              </w:rPr>
              <w:t>1.6</w:t>
            </w:r>
          </w:p>
        </w:tc>
      </w:tr>
      <w:tr w:rsidR="00D86A11" w:rsidRPr="000055D1" w:rsidTr="001240D5">
        <w:trPr>
          <w:trHeight w:val="297"/>
        </w:trPr>
        <w:tc>
          <w:tcPr>
            <w:tcW w:w="3168" w:type="dxa"/>
            <w:shd w:val="clear" w:color="auto" w:fill="DBE5F1"/>
            <w:noWrap/>
            <w:vAlign w:val="center"/>
          </w:tcPr>
          <w:p w:rsidR="00D86A11" w:rsidRPr="00B129D9" w:rsidRDefault="00D86A11" w:rsidP="001240D5">
            <w:pPr>
              <w:spacing w:after="0" w:line="240" w:lineRule="auto"/>
              <w:rPr>
                <w:rFonts w:ascii="Calibri" w:eastAsia="Times New Roman" w:hAnsi="Calibri" w:cs="Arial"/>
                <w:b/>
                <w:color w:val="013161"/>
                <w:sz w:val="20"/>
              </w:rPr>
            </w:pPr>
            <w:r w:rsidRPr="00B129D9">
              <w:rPr>
                <w:rFonts w:ascii="Calibri" w:eastAsia="Times New Roman" w:hAnsi="Calibri" w:cs="Arial"/>
                <w:b/>
                <w:color w:val="013161"/>
                <w:sz w:val="20"/>
              </w:rPr>
              <w:t>First placement: other (n)</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1</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849"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917" w:type="dxa"/>
            <w:shd w:val="clear" w:color="auto" w:fill="DBE5F1"/>
            <w:noWrap/>
            <w:vAlign w:val="center"/>
          </w:tcPr>
          <w:p w:rsidR="00D86A11" w:rsidRPr="00B129D9" w:rsidRDefault="00D86A11" w:rsidP="001240D5">
            <w:pPr>
              <w:spacing w:after="0" w:line="240" w:lineRule="auto"/>
              <w:jc w:val="center"/>
              <w:rPr>
                <w:rFonts w:ascii="Calibri" w:eastAsia="Times New Roman" w:hAnsi="Calibri" w:cs="Arial"/>
                <w:b/>
                <w:color w:val="013161"/>
                <w:sz w:val="20"/>
              </w:rPr>
            </w:pPr>
            <w:r w:rsidRPr="00B129D9">
              <w:rPr>
                <w:rFonts w:ascii="Calibri" w:eastAsia="Times New Roman" w:hAnsi="Calibri" w:cs="Arial"/>
                <w:b/>
                <w:color w:val="013161"/>
                <w:sz w:val="20"/>
              </w:rPr>
              <w:t>0</w:t>
            </w:r>
          </w:p>
        </w:tc>
        <w:tc>
          <w:tcPr>
            <w:tcW w:w="844" w:type="dxa"/>
            <w:shd w:val="clear" w:color="auto" w:fill="DBE5F1"/>
            <w:vAlign w:val="center"/>
          </w:tcPr>
          <w:p w:rsidR="00D86A11" w:rsidRPr="00B129D9" w:rsidRDefault="00D86A11" w:rsidP="001240D5">
            <w:pPr>
              <w:spacing w:after="0" w:line="240" w:lineRule="auto"/>
              <w:jc w:val="center"/>
              <w:rPr>
                <w:rFonts w:ascii="Calibri" w:eastAsia="Times New Roman" w:hAnsi="Calibri" w:cs="Arial"/>
                <w:b/>
                <w:color w:val="2E7029"/>
                <w:sz w:val="20"/>
              </w:rPr>
            </w:pPr>
            <w:r w:rsidRPr="00B129D9">
              <w:rPr>
                <w:rFonts w:ascii="Calibri" w:eastAsia="Times New Roman" w:hAnsi="Calibri" w:cs="Arial"/>
                <w:b/>
                <w:color w:val="2E7029"/>
                <w:sz w:val="20"/>
              </w:rPr>
              <w:t>-</w:t>
            </w:r>
          </w:p>
        </w:tc>
      </w:tr>
    </w:tbl>
    <w:p w:rsidR="00D86A11" w:rsidRPr="00AF204C" w:rsidRDefault="00D86A11" w:rsidP="00D86A11">
      <w:pPr>
        <w:pStyle w:val="Heading1"/>
        <w:rPr>
          <w:color w:val="2E7029"/>
          <w:sz w:val="24"/>
        </w:rPr>
      </w:pPr>
      <w:r w:rsidRPr="00AF204C">
        <w:rPr>
          <w:color w:val="2E7029"/>
          <w:sz w:val="24"/>
        </w:rPr>
        <w:t>Analysis</w:t>
      </w:r>
    </w:p>
    <w:p w:rsidR="00D86A11" w:rsidRPr="00DD15C5" w:rsidRDefault="00D86A11" w:rsidP="00D86A11">
      <w:pPr>
        <w:spacing w:after="0"/>
        <w:rPr>
          <w:rFonts w:ascii="Franklin Gothic Book" w:hAnsi="Franklin Gothic Book"/>
          <w:color w:val="auto"/>
          <w:spacing w:val="20"/>
          <w:szCs w:val="28"/>
        </w:rPr>
      </w:pPr>
      <w:r w:rsidRPr="00DD15C5">
        <w:rPr>
          <w:rFonts w:ascii="Franklin Gothic Book" w:hAnsi="Franklin Gothic Book"/>
          <w:b/>
          <w:color w:val="auto"/>
          <w:spacing w:val="20"/>
          <w:szCs w:val="28"/>
        </w:rPr>
        <w:t xml:space="preserve">Trends:  </w:t>
      </w:r>
      <w:r w:rsidRPr="00DD15C5">
        <w:rPr>
          <w:rFonts w:ascii="Franklin Gothic Book" w:hAnsi="Franklin Gothic Book"/>
          <w:color w:val="auto"/>
          <w:spacing w:val="20"/>
          <w:szCs w:val="28"/>
        </w:rPr>
        <w:t xml:space="preserve">Subsequent to 2011, there has been a dramatic decrease in placement in relative care. The highest percentage of relative placements achieved was 39.7% in 2011, after which the number of least restrictive placements with relatives (at entry) steadily decreased to a low of 2.2% in 2015. In 2015, the percent of youth first placed in group/shelter care increased to 97.8%. </w:t>
      </w:r>
    </w:p>
    <w:p w:rsidR="00D86A11" w:rsidRPr="00DD15C5" w:rsidRDefault="00D86A11" w:rsidP="00D86A11">
      <w:pPr>
        <w:spacing w:before="240" w:after="0"/>
        <w:rPr>
          <w:rFonts w:ascii="Franklin Gothic Book" w:hAnsi="Franklin Gothic Book"/>
          <w:color w:val="auto"/>
          <w:spacing w:val="20"/>
          <w:szCs w:val="28"/>
        </w:rPr>
      </w:pPr>
      <w:r w:rsidRPr="00DD15C5">
        <w:rPr>
          <w:rFonts w:ascii="Franklin Gothic Book" w:hAnsi="Franklin Gothic Book"/>
          <w:b/>
          <w:color w:val="auto"/>
          <w:spacing w:val="20"/>
          <w:szCs w:val="28"/>
        </w:rPr>
        <w:t>Race/Ethnicity:</w:t>
      </w:r>
      <w:r w:rsidRPr="00DD15C5">
        <w:rPr>
          <w:rFonts w:ascii="Franklin Gothic Book" w:hAnsi="Franklin Gothic Book"/>
          <w:color w:val="auto"/>
          <w:spacing w:val="20"/>
          <w:szCs w:val="28"/>
        </w:rPr>
        <w:t xml:space="preserve"> In 2015, 100% of White (28) and Asian/PI (1) youth were placed in a group home or shelter when they entered the system as were 97.5% (40) of Latino youth and 95% (20) of Black youth. </w:t>
      </w:r>
    </w:p>
    <w:p w:rsidR="00D86A11" w:rsidRPr="00DD15C5" w:rsidRDefault="00D86A11" w:rsidP="00D86A11">
      <w:pPr>
        <w:spacing w:before="240" w:after="0"/>
        <w:rPr>
          <w:rFonts w:ascii="Franklin Gothic Book" w:hAnsi="Franklin Gothic Book"/>
          <w:color w:val="auto"/>
          <w:spacing w:val="20"/>
          <w:szCs w:val="28"/>
        </w:rPr>
      </w:pPr>
      <w:r w:rsidRPr="00DD15C5">
        <w:rPr>
          <w:rFonts w:ascii="Franklin Gothic Book" w:hAnsi="Franklin Gothic Book"/>
          <w:b/>
          <w:color w:val="auto"/>
          <w:spacing w:val="20"/>
          <w:szCs w:val="28"/>
        </w:rPr>
        <w:lastRenderedPageBreak/>
        <w:t>Age:</w:t>
      </w:r>
      <w:r w:rsidRPr="00DD15C5">
        <w:rPr>
          <w:rFonts w:ascii="Franklin Gothic Book" w:hAnsi="Franklin Gothic Book"/>
          <w:color w:val="auto"/>
          <w:spacing w:val="20"/>
          <w:szCs w:val="28"/>
        </w:rPr>
        <w:t xml:space="preserve"> In 2015, 96.7% (30) of 11-15 year olds were first placed in a group home or shelter as were 98.4% (62) of 16-17 year olds. The </w:t>
      </w:r>
      <w:r w:rsidR="002B386D" w:rsidRPr="00DD15C5">
        <w:rPr>
          <w:rFonts w:ascii="Franklin Gothic Book" w:hAnsi="Franklin Gothic Book"/>
          <w:color w:val="auto"/>
          <w:spacing w:val="20"/>
          <w:szCs w:val="28"/>
        </w:rPr>
        <w:t>remainder was</w:t>
      </w:r>
      <w:r w:rsidRPr="00DD15C5">
        <w:rPr>
          <w:rFonts w:ascii="Franklin Gothic Book" w:hAnsi="Franklin Gothic Book"/>
          <w:color w:val="auto"/>
          <w:spacing w:val="20"/>
          <w:szCs w:val="28"/>
        </w:rPr>
        <w:t xml:space="preserve"> placed with relatives.</w:t>
      </w:r>
    </w:p>
    <w:p w:rsidR="00D86A11" w:rsidRPr="001375F2" w:rsidRDefault="00D86A11" w:rsidP="00D86A11">
      <w:pPr>
        <w:pStyle w:val="Heading3"/>
        <w:spacing w:line="276" w:lineRule="auto"/>
        <w:rPr>
          <w:b w:val="0"/>
          <w:color w:val="auto"/>
          <w:sz w:val="22"/>
        </w:rPr>
      </w:pPr>
      <w:r w:rsidRPr="001375F2">
        <w:rPr>
          <w:b w:val="0"/>
          <w:color w:val="auto"/>
          <w:sz w:val="22"/>
        </w:rPr>
        <w:t>As noted under the “Placement Stability” measure, the increase in the usage of group home care could be the result of the higher level of needs probation youth require, which has steadily increased throughout the years. This has led to a decrease in placements in the least restrictive placement types. Probation youth tend to require higher services to address mental health issues, histories of absconding from placement, and serious delinquency to include substance abuse, as well as violent and aggressive behaviors. Probation has seen an increase of youth who are not appropriate for least restrictive placement and need higher levels of care. As mentioned earlier, the increase in authorizations for psychotropic medications also correlates with this rationale and trend. As the trend in psychotropic medications increased, group home placements increased and placements in least restrictive facilities and homes decreased.</w:t>
      </w:r>
    </w:p>
    <w:p w:rsidR="00D86A11" w:rsidRPr="00AF204C" w:rsidRDefault="00D86A11" w:rsidP="00D86A11">
      <w:pPr>
        <w:pStyle w:val="Heading1"/>
        <w:rPr>
          <w:color w:val="F6872B"/>
          <w:sz w:val="24"/>
        </w:rPr>
      </w:pPr>
      <w:r w:rsidRPr="00AF204C">
        <w:rPr>
          <w:color w:val="F6872B"/>
          <w:sz w:val="24"/>
        </w:rPr>
        <w:t xml:space="preserve">4B Least Restrictive Placement (Point in Time)  </w:t>
      </w:r>
    </w:p>
    <w:tbl>
      <w:tblPr>
        <w:tblW w:w="9757" w:type="dxa"/>
        <w:tblBorders>
          <w:top w:val="single" w:sz="18" w:space="0" w:color="F6872B"/>
          <w:bottom w:val="single" w:sz="18" w:space="0" w:color="F6872B"/>
        </w:tblBorders>
        <w:tblLook w:val="04A0" w:firstRow="1" w:lastRow="0" w:firstColumn="1" w:lastColumn="0" w:noHBand="0" w:noVBand="1"/>
      </w:tblPr>
      <w:tblGrid>
        <w:gridCol w:w="3353"/>
        <w:gridCol w:w="792"/>
        <w:gridCol w:w="792"/>
        <w:gridCol w:w="792"/>
        <w:gridCol w:w="792"/>
        <w:gridCol w:w="792"/>
        <w:gridCol w:w="792"/>
        <w:gridCol w:w="792"/>
        <w:gridCol w:w="860"/>
      </w:tblGrid>
      <w:tr w:rsidR="00D86A11" w:rsidRPr="00974FBF">
        <w:trPr>
          <w:trHeight w:val="260"/>
        </w:trPr>
        <w:tc>
          <w:tcPr>
            <w:tcW w:w="9755" w:type="dxa"/>
            <w:gridSpan w:val="9"/>
            <w:shd w:val="clear" w:color="auto" w:fill="013161"/>
            <w:noWrap/>
          </w:tcPr>
          <w:p w:rsidR="00D86A11" w:rsidRPr="000055D1" w:rsidRDefault="00D86A11" w:rsidP="00D86A11">
            <w:pPr>
              <w:spacing w:after="0"/>
              <w:jc w:val="center"/>
              <w:rPr>
                <w:rFonts w:ascii="Calibri" w:hAnsi="Calibri" w:cs="Calibri"/>
                <w:b/>
                <w:color w:val="FFFFFF"/>
                <w:szCs w:val="24"/>
              </w:rPr>
            </w:pPr>
            <w:r>
              <w:rPr>
                <w:rFonts w:ascii="Calibri" w:hAnsi="Calibri" w:cs="Calibri"/>
                <w:b/>
                <w:color w:val="FFFFFF"/>
                <w:sz w:val="24"/>
              </w:rPr>
              <w:t>Exhibit 87. County of San Diego</w:t>
            </w:r>
            <w:r w:rsidRPr="00E415BF">
              <w:rPr>
                <w:rFonts w:ascii="Calibri" w:hAnsi="Calibri" w:cs="Calibri"/>
                <w:b/>
                <w:color w:val="FFFFFF"/>
                <w:sz w:val="24"/>
              </w:rPr>
              <w:t xml:space="preserve"> Probation - Least Restrictive Placement: Point-in-Time as of January 1</w:t>
            </w:r>
          </w:p>
        </w:tc>
      </w:tr>
      <w:tr w:rsidR="00D86A11" w:rsidRPr="00974FBF">
        <w:trPr>
          <w:trHeight w:val="260"/>
        </w:trPr>
        <w:tc>
          <w:tcPr>
            <w:tcW w:w="3353" w:type="dxa"/>
            <w:shd w:val="clear" w:color="auto" w:fill="013161"/>
            <w:noWrap/>
          </w:tcPr>
          <w:p w:rsidR="00D86A11" w:rsidRPr="00721EF1" w:rsidRDefault="00D86A11" w:rsidP="00D86A11">
            <w:pPr>
              <w:spacing w:after="0"/>
              <w:rPr>
                <w:rFonts w:ascii="Calibri" w:hAnsi="Calibri" w:cs="Calibri"/>
                <w:b/>
                <w:color w:val="FFFFFF"/>
              </w:rPr>
            </w:pPr>
          </w:p>
        </w:tc>
        <w:tc>
          <w:tcPr>
            <w:tcW w:w="792" w:type="dxa"/>
            <w:shd w:val="clear" w:color="auto" w:fill="013161"/>
            <w:noWrap/>
            <w:vAlign w:val="center"/>
          </w:tcPr>
          <w:p w:rsidR="00D86A11" w:rsidRPr="00721EF1" w:rsidRDefault="00D86A11" w:rsidP="00D86A11">
            <w:pPr>
              <w:spacing w:after="0"/>
              <w:jc w:val="center"/>
              <w:rPr>
                <w:rFonts w:ascii="Calibri" w:hAnsi="Calibri" w:cs="Calibri"/>
                <w:b/>
                <w:color w:val="FFFFFF"/>
                <w:szCs w:val="18"/>
              </w:rPr>
            </w:pPr>
            <w:r w:rsidRPr="00721EF1">
              <w:rPr>
                <w:rFonts w:ascii="Calibri" w:hAnsi="Calibri" w:cs="Calibri"/>
                <w:b/>
                <w:color w:val="FFFFFF"/>
                <w:szCs w:val="18"/>
              </w:rPr>
              <w:t>2010</w:t>
            </w:r>
          </w:p>
        </w:tc>
        <w:tc>
          <w:tcPr>
            <w:tcW w:w="792" w:type="dxa"/>
            <w:shd w:val="clear" w:color="auto" w:fill="013161"/>
            <w:noWrap/>
            <w:vAlign w:val="center"/>
          </w:tcPr>
          <w:p w:rsidR="00D86A11" w:rsidRPr="00721EF1" w:rsidRDefault="00D86A11" w:rsidP="00D86A11">
            <w:pPr>
              <w:spacing w:after="0"/>
              <w:jc w:val="center"/>
              <w:rPr>
                <w:rFonts w:ascii="Calibri" w:hAnsi="Calibri" w:cs="Calibri"/>
                <w:b/>
                <w:color w:val="FFFFFF"/>
                <w:szCs w:val="18"/>
              </w:rPr>
            </w:pPr>
            <w:r w:rsidRPr="00721EF1">
              <w:rPr>
                <w:rFonts w:ascii="Calibri" w:hAnsi="Calibri" w:cs="Calibri"/>
                <w:b/>
                <w:color w:val="FFFFFF"/>
                <w:szCs w:val="18"/>
              </w:rPr>
              <w:t>2011</w:t>
            </w:r>
          </w:p>
        </w:tc>
        <w:tc>
          <w:tcPr>
            <w:tcW w:w="792" w:type="dxa"/>
            <w:shd w:val="clear" w:color="auto" w:fill="013161"/>
            <w:noWrap/>
            <w:vAlign w:val="center"/>
          </w:tcPr>
          <w:p w:rsidR="00D86A11" w:rsidRPr="00721EF1" w:rsidRDefault="00D86A11" w:rsidP="00D86A11">
            <w:pPr>
              <w:spacing w:after="0"/>
              <w:jc w:val="center"/>
              <w:rPr>
                <w:rFonts w:ascii="Calibri" w:hAnsi="Calibri" w:cs="Calibri"/>
                <w:b/>
                <w:color w:val="FFFFFF"/>
                <w:szCs w:val="18"/>
              </w:rPr>
            </w:pPr>
            <w:r w:rsidRPr="00721EF1">
              <w:rPr>
                <w:rFonts w:ascii="Calibri" w:hAnsi="Calibri" w:cs="Calibri"/>
                <w:b/>
                <w:color w:val="FFFFFF"/>
                <w:szCs w:val="18"/>
              </w:rPr>
              <w:t>2012</w:t>
            </w:r>
          </w:p>
        </w:tc>
        <w:tc>
          <w:tcPr>
            <w:tcW w:w="792" w:type="dxa"/>
            <w:shd w:val="clear" w:color="auto" w:fill="013161"/>
            <w:noWrap/>
            <w:vAlign w:val="center"/>
          </w:tcPr>
          <w:p w:rsidR="00D86A11" w:rsidRPr="00721EF1" w:rsidRDefault="00D86A11" w:rsidP="00D86A11">
            <w:pPr>
              <w:spacing w:after="0"/>
              <w:jc w:val="center"/>
              <w:rPr>
                <w:rFonts w:ascii="Calibri" w:hAnsi="Calibri" w:cs="Calibri"/>
                <w:b/>
                <w:color w:val="FFFFFF"/>
                <w:szCs w:val="18"/>
              </w:rPr>
            </w:pPr>
            <w:r w:rsidRPr="00721EF1">
              <w:rPr>
                <w:rFonts w:ascii="Calibri" w:hAnsi="Calibri" w:cs="Calibri"/>
                <w:b/>
                <w:color w:val="FFFFFF"/>
                <w:szCs w:val="18"/>
              </w:rPr>
              <w:t>2013</w:t>
            </w:r>
          </w:p>
        </w:tc>
        <w:tc>
          <w:tcPr>
            <w:tcW w:w="792" w:type="dxa"/>
            <w:shd w:val="clear" w:color="auto" w:fill="013161"/>
            <w:noWrap/>
            <w:vAlign w:val="center"/>
          </w:tcPr>
          <w:p w:rsidR="00D86A11" w:rsidRPr="00721EF1" w:rsidRDefault="00D86A11" w:rsidP="00D86A11">
            <w:pPr>
              <w:spacing w:after="0"/>
              <w:jc w:val="center"/>
              <w:rPr>
                <w:rFonts w:ascii="Calibri" w:hAnsi="Calibri" w:cs="Calibri"/>
                <w:b/>
                <w:color w:val="FFFFFF"/>
                <w:szCs w:val="18"/>
              </w:rPr>
            </w:pPr>
            <w:r w:rsidRPr="00721EF1">
              <w:rPr>
                <w:rFonts w:ascii="Calibri" w:hAnsi="Calibri" w:cs="Calibri"/>
                <w:b/>
                <w:color w:val="FFFFFF"/>
                <w:szCs w:val="18"/>
              </w:rPr>
              <w:t>2014</w:t>
            </w:r>
          </w:p>
        </w:tc>
        <w:tc>
          <w:tcPr>
            <w:tcW w:w="792" w:type="dxa"/>
            <w:shd w:val="clear" w:color="auto" w:fill="013161"/>
            <w:noWrap/>
            <w:vAlign w:val="center"/>
          </w:tcPr>
          <w:p w:rsidR="00D86A11" w:rsidRPr="00721EF1" w:rsidRDefault="00D86A11" w:rsidP="00D86A11">
            <w:pPr>
              <w:spacing w:after="0"/>
              <w:jc w:val="center"/>
              <w:rPr>
                <w:rFonts w:ascii="Calibri" w:hAnsi="Calibri" w:cs="Calibri"/>
                <w:b/>
                <w:color w:val="FFFFFF"/>
                <w:szCs w:val="18"/>
              </w:rPr>
            </w:pPr>
            <w:r w:rsidRPr="00721EF1">
              <w:rPr>
                <w:rFonts w:ascii="Calibri" w:hAnsi="Calibri" w:cs="Calibri"/>
                <w:b/>
                <w:color w:val="FFFFFF"/>
                <w:szCs w:val="18"/>
              </w:rPr>
              <w:t>2015</w:t>
            </w:r>
          </w:p>
        </w:tc>
        <w:tc>
          <w:tcPr>
            <w:tcW w:w="792" w:type="dxa"/>
            <w:shd w:val="clear" w:color="auto" w:fill="013161"/>
            <w:noWrap/>
            <w:vAlign w:val="center"/>
          </w:tcPr>
          <w:p w:rsidR="00D86A11" w:rsidRPr="00721EF1" w:rsidRDefault="00D86A11" w:rsidP="00D86A11">
            <w:pPr>
              <w:spacing w:after="0"/>
              <w:jc w:val="center"/>
              <w:rPr>
                <w:rFonts w:ascii="Calibri" w:hAnsi="Calibri" w:cs="Calibri"/>
                <w:b/>
                <w:color w:val="FFFFFF"/>
                <w:szCs w:val="18"/>
              </w:rPr>
            </w:pPr>
            <w:r w:rsidRPr="00721EF1">
              <w:rPr>
                <w:rFonts w:ascii="Calibri" w:hAnsi="Calibri" w:cs="Calibri"/>
                <w:b/>
                <w:color w:val="FFFFFF"/>
                <w:szCs w:val="18"/>
              </w:rPr>
              <w:t>2016</w:t>
            </w:r>
          </w:p>
        </w:tc>
        <w:tc>
          <w:tcPr>
            <w:tcW w:w="860" w:type="dxa"/>
            <w:shd w:val="clear" w:color="auto" w:fill="013161"/>
          </w:tcPr>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CA</w:t>
            </w:r>
          </w:p>
          <w:p w:rsidR="00D86A11" w:rsidRPr="00721EF1" w:rsidRDefault="00D86A11" w:rsidP="00D86A11">
            <w:pPr>
              <w:spacing w:after="0"/>
              <w:jc w:val="center"/>
              <w:rPr>
                <w:rFonts w:ascii="Calibri" w:hAnsi="Calibri" w:cs="Calibri"/>
                <w:b/>
                <w:color w:val="FFFFFF"/>
              </w:rPr>
            </w:pPr>
            <w:r w:rsidRPr="00721EF1">
              <w:rPr>
                <w:rFonts w:ascii="Calibri" w:hAnsi="Calibri" w:cs="Calibri"/>
                <w:b/>
                <w:color w:val="FFFFFF"/>
              </w:rPr>
              <w:t>2016</w:t>
            </w:r>
          </w:p>
        </w:tc>
      </w:tr>
      <w:tr w:rsidR="00D86A11" w:rsidRPr="00974FBF" w:rsidTr="00117F3C">
        <w:trPr>
          <w:trHeight w:val="260"/>
        </w:trPr>
        <w:tc>
          <w:tcPr>
            <w:tcW w:w="3353" w:type="dxa"/>
            <w:shd w:val="clear" w:color="auto" w:fill="auto"/>
            <w:noWrap/>
          </w:tcPr>
          <w:p w:rsidR="00D86A11" w:rsidRPr="00F40E80" w:rsidRDefault="00D86A11" w:rsidP="00D86A11">
            <w:pPr>
              <w:spacing w:after="0"/>
              <w:rPr>
                <w:rFonts w:ascii="Calibri" w:hAnsi="Calibri" w:cs="Calibri"/>
                <w:b/>
                <w:color w:val="013161"/>
                <w:sz w:val="20"/>
              </w:rPr>
            </w:pPr>
            <w:r w:rsidRPr="00F40E80">
              <w:rPr>
                <w:rFonts w:ascii="Calibri" w:hAnsi="Calibri" w:cs="Calibri"/>
                <w:b/>
                <w:color w:val="013161"/>
                <w:sz w:val="20"/>
              </w:rPr>
              <w:t>PIT placement: relative (%)</w:t>
            </w:r>
          </w:p>
        </w:tc>
        <w:tc>
          <w:tcPr>
            <w:tcW w:w="792" w:type="dxa"/>
            <w:shd w:val="clear" w:color="auto" w:fill="auto"/>
            <w:noWrap/>
            <w:vAlign w:val="center"/>
          </w:tcPr>
          <w:p w:rsidR="00D86A11" w:rsidRPr="00F40E80" w:rsidRDefault="00D86A11" w:rsidP="00117F3C">
            <w:pPr>
              <w:spacing w:after="0"/>
              <w:jc w:val="center"/>
              <w:rPr>
                <w:rFonts w:ascii="Calibri" w:hAnsi="Calibri" w:cs="Calibri"/>
                <w:b/>
                <w:color w:val="013161"/>
                <w:sz w:val="20"/>
              </w:rPr>
            </w:pPr>
            <w:r w:rsidRPr="00F40E80">
              <w:rPr>
                <w:rFonts w:ascii="Calibri" w:hAnsi="Calibri" w:cs="Calibri"/>
                <w:b/>
                <w:color w:val="013161"/>
                <w:sz w:val="20"/>
              </w:rPr>
              <w:t>12.9</w:t>
            </w:r>
          </w:p>
        </w:tc>
        <w:tc>
          <w:tcPr>
            <w:tcW w:w="792" w:type="dxa"/>
            <w:shd w:val="clear" w:color="auto" w:fill="auto"/>
            <w:noWrap/>
            <w:vAlign w:val="center"/>
          </w:tcPr>
          <w:p w:rsidR="00D86A11" w:rsidRPr="00F40E80" w:rsidRDefault="00D86A11" w:rsidP="00117F3C">
            <w:pPr>
              <w:spacing w:after="0"/>
              <w:jc w:val="center"/>
              <w:rPr>
                <w:rFonts w:ascii="Calibri" w:hAnsi="Calibri" w:cs="Calibri"/>
                <w:b/>
                <w:color w:val="013161"/>
                <w:sz w:val="20"/>
              </w:rPr>
            </w:pPr>
            <w:r w:rsidRPr="00F40E80">
              <w:rPr>
                <w:rFonts w:ascii="Calibri" w:hAnsi="Calibri" w:cs="Calibri"/>
                <w:b/>
                <w:color w:val="013161"/>
                <w:sz w:val="20"/>
              </w:rPr>
              <w:t>12.5</w:t>
            </w:r>
          </w:p>
        </w:tc>
        <w:tc>
          <w:tcPr>
            <w:tcW w:w="792" w:type="dxa"/>
            <w:shd w:val="clear" w:color="auto" w:fill="auto"/>
            <w:noWrap/>
            <w:vAlign w:val="center"/>
          </w:tcPr>
          <w:p w:rsidR="00D86A11" w:rsidRPr="00F40E80" w:rsidRDefault="00D86A11" w:rsidP="00117F3C">
            <w:pPr>
              <w:spacing w:after="0"/>
              <w:jc w:val="center"/>
              <w:rPr>
                <w:rFonts w:ascii="Calibri" w:hAnsi="Calibri" w:cs="Calibri"/>
                <w:b/>
                <w:color w:val="013161"/>
                <w:sz w:val="20"/>
              </w:rPr>
            </w:pPr>
            <w:r w:rsidRPr="00F40E80">
              <w:rPr>
                <w:rFonts w:ascii="Calibri" w:hAnsi="Calibri" w:cs="Calibri"/>
                <w:b/>
                <w:color w:val="013161"/>
                <w:sz w:val="20"/>
              </w:rPr>
              <w:t>19.6</w:t>
            </w:r>
          </w:p>
        </w:tc>
        <w:tc>
          <w:tcPr>
            <w:tcW w:w="792" w:type="dxa"/>
            <w:shd w:val="clear" w:color="auto" w:fill="auto"/>
            <w:noWrap/>
            <w:vAlign w:val="center"/>
          </w:tcPr>
          <w:p w:rsidR="00D86A11" w:rsidRPr="00F40E80" w:rsidRDefault="00D86A11" w:rsidP="00117F3C">
            <w:pPr>
              <w:spacing w:after="0"/>
              <w:jc w:val="center"/>
              <w:rPr>
                <w:rFonts w:ascii="Calibri" w:hAnsi="Calibri" w:cs="Calibri"/>
                <w:b/>
                <w:color w:val="013161"/>
                <w:sz w:val="20"/>
              </w:rPr>
            </w:pPr>
            <w:r w:rsidRPr="00F40E80">
              <w:rPr>
                <w:rFonts w:ascii="Calibri" w:hAnsi="Calibri" w:cs="Calibri"/>
                <w:b/>
                <w:color w:val="013161"/>
                <w:sz w:val="20"/>
              </w:rPr>
              <w:t>14.9</w:t>
            </w:r>
          </w:p>
        </w:tc>
        <w:tc>
          <w:tcPr>
            <w:tcW w:w="792" w:type="dxa"/>
            <w:shd w:val="clear" w:color="auto" w:fill="auto"/>
            <w:noWrap/>
            <w:vAlign w:val="center"/>
          </w:tcPr>
          <w:p w:rsidR="00D86A11" w:rsidRPr="00F40E80" w:rsidRDefault="00D86A11" w:rsidP="00117F3C">
            <w:pPr>
              <w:spacing w:after="0"/>
              <w:jc w:val="center"/>
              <w:rPr>
                <w:rFonts w:ascii="Calibri" w:hAnsi="Calibri" w:cs="Calibri"/>
                <w:b/>
                <w:color w:val="013161"/>
                <w:sz w:val="20"/>
              </w:rPr>
            </w:pPr>
            <w:r w:rsidRPr="00F40E80">
              <w:rPr>
                <w:rFonts w:ascii="Calibri" w:hAnsi="Calibri" w:cs="Calibri"/>
                <w:b/>
                <w:color w:val="013161"/>
                <w:sz w:val="20"/>
              </w:rPr>
              <w:t>8.5</w:t>
            </w:r>
          </w:p>
        </w:tc>
        <w:tc>
          <w:tcPr>
            <w:tcW w:w="792" w:type="dxa"/>
            <w:shd w:val="clear" w:color="auto" w:fill="auto"/>
            <w:noWrap/>
            <w:vAlign w:val="center"/>
          </w:tcPr>
          <w:p w:rsidR="00D86A11" w:rsidRPr="00F40E80" w:rsidRDefault="00D86A11" w:rsidP="00117F3C">
            <w:pPr>
              <w:spacing w:after="0"/>
              <w:jc w:val="center"/>
              <w:rPr>
                <w:rFonts w:ascii="Calibri" w:hAnsi="Calibri" w:cs="Calibri"/>
                <w:b/>
                <w:color w:val="013161"/>
                <w:sz w:val="20"/>
              </w:rPr>
            </w:pPr>
            <w:r w:rsidRPr="00F40E80">
              <w:rPr>
                <w:rFonts w:ascii="Calibri" w:hAnsi="Calibri" w:cs="Calibri"/>
                <w:b/>
                <w:color w:val="013161"/>
                <w:sz w:val="20"/>
              </w:rPr>
              <w:t>16.0</w:t>
            </w:r>
          </w:p>
        </w:tc>
        <w:tc>
          <w:tcPr>
            <w:tcW w:w="792" w:type="dxa"/>
            <w:shd w:val="clear" w:color="auto" w:fill="auto"/>
            <w:noWrap/>
            <w:vAlign w:val="center"/>
          </w:tcPr>
          <w:p w:rsidR="00D86A11" w:rsidRPr="00F40E80" w:rsidRDefault="00D86A11" w:rsidP="00117F3C">
            <w:pPr>
              <w:spacing w:after="0"/>
              <w:jc w:val="center"/>
              <w:rPr>
                <w:rFonts w:ascii="Calibri" w:hAnsi="Calibri" w:cs="Calibri"/>
                <w:b/>
                <w:color w:val="013161"/>
                <w:sz w:val="20"/>
              </w:rPr>
            </w:pPr>
            <w:r w:rsidRPr="00F40E80">
              <w:rPr>
                <w:rFonts w:ascii="Calibri" w:hAnsi="Calibri" w:cs="Calibri"/>
                <w:b/>
                <w:color w:val="013161"/>
                <w:sz w:val="20"/>
              </w:rPr>
              <w:t>12.9</w:t>
            </w:r>
          </w:p>
        </w:tc>
        <w:tc>
          <w:tcPr>
            <w:tcW w:w="860" w:type="dxa"/>
            <w:shd w:val="clear" w:color="auto" w:fill="auto"/>
            <w:vAlign w:val="center"/>
          </w:tcPr>
          <w:p w:rsidR="00D86A11" w:rsidRPr="00F40E80" w:rsidRDefault="00D86A11" w:rsidP="00117F3C">
            <w:pPr>
              <w:spacing w:after="0"/>
              <w:jc w:val="center"/>
              <w:rPr>
                <w:rFonts w:ascii="Calibri" w:hAnsi="Calibri" w:cs="Calibri"/>
                <w:b/>
                <w:color w:val="2E7029"/>
                <w:sz w:val="20"/>
              </w:rPr>
            </w:pPr>
            <w:r w:rsidRPr="00F40E80">
              <w:rPr>
                <w:rFonts w:ascii="Calibri" w:hAnsi="Calibri" w:cs="Calibri"/>
                <w:b/>
                <w:color w:val="2E7029"/>
                <w:sz w:val="20"/>
              </w:rPr>
              <w:t>2.9</w:t>
            </w:r>
          </w:p>
        </w:tc>
      </w:tr>
      <w:tr w:rsidR="00D86A11" w:rsidRPr="00974FBF" w:rsidTr="00117F3C">
        <w:trPr>
          <w:trHeight w:val="260"/>
        </w:trPr>
        <w:tc>
          <w:tcPr>
            <w:tcW w:w="3353" w:type="dxa"/>
            <w:shd w:val="clear" w:color="auto" w:fill="DBE5F1"/>
            <w:noWrap/>
          </w:tcPr>
          <w:p w:rsidR="00D86A11" w:rsidRPr="00F40E80" w:rsidRDefault="00D86A11" w:rsidP="00D86A11">
            <w:pPr>
              <w:spacing w:after="0"/>
              <w:rPr>
                <w:rFonts w:ascii="Calibri" w:hAnsi="Calibri" w:cs="Calibri"/>
                <w:b/>
                <w:color w:val="013161"/>
                <w:sz w:val="20"/>
              </w:rPr>
            </w:pPr>
            <w:r w:rsidRPr="00F40E80">
              <w:rPr>
                <w:rFonts w:ascii="Calibri" w:hAnsi="Calibri" w:cs="Calibri"/>
                <w:b/>
                <w:color w:val="013161"/>
                <w:sz w:val="20"/>
              </w:rPr>
              <w:t>PIT placement: relative (n)</w:t>
            </w:r>
          </w:p>
        </w:tc>
        <w:tc>
          <w:tcPr>
            <w:tcW w:w="792" w:type="dxa"/>
            <w:shd w:val="clear" w:color="auto" w:fill="DBE5F1"/>
            <w:noWrap/>
            <w:vAlign w:val="center"/>
          </w:tcPr>
          <w:p w:rsidR="00D86A11" w:rsidRPr="00F40E80" w:rsidRDefault="00D86A11" w:rsidP="00117F3C">
            <w:pPr>
              <w:spacing w:after="0"/>
              <w:jc w:val="center"/>
              <w:rPr>
                <w:rFonts w:ascii="Calibri" w:hAnsi="Calibri" w:cs="Calibri"/>
                <w:b/>
                <w:color w:val="013161"/>
                <w:sz w:val="20"/>
              </w:rPr>
            </w:pPr>
            <w:r w:rsidRPr="00F40E80">
              <w:rPr>
                <w:rFonts w:ascii="Calibri" w:hAnsi="Calibri" w:cs="Calibri"/>
                <w:b/>
                <w:color w:val="013161"/>
                <w:sz w:val="20"/>
              </w:rPr>
              <w:t>29</w:t>
            </w:r>
          </w:p>
        </w:tc>
        <w:tc>
          <w:tcPr>
            <w:tcW w:w="792" w:type="dxa"/>
            <w:shd w:val="clear" w:color="auto" w:fill="DBE5F1"/>
            <w:noWrap/>
            <w:vAlign w:val="center"/>
          </w:tcPr>
          <w:p w:rsidR="00D86A11" w:rsidRPr="00F40E80" w:rsidRDefault="00D86A11" w:rsidP="00117F3C">
            <w:pPr>
              <w:spacing w:after="0"/>
              <w:jc w:val="center"/>
              <w:rPr>
                <w:rFonts w:ascii="Calibri" w:hAnsi="Calibri" w:cs="Calibri"/>
                <w:b/>
                <w:color w:val="013161"/>
                <w:sz w:val="20"/>
              </w:rPr>
            </w:pPr>
            <w:r w:rsidRPr="00F40E80">
              <w:rPr>
                <w:rFonts w:ascii="Calibri" w:hAnsi="Calibri" w:cs="Calibri"/>
                <w:b/>
                <w:color w:val="013161"/>
                <w:sz w:val="20"/>
              </w:rPr>
              <w:t>32</w:t>
            </w:r>
          </w:p>
        </w:tc>
        <w:tc>
          <w:tcPr>
            <w:tcW w:w="792" w:type="dxa"/>
            <w:shd w:val="clear" w:color="auto" w:fill="DBE5F1"/>
            <w:noWrap/>
            <w:vAlign w:val="center"/>
          </w:tcPr>
          <w:p w:rsidR="00D86A11" w:rsidRPr="00F40E80" w:rsidRDefault="00D86A11" w:rsidP="00117F3C">
            <w:pPr>
              <w:spacing w:after="0"/>
              <w:jc w:val="center"/>
              <w:rPr>
                <w:rFonts w:ascii="Calibri" w:hAnsi="Calibri" w:cs="Calibri"/>
                <w:b/>
                <w:color w:val="013161"/>
                <w:sz w:val="20"/>
              </w:rPr>
            </w:pPr>
            <w:r w:rsidRPr="00F40E80">
              <w:rPr>
                <w:rFonts w:ascii="Calibri" w:hAnsi="Calibri" w:cs="Calibri"/>
                <w:b/>
                <w:color w:val="013161"/>
                <w:sz w:val="20"/>
              </w:rPr>
              <w:t>49</w:t>
            </w:r>
          </w:p>
        </w:tc>
        <w:tc>
          <w:tcPr>
            <w:tcW w:w="792" w:type="dxa"/>
            <w:shd w:val="clear" w:color="auto" w:fill="DBE5F1"/>
            <w:noWrap/>
            <w:vAlign w:val="center"/>
          </w:tcPr>
          <w:p w:rsidR="00D86A11" w:rsidRPr="00F40E80" w:rsidRDefault="00D86A11" w:rsidP="00117F3C">
            <w:pPr>
              <w:spacing w:after="0"/>
              <w:jc w:val="center"/>
              <w:rPr>
                <w:rFonts w:ascii="Calibri" w:hAnsi="Calibri" w:cs="Calibri"/>
                <w:b/>
                <w:color w:val="013161"/>
                <w:sz w:val="20"/>
              </w:rPr>
            </w:pPr>
            <w:r w:rsidRPr="00F40E80">
              <w:rPr>
                <w:rFonts w:ascii="Calibri" w:hAnsi="Calibri" w:cs="Calibri"/>
                <w:b/>
                <w:color w:val="013161"/>
                <w:sz w:val="20"/>
              </w:rPr>
              <w:t>43</w:t>
            </w:r>
          </w:p>
        </w:tc>
        <w:tc>
          <w:tcPr>
            <w:tcW w:w="792" w:type="dxa"/>
            <w:shd w:val="clear" w:color="auto" w:fill="DBE5F1"/>
            <w:noWrap/>
            <w:vAlign w:val="center"/>
          </w:tcPr>
          <w:p w:rsidR="00D86A11" w:rsidRPr="00F40E80" w:rsidRDefault="00D86A11" w:rsidP="00117F3C">
            <w:pPr>
              <w:spacing w:after="0"/>
              <w:jc w:val="center"/>
              <w:rPr>
                <w:rFonts w:ascii="Calibri" w:hAnsi="Calibri" w:cs="Calibri"/>
                <w:b/>
                <w:color w:val="013161"/>
                <w:sz w:val="20"/>
              </w:rPr>
            </w:pPr>
            <w:r w:rsidRPr="00F40E80">
              <w:rPr>
                <w:rFonts w:ascii="Calibri" w:hAnsi="Calibri" w:cs="Calibri"/>
                <w:b/>
                <w:color w:val="013161"/>
                <w:sz w:val="20"/>
              </w:rPr>
              <w:t>27</w:t>
            </w:r>
          </w:p>
        </w:tc>
        <w:tc>
          <w:tcPr>
            <w:tcW w:w="792" w:type="dxa"/>
            <w:shd w:val="clear" w:color="auto" w:fill="DBE5F1"/>
            <w:noWrap/>
            <w:vAlign w:val="center"/>
          </w:tcPr>
          <w:p w:rsidR="00D86A11" w:rsidRPr="00F40E80" w:rsidRDefault="00D86A11" w:rsidP="00117F3C">
            <w:pPr>
              <w:spacing w:after="0"/>
              <w:jc w:val="center"/>
              <w:rPr>
                <w:rFonts w:ascii="Calibri" w:hAnsi="Calibri" w:cs="Calibri"/>
                <w:b/>
                <w:color w:val="013161"/>
                <w:sz w:val="20"/>
              </w:rPr>
            </w:pPr>
            <w:r w:rsidRPr="00F40E80">
              <w:rPr>
                <w:rFonts w:ascii="Calibri" w:hAnsi="Calibri" w:cs="Calibri"/>
                <w:b/>
                <w:color w:val="013161"/>
                <w:sz w:val="20"/>
              </w:rPr>
              <w:t>42</w:t>
            </w:r>
          </w:p>
        </w:tc>
        <w:tc>
          <w:tcPr>
            <w:tcW w:w="792" w:type="dxa"/>
            <w:shd w:val="clear" w:color="auto" w:fill="DBE5F1"/>
            <w:noWrap/>
            <w:vAlign w:val="center"/>
          </w:tcPr>
          <w:p w:rsidR="00D86A11" w:rsidRPr="00F40E80" w:rsidRDefault="00D86A11" w:rsidP="00117F3C">
            <w:pPr>
              <w:spacing w:after="0"/>
              <w:jc w:val="center"/>
              <w:rPr>
                <w:rFonts w:ascii="Calibri" w:hAnsi="Calibri" w:cs="Calibri"/>
                <w:b/>
                <w:color w:val="013161"/>
                <w:sz w:val="20"/>
              </w:rPr>
            </w:pPr>
            <w:r w:rsidRPr="00F40E80">
              <w:rPr>
                <w:rFonts w:ascii="Calibri" w:hAnsi="Calibri" w:cs="Calibri"/>
                <w:b/>
                <w:color w:val="013161"/>
                <w:sz w:val="20"/>
              </w:rPr>
              <w:t>27</w:t>
            </w:r>
          </w:p>
        </w:tc>
        <w:tc>
          <w:tcPr>
            <w:tcW w:w="860" w:type="dxa"/>
            <w:shd w:val="clear" w:color="auto" w:fill="DBE5F1"/>
            <w:vAlign w:val="center"/>
          </w:tcPr>
          <w:p w:rsidR="00D86A11" w:rsidRPr="00F40E80" w:rsidRDefault="00D86A11" w:rsidP="00117F3C">
            <w:pPr>
              <w:spacing w:after="0"/>
              <w:jc w:val="center"/>
              <w:rPr>
                <w:rFonts w:ascii="Calibri" w:hAnsi="Calibri" w:cs="Calibri"/>
                <w:b/>
                <w:color w:val="2E7029"/>
                <w:sz w:val="20"/>
              </w:rPr>
            </w:pPr>
            <w:r w:rsidRPr="00F40E80">
              <w:rPr>
                <w:rFonts w:ascii="Calibri" w:hAnsi="Calibri" w:cs="Calibri"/>
                <w:b/>
                <w:color w:val="2E7029"/>
                <w:sz w:val="20"/>
              </w:rPr>
              <w:t>-</w:t>
            </w:r>
          </w:p>
        </w:tc>
      </w:tr>
      <w:tr w:rsidR="00D86A11" w:rsidRPr="00974FBF" w:rsidTr="00117F3C">
        <w:trPr>
          <w:trHeight w:val="260"/>
        </w:trPr>
        <w:tc>
          <w:tcPr>
            <w:tcW w:w="3353" w:type="dxa"/>
            <w:shd w:val="clear" w:color="auto" w:fill="auto"/>
            <w:noWrap/>
          </w:tcPr>
          <w:p w:rsidR="00D86A11" w:rsidRPr="00F40E80" w:rsidRDefault="00D86A11" w:rsidP="00D86A11">
            <w:pPr>
              <w:spacing w:after="0" w:line="240" w:lineRule="auto"/>
              <w:rPr>
                <w:rFonts w:ascii="Calibri" w:eastAsia="Times New Roman" w:hAnsi="Calibri" w:cs="Arial"/>
                <w:b/>
                <w:color w:val="013161"/>
                <w:sz w:val="20"/>
              </w:rPr>
            </w:pPr>
            <w:r w:rsidRPr="00F40E80">
              <w:rPr>
                <w:rFonts w:ascii="Calibri" w:eastAsia="Times New Roman" w:hAnsi="Calibri" w:cs="Arial"/>
                <w:b/>
                <w:color w:val="013161"/>
                <w:sz w:val="20"/>
              </w:rPr>
              <w:t>PIT placement: foster home (%)</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.4</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0</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0</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0</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.6</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0</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0</w:t>
            </w:r>
          </w:p>
        </w:tc>
        <w:tc>
          <w:tcPr>
            <w:tcW w:w="860" w:type="dxa"/>
            <w:shd w:val="clear" w:color="auto" w:fill="auto"/>
            <w:vAlign w:val="center"/>
          </w:tcPr>
          <w:p w:rsidR="00D86A11" w:rsidRPr="00F40E80" w:rsidRDefault="00D86A11" w:rsidP="00117F3C">
            <w:pPr>
              <w:spacing w:after="0" w:line="240" w:lineRule="auto"/>
              <w:jc w:val="center"/>
              <w:rPr>
                <w:rFonts w:ascii="Calibri" w:eastAsia="Times New Roman" w:hAnsi="Calibri" w:cs="Arial"/>
                <w:b/>
                <w:color w:val="2E7029"/>
                <w:sz w:val="20"/>
              </w:rPr>
            </w:pPr>
            <w:r w:rsidRPr="00F40E80">
              <w:rPr>
                <w:rFonts w:ascii="Calibri" w:eastAsia="Times New Roman" w:hAnsi="Calibri" w:cs="Arial"/>
                <w:b/>
                <w:color w:val="2E7029"/>
                <w:sz w:val="20"/>
              </w:rPr>
              <w:t>.1</w:t>
            </w:r>
          </w:p>
        </w:tc>
      </w:tr>
      <w:tr w:rsidR="00D86A11" w:rsidRPr="00974FBF" w:rsidTr="00117F3C">
        <w:trPr>
          <w:trHeight w:val="260"/>
        </w:trPr>
        <w:tc>
          <w:tcPr>
            <w:tcW w:w="3353" w:type="dxa"/>
            <w:shd w:val="clear" w:color="auto" w:fill="DBE5F1"/>
            <w:noWrap/>
          </w:tcPr>
          <w:p w:rsidR="00D86A11" w:rsidRPr="00F40E80" w:rsidRDefault="00D86A11" w:rsidP="00D86A11">
            <w:pPr>
              <w:spacing w:after="0" w:line="240" w:lineRule="auto"/>
              <w:rPr>
                <w:rFonts w:ascii="Calibri" w:eastAsia="Times New Roman" w:hAnsi="Calibri" w:cs="Arial"/>
                <w:b/>
                <w:color w:val="013161"/>
                <w:sz w:val="20"/>
              </w:rPr>
            </w:pPr>
            <w:r w:rsidRPr="00F40E80">
              <w:rPr>
                <w:rFonts w:ascii="Calibri" w:eastAsia="Times New Roman" w:hAnsi="Calibri" w:cs="Arial"/>
                <w:b/>
                <w:color w:val="013161"/>
                <w:sz w:val="20"/>
              </w:rPr>
              <w:t>PIT placement: foster home (n)</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1</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0</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0</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0</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2</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0</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0</w:t>
            </w:r>
          </w:p>
        </w:tc>
        <w:tc>
          <w:tcPr>
            <w:tcW w:w="860" w:type="dxa"/>
            <w:shd w:val="clear" w:color="auto" w:fill="DBE5F1"/>
            <w:vAlign w:val="center"/>
          </w:tcPr>
          <w:p w:rsidR="00D86A11" w:rsidRPr="00F40E80" w:rsidRDefault="00D86A11" w:rsidP="00117F3C">
            <w:pPr>
              <w:spacing w:after="0" w:line="240" w:lineRule="auto"/>
              <w:jc w:val="center"/>
              <w:rPr>
                <w:rFonts w:ascii="Calibri" w:eastAsia="Times New Roman" w:hAnsi="Calibri" w:cs="Arial"/>
                <w:b/>
                <w:color w:val="2E7029"/>
                <w:sz w:val="20"/>
              </w:rPr>
            </w:pPr>
            <w:r w:rsidRPr="00F40E80">
              <w:rPr>
                <w:rFonts w:ascii="Calibri" w:eastAsia="Times New Roman" w:hAnsi="Calibri" w:cs="Arial"/>
                <w:b/>
                <w:color w:val="2E7029"/>
                <w:sz w:val="20"/>
              </w:rPr>
              <w:t>-</w:t>
            </w:r>
          </w:p>
        </w:tc>
      </w:tr>
      <w:tr w:rsidR="00D86A11" w:rsidRPr="00974FBF" w:rsidTr="00117F3C">
        <w:trPr>
          <w:trHeight w:val="260"/>
        </w:trPr>
        <w:tc>
          <w:tcPr>
            <w:tcW w:w="3353" w:type="dxa"/>
            <w:shd w:val="clear" w:color="auto" w:fill="auto"/>
            <w:noWrap/>
          </w:tcPr>
          <w:p w:rsidR="00D86A11" w:rsidRPr="00F40E80" w:rsidRDefault="00D86A11" w:rsidP="00D86A11">
            <w:pPr>
              <w:spacing w:after="0" w:line="240" w:lineRule="auto"/>
              <w:rPr>
                <w:rFonts w:ascii="Calibri" w:eastAsia="Times New Roman" w:hAnsi="Calibri" w:cs="Arial"/>
                <w:b/>
                <w:color w:val="013161"/>
                <w:sz w:val="20"/>
              </w:rPr>
            </w:pPr>
            <w:r w:rsidRPr="00F40E80">
              <w:rPr>
                <w:rFonts w:ascii="Calibri" w:eastAsia="Times New Roman" w:hAnsi="Calibri" w:cs="Arial"/>
                <w:b/>
                <w:color w:val="013161"/>
                <w:sz w:val="20"/>
              </w:rPr>
              <w:t>PIT placement: FFA (%)</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2.2</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1.2</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.4</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.3</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.3</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0</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0</w:t>
            </w:r>
          </w:p>
        </w:tc>
        <w:tc>
          <w:tcPr>
            <w:tcW w:w="860" w:type="dxa"/>
            <w:shd w:val="clear" w:color="auto" w:fill="auto"/>
            <w:vAlign w:val="center"/>
          </w:tcPr>
          <w:p w:rsidR="00D86A11" w:rsidRPr="00F40E80" w:rsidRDefault="00D86A11" w:rsidP="00117F3C">
            <w:pPr>
              <w:spacing w:after="0" w:line="240" w:lineRule="auto"/>
              <w:jc w:val="center"/>
              <w:rPr>
                <w:rFonts w:ascii="Calibri" w:eastAsia="Times New Roman" w:hAnsi="Calibri" w:cs="Arial"/>
                <w:b/>
                <w:color w:val="2E7029"/>
                <w:sz w:val="20"/>
              </w:rPr>
            </w:pPr>
            <w:r w:rsidRPr="00F40E80">
              <w:rPr>
                <w:rFonts w:ascii="Calibri" w:eastAsia="Times New Roman" w:hAnsi="Calibri" w:cs="Arial"/>
                <w:b/>
                <w:color w:val="2E7029"/>
                <w:sz w:val="20"/>
              </w:rPr>
              <w:t>.6</w:t>
            </w:r>
          </w:p>
        </w:tc>
      </w:tr>
      <w:tr w:rsidR="00D86A11" w:rsidRPr="00974FBF" w:rsidTr="00117F3C">
        <w:trPr>
          <w:trHeight w:val="260"/>
        </w:trPr>
        <w:tc>
          <w:tcPr>
            <w:tcW w:w="3353" w:type="dxa"/>
            <w:shd w:val="clear" w:color="auto" w:fill="DBE5F1"/>
            <w:noWrap/>
          </w:tcPr>
          <w:p w:rsidR="00D86A11" w:rsidRPr="00F40E80" w:rsidRDefault="00D86A11" w:rsidP="00D86A11">
            <w:pPr>
              <w:spacing w:after="0" w:line="240" w:lineRule="auto"/>
              <w:rPr>
                <w:rFonts w:ascii="Calibri" w:eastAsia="Times New Roman" w:hAnsi="Calibri" w:cs="Arial"/>
                <w:b/>
                <w:color w:val="013161"/>
                <w:sz w:val="20"/>
              </w:rPr>
            </w:pPr>
            <w:r w:rsidRPr="00F40E80">
              <w:rPr>
                <w:rFonts w:ascii="Calibri" w:eastAsia="Times New Roman" w:hAnsi="Calibri" w:cs="Arial"/>
                <w:b/>
                <w:color w:val="013161"/>
                <w:sz w:val="20"/>
              </w:rPr>
              <w:t>PIT placement: FFA (n)</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5</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3</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1</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1</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1</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0</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0</w:t>
            </w:r>
          </w:p>
        </w:tc>
        <w:tc>
          <w:tcPr>
            <w:tcW w:w="860" w:type="dxa"/>
            <w:shd w:val="clear" w:color="auto" w:fill="DBE5F1"/>
            <w:vAlign w:val="center"/>
          </w:tcPr>
          <w:p w:rsidR="00D86A11" w:rsidRPr="00F40E80" w:rsidRDefault="00D86A11" w:rsidP="00117F3C">
            <w:pPr>
              <w:spacing w:after="0" w:line="240" w:lineRule="auto"/>
              <w:jc w:val="center"/>
              <w:rPr>
                <w:rFonts w:ascii="Calibri" w:eastAsia="Times New Roman" w:hAnsi="Calibri" w:cs="Arial"/>
                <w:b/>
                <w:color w:val="2E7029"/>
                <w:sz w:val="20"/>
              </w:rPr>
            </w:pPr>
            <w:r w:rsidRPr="00F40E80">
              <w:rPr>
                <w:rFonts w:ascii="Calibri" w:eastAsia="Times New Roman" w:hAnsi="Calibri" w:cs="Arial"/>
                <w:b/>
                <w:color w:val="2E7029"/>
                <w:sz w:val="20"/>
              </w:rPr>
              <w:t>-</w:t>
            </w:r>
          </w:p>
        </w:tc>
      </w:tr>
      <w:tr w:rsidR="00D86A11" w:rsidRPr="00974FBF" w:rsidTr="00117F3C">
        <w:trPr>
          <w:trHeight w:val="260"/>
        </w:trPr>
        <w:tc>
          <w:tcPr>
            <w:tcW w:w="3353" w:type="dxa"/>
            <w:shd w:val="clear" w:color="auto" w:fill="auto"/>
            <w:noWrap/>
          </w:tcPr>
          <w:p w:rsidR="00D86A11" w:rsidRPr="00F40E80" w:rsidRDefault="00D86A11" w:rsidP="00D86A11">
            <w:pPr>
              <w:spacing w:after="0" w:line="240" w:lineRule="auto"/>
              <w:rPr>
                <w:rFonts w:ascii="Calibri" w:eastAsia="Times New Roman" w:hAnsi="Calibri" w:cs="Arial"/>
                <w:b/>
                <w:color w:val="013161"/>
                <w:sz w:val="20"/>
              </w:rPr>
            </w:pPr>
            <w:r w:rsidRPr="00F40E80">
              <w:rPr>
                <w:rFonts w:ascii="Calibri" w:eastAsia="Times New Roman" w:hAnsi="Calibri" w:cs="Arial"/>
                <w:b/>
                <w:color w:val="013161"/>
                <w:sz w:val="20"/>
              </w:rPr>
              <w:t>PIT placement: group/shelter (%)</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52.4</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37.6</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23.6</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21.5</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36.9</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34.2</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48.6</w:t>
            </w:r>
          </w:p>
        </w:tc>
        <w:tc>
          <w:tcPr>
            <w:tcW w:w="860" w:type="dxa"/>
            <w:shd w:val="clear" w:color="auto" w:fill="auto"/>
            <w:vAlign w:val="center"/>
          </w:tcPr>
          <w:p w:rsidR="00D86A11" w:rsidRPr="00F40E80" w:rsidRDefault="00D86A11" w:rsidP="00117F3C">
            <w:pPr>
              <w:spacing w:after="0" w:line="240" w:lineRule="auto"/>
              <w:jc w:val="center"/>
              <w:rPr>
                <w:rFonts w:ascii="Calibri" w:eastAsia="Times New Roman" w:hAnsi="Calibri" w:cs="Arial"/>
                <w:b/>
                <w:color w:val="2E7029"/>
                <w:sz w:val="20"/>
              </w:rPr>
            </w:pPr>
            <w:r w:rsidRPr="00F40E80">
              <w:rPr>
                <w:rFonts w:ascii="Calibri" w:eastAsia="Times New Roman" w:hAnsi="Calibri" w:cs="Arial"/>
                <w:b/>
                <w:color w:val="2E7029"/>
                <w:sz w:val="20"/>
              </w:rPr>
              <w:t>50.2</w:t>
            </w:r>
          </w:p>
        </w:tc>
      </w:tr>
      <w:tr w:rsidR="00D86A11" w:rsidRPr="00974FBF" w:rsidTr="00117F3C">
        <w:trPr>
          <w:trHeight w:val="260"/>
        </w:trPr>
        <w:tc>
          <w:tcPr>
            <w:tcW w:w="3353" w:type="dxa"/>
            <w:shd w:val="clear" w:color="auto" w:fill="DBE5F1"/>
            <w:noWrap/>
          </w:tcPr>
          <w:p w:rsidR="00D86A11" w:rsidRPr="00F40E80" w:rsidRDefault="00D86A11" w:rsidP="00D86A11">
            <w:pPr>
              <w:spacing w:after="0" w:line="240" w:lineRule="auto"/>
              <w:rPr>
                <w:rFonts w:ascii="Calibri" w:eastAsia="Times New Roman" w:hAnsi="Calibri" w:cs="Arial"/>
                <w:b/>
                <w:color w:val="013161"/>
                <w:sz w:val="20"/>
              </w:rPr>
            </w:pPr>
            <w:r w:rsidRPr="00F40E80">
              <w:rPr>
                <w:rFonts w:ascii="Calibri" w:eastAsia="Times New Roman" w:hAnsi="Calibri" w:cs="Arial"/>
                <w:b/>
                <w:color w:val="013161"/>
                <w:sz w:val="20"/>
              </w:rPr>
              <w:t>PIT placement: group/shelter (n)</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118</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96</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59</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62</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117</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90</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102</w:t>
            </w:r>
          </w:p>
        </w:tc>
        <w:tc>
          <w:tcPr>
            <w:tcW w:w="860" w:type="dxa"/>
            <w:shd w:val="clear" w:color="auto" w:fill="DBE5F1"/>
            <w:vAlign w:val="center"/>
          </w:tcPr>
          <w:p w:rsidR="00D86A11" w:rsidRPr="00F40E80" w:rsidRDefault="00D86A11" w:rsidP="00117F3C">
            <w:pPr>
              <w:spacing w:after="0" w:line="240" w:lineRule="auto"/>
              <w:jc w:val="center"/>
              <w:rPr>
                <w:rFonts w:ascii="Calibri" w:eastAsia="Times New Roman" w:hAnsi="Calibri" w:cs="Arial"/>
                <w:b/>
                <w:color w:val="2E7029"/>
                <w:sz w:val="20"/>
              </w:rPr>
            </w:pPr>
            <w:r w:rsidRPr="00F40E80">
              <w:rPr>
                <w:rFonts w:ascii="Calibri" w:eastAsia="Times New Roman" w:hAnsi="Calibri" w:cs="Arial"/>
                <w:b/>
                <w:color w:val="2E7029"/>
                <w:sz w:val="20"/>
              </w:rPr>
              <w:t>-</w:t>
            </w:r>
          </w:p>
        </w:tc>
      </w:tr>
      <w:tr w:rsidR="00D86A11" w:rsidRPr="00974FBF" w:rsidTr="00117F3C">
        <w:trPr>
          <w:trHeight w:val="260"/>
        </w:trPr>
        <w:tc>
          <w:tcPr>
            <w:tcW w:w="3353" w:type="dxa"/>
            <w:shd w:val="clear" w:color="auto" w:fill="auto"/>
            <w:noWrap/>
          </w:tcPr>
          <w:p w:rsidR="00D86A11" w:rsidRPr="00F40E80" w:rsidRDefault="00D86A11" w:rsidP="00D86A11">
            <w:pPr>
              <w:spacing w:after="0" w:line="240" w:lineRule="auto"/>
              <w:rPr>
                <w:rFonts w:ascii="Calibri" w:eastAsia="Times New Roman" w:hAnsi="Calibri" w:cs="Arial"/>
                <w:b/>
                <w:color w:val="013161"/>
                <w:sz w:val="20"/>
              </w:rPr>
            </w:pPr>
            <w:r w:rsidRPr="00F40E80">
              <w:rPr>
                <w:rFonts w:ascii="Calibri" w:eastAsia="Times New Roman" w:hAnsi="Calibri" w:cs="Arial"/>
                <w:b/>
                <w:color w:val="013161"/>
                <w:sz w:val="20"/>
              </w:rPr>
              <w:t>PIT placement: other (%)</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32.0</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48.6</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56.4</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63.3</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53.6</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49.8</w:t>
            </w:r>
          </w:p>
        </w:tc>
        <w:tc>
          <w:tcPr>
            <w:tcW w:w="792" w:type="dxa"/>
            <w:shd w:val="clear" w:color="auto" w:fill="auto"/>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38.6</w:t>
            </w:r>
          </w:p>
        </w:tc>
        <w:tc>
          <w:tcPr>
            <w:tcW w:w="860" w:type="dxa"/>
            <w:shd w:val="clear" w:color="auto" w:fill="auto"/>
            <w:vAlign w:val="center"/>
          </w:tcPr>
          <w:p w:rsidR="00D86A11" w:rsidRPr="00F40E80" w:rsidRDefault="00D86A11" w:rsidP="00117F3C">
            <w:pPr>
              <w:spacing w:after="0" w:line="240" w:lineRule="auto"/>
              <w:jc w:val="center"/>
              <w:rPr>
                <w:rFonts w:ascii="Calibri" w:eastAsia="Times New Roman" w:hAnsi="Calibri" w:cs="Arial"/>
                <w:b/>
                <w:color w:val="2E7029"/>
                <w:sz w:val="20"/>
              </w:rPr>
            </w:pPr>
            <w:r w:rsidRPr="00F40E80">
              <w:rPr>
                <w:rFonts w:ascii="Calibri" w:eastAsia="Times New Roman" w:hAnsi="Calibri" w:cs="Arial"/>
                <w:b/>
                <w:color w:val="2E7029"/>
                <w:sz w:val="20"/>
              </w:rPr>
              <w:t>46.3</w:t>
            </w:r>
          </w:p>
        </w:tc>
      </w:tr>
      <w:tr w:rsidR="00D86A11" w:rsidRPr="00974FBF" w:rsidTr="00117F3C">
        <w:trPr>
          <w:trHeight w:val="260"/>
        </w:trPr>
        <w:tc>
          <w:tcPr>
            <w:tcW w:w="3353" w:type="dxa"/>
            <w:shd w:val="clear" w:color="auto" w:fill="DBE5F1"/>
            <w:noWrap/>
          </w:tcPr>
          <w:p w:rsidR="00D86A11" w:rsidRPr="00F40E80" w:rsidRDefault="00D86A11" w:rsidP="00D86A11">
            <w:pPr>
              <w:spacing w:after="0" w:line="240" w:lineRule="auto"/>
              <w:rPr>
                <w:rFonts w:ascii="Calibri" w:eastAsia="Times New Roman" w:hAnsi="Calibri" w:cs="Arial"/>
                <w:b/>
                <w:color w:val="013161"/>
                <w:sz w:val="20"/>
              </w:rPr>
            </w:pPr>
            <w:r w:rsidRPr="00F40E80">
              <w:rPr>
                <w:rFonts w:ascii="Calibri" w:eastAsia="Times New Roman" w:hAnsi="Calibri" w:cs="Arial"/>
                <w:b/>
                <w:color w:val="013161"/>
                <w:sz w:val="20"/>
              </w:rPr>
              <w:t>PIT placement: other (n)</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72</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124</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141</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183</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170</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131</w:t>
            </w:r>
          </w:p>
        </w:tc>
        <w:tc>
          <w:tcPr>
            <w:tcW w:w="792" w:type="dxa"/>
            <w:shd w:val="clear" w:color="auto" w:fill="DBE5F1"/>
            <w:noWrap/>
            <w:vAlign w:val="center"/>
          </w:tcPr>
          <w:p w:rsidR="00D86A11" w:rsidRPr="00F40E80" w:rsidRDefault="00D86A11" w:rsidP="00117F3C">
            <w:pPr>
              <w:spacing w:after="0" w:line="240" w:lineRule="auto"/>
              <w:jc w:val="center"/>
              <w:rPr>
                <w:rFonts w:ascii="Calibri" w:eastAsia="Times New Roman" w:hAnsi="Calibri" w:cs="Arial"/>
                <w:b/>
                <w:color w:val="013161"/>
                <w:sz w:val="20"/>
              </w:rPr>
            </w:pPr>
            <w:r w:rsidRPr="00F40E80">
              <w:rPr>
                <w:rFonts w:ascii="Calibri" w:eastAsia="Times New Roman" w:hAnsi="Calibri" w:cs="Arial"/>
                <w:b/>
                <w:color w:val="013161"/>
                <w:sz w:val="20"/>
              </w:rPr>
              <w:t>81</w:t>
            </w:r>
          </w:p>
        </w:tc>
        <w:tc>
          <w:tcPr>
            <w:tcW w:w="860" w:type="dxa"/>
            <w:shd w:val="clear" w:color="auto" w:fill="DBE5F1"/>
            <w:vAlign w:val="center"/>
          </w:tcPr>
          <w:p w:rsidR="00D86A11" w:rsidRPr="00F40E80" w:rsidRDefault="00D86A11" w:rsidP="00117F3C">
            <w:pPr>
              <w:spacing w:after="0"/>
              <w:jc w:val="center"/>
              <w:rPr>
                <w:rFonts w:ascii="Calibri" w:hAnsi="Calibri" w:cs="Calibri"/>
                <w:b/>
                <w:color w:val="2E7029"/>
                <w:sz w:val="20"/>
              </w:rPr>
            </w:pPr>
            <w:r w:rsidRPr="00F40E80">
              <w:rPr>
                <w:rFonts w:ascii="Calibri" w:hAnsi="Calibri" w:cs="Calibri"/>
                <w:b/>
                <w:color w:val="2E7029"/>
                <w:sz w:val="20"/>
              </w:rPr>
              <w:t>-</w:t>
            </w:r>
          </w:p>
        </w:tc>
      </w:tr>
    </w:tbl>
    <w:p w:rsidR="00D86A11" w:rsidRPr="00AF204C" w:rsidRDefault="00D86A11" w:rsidP="00D86A11">
      <w:pPr>
        <w:pStyle w:val="Heading1"/>
        <w:rPr>
          <w:color w:val="2E7029"/>
          <w:sz w:val="24"/>
        </w:rPr>
      </w:pPr>
      <w:r w:rsidRPr="00AF204C">
        <w:rPr>
          <w:color w:val="2E7029"/>
          <w:sz w:val="24"/>
        </w:rPr>
        <w:t>Analysis</w:t>
      </w:r>
    </w:p>
    <w:p w:rsidR="00D86A11" w:rsidRPr="00DD15C5" w:rsidRDefault="00D86A11" w:rsidP="00D86A11">
      <w:pPr>
        <w:spacing w:after="0"/>
        <w:rPr>
          <w:rFonts w:ascii="Franklin Gothic Book" w:hAnsi="Franklin Gothic Book"/>
          <w:color w:val="auto"/>
          <w:spacing w:val="20"/>
          <w:szCs w:val="28"/>
        </w:rPr>
      </w:pPr>
      <w:r w:rsidRPr="00DD15C5">
        <w:rPr>
          <w:rFonts w:ascii="Franklin Gothic Book" w:hAnsi="Franklin Gothic Book"/>
          <w:b/>
          <w:color w:val="auto"/>
          <w:spacing w:val="20"/>
          <w:szCs w:val="28"/>
        </w:rPr>
        <w:t>Trends:</w:t>
      </w:r>
      <w:r w:rsidRPr="00DD15C5">
        <w:rPr>
          <w:rFonts w:ascii="Franklin Gothic Book" w:hAnsi="Franklin Gothic Book"/>
          <w:color w:val="auto"/>
          <w:spacing w:val="20"/>
          <w:szCs w:val="28"/>
        </w:rPr>
        <w:t xml:space="preserve"> These numbers represent the number of youth in the least restrictive placement on January 1st of the respective year. Although these numbers give a snapshot of the least restrictive placement on the specific date, they are really not representative of occurrences throughout the year.  For example, these numbers could signify progress on January 1</w:t>
      </w:r>
      <w:r w:rsidRPr="00DD15C5">
        <w:rPr>
          <w:rFonts w:ascii="Franklin Gothic Book" w:hAnsi="Franklin Gothic Book"/>
          <w:color w:val="auto"/>
          <w:spacing w:val="20"/>
          <w:szCs w:val="28"/>
          <w:vertAlign w:val="superscript"/>
        </w:rPr>
        <w:t>st</w:t>
      </w:r>
      <w:r w:rsidRPr="00DD15C5">
        <w:rPr>
          <w:rFonts w:ascii="Franklin Gothic Book" w:hAnsi="Franklin Gothic Book"/>
          <w:color w:val="auto"/>
          <w:spacing w:val="20"/>
          <w:szCs w:val="28"/>
        </w:rPr>
        <w:t xml:space="preserve">, however, circumstances could change one month later, and the numbers could change drastically. </w:t>
      </w:r>
      <w:r>
        <w:rPr>
          <w:rFonts w:ascii="Franklin Gothic Book" w:hAnsi="Franklin Gothic Book"/>
          <w:color w:val="auto"/>
          <w:spacing w:val="20"/>
          <w:szCs w:val="28"/>
        </w:rPr>
        <w:t>The County of San Diego</w:t>
      </w:r>
      <w:r w:rsidRPr="00DD15C5">
        <w:rPr>
          <w:rFonts w:ascii="Franklin Gothic Book" w:hAnsi="Franklin Gothic Book"/>
          <w:color w:val="auto"/>
          <w:spacing w:val="20"/>
          <w:szCs w:val="28"/>
        </w:rPr>
        <w:t xml:space="preserve">’s rate of relative placements is quite a bit higher than the state’s rate of 2.9%. </w:t>
      </w:r>
    </w:p>
    <w:p w:rsidR="00D86A11" w:rsidRPr="00DD15C5" w:rsidRDefault="00D86A11" w:rsidP="00D86A11">
      <w:pPr>
        <w:spacing w:before="240" w:after="0"/>
        <w:rPr>
          <w:rFonts w:ascii="Franklin Gothic Book" w:hAnsi="Franklin Gothic Book"/>
          <w:color w:val="auto"/>
          <w:spacing w:val="20"/>
          <w:szCs w:val="28"/>
        </w:rPr>
      </w:pPr>
      <w:r w:rsidRPr="00DD15C5">
        <w:rPr>
          <w:rFonts w:ascii="Franklin Gothic Book" w:hAnsi="Franklin Gothic Book"/>
          <w:b/>
          <w:color w:val="auto"/>
          <w:spacing w:val="20"/>
          <w:szCs w:val="28"/>
        </w:rPr>
        <w:t>Race/Ethnicity:</w:t>
      </w:r>
      <w:r w:rsidRPr="00DD15C5">
        <w:rPr>
          <w:rFonts w:ascii="Franklin Gothic Book" w:hAnsi="Franklin Gothic Book"/>
          <w:color w:val="auto"/>
          <w:spacing w:val="20"/>
          <w:szCs w:val="28"/>
        </w:rPr>
        <w:t xml:space="preserve"> As of January 1, 2016, 75% (3) of Asian/PI youth were in group homes placements as were 62.2% (28) of White youth, 44.8% (26) of Black youth, 44.3% (43) of Latino youth and 50% (1) of Native American Youth. Fifty percent (1) of Native American youth were in relative placements, as were 15.5% (9) of Black </w:t>
      </w:r>
      <w:r w:rsidRPr="00DD15C5">
        <w:rPr>
          <w:rFonts w:ascii="Franklin Gothic Book" w:hAnsi="Franklin Gothic Book"/>
          <w:color w:val="auto"/>
          <w:spacing w:val="20"/>
          <w:szCs w:val="28"/>
        </w:rPr>
        <w:lastRenderedPageBreak/>
        <w:t xml:space="preserve">youth, 13.3% (6) of White youth, and 10.3% (10) of Latino youth. The remainder of youth were in other placements, trial home visits or were AWOL. </w:t>
      </w:r>
    </w:p>
    <w:p w:rsidR="00D86A11" w:rsidRPr="00DD15C5" w:rsidRDefault="00D86A11" w:rsidP="00D86A11">
      <w:pPr>
        <w:spacing w:before="240" w:after="0"/>
        <w:rPr>
          <w:rFonts w:ascii="Franklin Gothic Book" w:hAnsi="Franklin Gothic Book"/>
          <w:color w:val="auto"/>
          <w:spacing w:val="20"/>
          <w:szCs w:val="28"/>
        </w:rPr>
      </w:pPr>
      <w:r w:rsidRPr="00DD15C5">
        <w:rPr>
          <w:rFonts w:ascii="Franklin Gothic Book" w:hAnsi="Franklin Gothic Book"/>
          <w:b/>
          <w:color w:val="auto"/>
          <w:spacing w:val="20"/>
          <w:szCs w:val="28"/>
        </w:rPr>
        <w:t>Age:</w:t>
      </w:r>
      <w:r w:rsidRPr="00DD15C5">
        <w:rPr>
          <w:rFonts w:ascii="Franklin Gothic Book" w:hAnsi="Franklin Gothic Book"/>
          <w:color w:val="auto"/>
          <w:spacing w:val="20"/>
          <w:szCs w:val="28"/>
        </w:rPr>
        <w:t xml:space="preserve"> As of January 1, 2016, 58.3% of 11-15 year olds were in group home placements and 12.5% were placed with relatives; 62.4% of 16-17 year olds were in group home placements and 11.9% were with relatives; 26.0% of 18-21 year olds were living in a group home and 14.3% were with relatives. </w:t>
      </w:r>
    </w:p>
    <w:p w:rsidR="00D86A11" w:rsidRPr="00DD15C5" w:rsidRDefault="00D86A11" w:rsidP="00D86A11">
      <w:pPr>
        <w:pStyle w:val="Heading3"/>
        <w:spacing w:line="276" w:lineRule="auto"/>
        <w:rPr>
          <w:b w:val="0"/>
          <w:color w:val="auto"/>
          <w:sz w:val="22"/>
        </w:rPr>
      </w:pPr>
      <w:r w:rsidRPr="00DD15C5">
        <w:rPr>
          <w:b w:val="0"/>
          <w:color w:val="auto"/>
          <w:sz w:val="22"/>
        </w:rPr>
        <w:t xml:space="preserve">This section includes an “other “category, which possibly represents the number of youth who at that point in time had absconded from their placement, but still show with an open placement episode, or youth who have a custodial commitment (Breaking Cycles or Camp Barrett) in conjunction with a placement order. This large number of youth in the “other” category may also be a result of the continued need for data clean up in the CWS/CMS system. </w:t>
      </w:r>
    </w:p>
    <w:p w:rsidR="00D86A11" w:rsidRDefault="00D86A11" w:rsidP="00D86A11">
      <w:pPr>
        <w:pStyle w:val="Heading1"/>
        <w:rPr>
          <w:color w:val="F6872B"/>
          <w:sz w:val="24"/>
        </w:rPr>
      </w:pPr>
      <w:r w:rsidRPr="00AF204C">
        <w:rPr>
          <w:color w:val="F6872B"/>
          <w:sz w:val="24"/>
        </w:rPr>
        <w:t xml:space="preserve">4E ICWA Eligible Placement Status &amp; Multi-Ethnic Placement Status  </w:t>
      </w:r>
    </w:p>
    <w:p w:rsidR="00D86A11" w:rsidRPr="00292A5C" w:rsidRDefault="00D86A11" w:rsidP="00D86A11">
      <w:pPr>
        <w:pStyle w:val="Heading1"/>
        <w:rPr>
          <w:color w:val="2E7029"/>
          <w:sz w:val="24"/>
        </w:rPr>
      </w:pPr>
      <w:r w:rsidRPr="00AF204C">
        <w:rPr>
          <w:color w:val="2E7029"/>
          <w:sz w:val="24"/>
        </w:rPr>
        <w:t>Analysis</w:t>
      </w:r>
    </w:p>
    <w:p w:rsidR="00D86A11" w:rsidRPr="00DD15C5" w:rsidRDefault="00D86A11" w:rsidP="00D86A11">
      <w:pPr>
        <w:pStyle w:val="Heading3"/>
        <w:spacing w:line="276" w:lineRule="auto"/>
        <w:rPr>
          <w:b w:val="0"/>
          <w:color w:val="auto"/>
          <w:sz w:val="22"/>
        </w:rPr>
      </w:pPr>
      <w:r w:rsidRPr="00DD15C5">
        <w:rPr>
          <w:b w:val="0"/>
          <w:color w:val="auto"/>
          <w:sz w:val="22"/>
        </w:rPr>
        <w:t>As of January 1, 2016 there were 3 youth with ICWA Eligibility in placement. Two 16-17 year olds were living in group homes and one youth, age 18-21, was living with relatives. The numbers are too small to note any trends – the total number of ICWA Eligible youth in placement has ranged from 0 to 4 since 2010.</w:t>
      </w:r>
    </w:p>
    <w:p w:rsidR="00D86A11" w:rsidRPr="00B001FC" w:rsidRDefault="00D86A11" w:rsidP="00D86A11">
      <w:pPr>
        <w:spacing w:after="0"/>
        <w:rPr>
          <w:rFonts w:ascii="Calibri" w:hAnsi="Calibri" w:cs="Calibri"/>
          <w:sz w:val="14"/>
        </w:rPr>
      </w:pPr>
    </w:p>
    <w:p w:rsidR="00D86A11" w:rsidRPr="00AF204C" w:rsidRDefault="00D86A11" w:rsidP="00D86A11">
      <w:pPr>
        <w:spacing w:after="0"/>
        <w:contextualSpacing/>
        <w:rPr>
          <w:rFonts w:ascii="Franklin Gothic Book" w:hAnsi="Franklin Gothic Book"/>
          <w:b/>
          <w:color w:val="F6872B"/>
          <w:spacing w:val="20"/>
          <w:sz w:val="24"/>
          <w:szCs w:val="28"/>
        </w:rPr>
      </w:pPr>
      <w:r w:rsidRPr="00AF204C">
        <w:rPr>
          <w:rFonts w:ascii="Franklin Gothic Book" w:hAnsi="Franklin Gothic Book"/>
          <w:b/>
          <w:color w:val="F6872B"/>
          <w:spacing w:val="20"/>
          <w:sz w:val="24"/>
          <w:szCs w:val="28"/>
        </w:rPr>
        <w:t xml:space="preserve">5F Authorized for Psychotropic Medication </w:t>
      </w:r>
    </w:p>
    <w:tbl>
      <w:tblPr>
        <w:tblW w:w="0" w:type="auto"/>
        <w:tblBorders>
          <w:top w:val="single" w:sz="18" w:space="0" w:color="F6872B"/>
          <w:bottom w:val="single" w:sz="18" w:space="0" w:color="F6872B"/>
        </w:tblBorders>
        <w:tblLook w:val="04A0" w:firstRow="1" w:lastRow="0" w:firstColumn="1" w:lastColumn="0" w:noHBand="0" w:noVBand="1"/>
      </w:tblPr>
      <w:tblGrid>
        <w:gridCol w:w="3645"/>
        <w:gridCol w:w="1336"/>
        <w:gridCol w:w="1336"/>
        <w:gridCol w:w="1336"/>
        <w:gridCol w:w="1338"/>
      </w:tblGrid>
      <w:tr w:rsidR="00D86A11" w:rsidRPr="00974FBF">
        <w:trPr>
          <w:trHeight w:val="675"/>
        </w:trPr>
        <w:tc>
          <w:tcPr>
            <w:tcW w:w="8991" w:type="dxa"/>
            <w:gridSpan w:val="5"/>
            <w:shd w:val="clear" w:color="auto" w:fill="013161"/>
            <w:noWrap/>
          </w:tcPr>
          <w:p w:rsidR="00D86A11" w:rsidRPr="00E415BF" w:rsidRDefault="00D86A11" w:rsidP="00D86A11">
            <w:pPr>
              <w:spacing w:after="0"/>
              <w:jc w:val="center"/>
              <w:rPr>
                <w:rFonts w:ascii="Calibri" w:hAnsi="Calibri" w:cs="Calibri"/>
                <w:b/>
                <w:color w:val="FFFFFF"/>
                <w:sz w:val="24"/>
              </w:rPr>
            </w:pPr>
            <w:r>
              <w:rPr>
                <w:rFonts w:ascii="Calibri" w:hAnsi="Calibri" w:cs="Calibri"/>
                <w:b/>
                <w:color w:val="FFFFFF"/>
                <w:sz w:val="24"/>
              </w:rPr>
              <w:t>Exhibit 88. County of San Diego</w:t>
            </w:r>
            <w:r w:rsidRPr="00E415BF">
              <w:rPr>
                <w:rFonts w:ascii="Calibri" w:hAnsi="Calibri" w:cs="Calibri"/>
                <w:b/>
                <w:color w:val="FFFFFF"/>
                <w:sz w:val="24"/>
              </w:rPr>
              <w:t xml:space="preserve"> Probation Youth, Age 0-17, Authorized for Psychotropic Medication</w:t>
            </w:r>
            <w:r>
              <w:rPr>
                <w:rFonts w:ascii="Calibri" w:hAnsi="Calibri" w:cs="Calibri"/>
                <w:b/>
                <w:color w:val="FFFFFF"/>
                <w:sz w:val="24"/>
              </w:rPr>
              <w:t xml:space="preserve"> (Calendar Year)</w:t>
            </w:r>
          </w:p>
          <w:p w:rsidR="00D86A11" w:rsidRPr="000055D1" w:rsidRDefault="00D86A11" w:rsidP="00D86A11">
            <w:pPr>
              <w:spacing w:after="0" w:line="240" w:lineRule="auto"/>
              <w:jc w:val="center"/>
              <w:rPr>
                <w:rFonts w:ascii="Calibri" w:eastAsia="Times New Roman" w:hAnsi="Calibri" w:cs="Arial"/>
                <w:color w:val="auto"/>
                <w:szCs w:val="18"/>
              </w:rPr>
            </w:pPr>
            <w:r w:rsidRPr="000055D1">
              <w:rPr>
                <w:rFonts w:ascii="Calibri" w:hAnsi="Calibri" w:cs="Calibri"/>
                <w:color w:val="FFFFFF"/>
              </w:rPr>
              <w:t>CA at 17.6%</w:t>
            </w:r>
          </w:p>
        </w:tc>
      </w:tr>
      <w:tr w:rsidR="00D86A11" w:rsidRPr="00974FBF">
        <w:trPr>
          <w:trHeight w:val="276"/>
        </w:trPr>
        <w:tc>
          <w:tcPr>
            <w:tcW w:w="3645" w:type="dxa"/>
            <w:shd w:val="clear" w:color="auto" w:fill="013161"/>
            <w:noWrap/>
          </w:tcPr>
          <w:p w:rsidR="00D86A11" w:rsidRPr="00721EF1" w:rsidRDefault="00D86A11" w:rsidP="00D86A11">
            <w:pPr>
              <w:spacing w:after="0"/>
              <w:rPr>
                <w:rFonts w:ascii="Calibri" w:hAnsi="Calibri" w:cs="Calibri"/>
                <w:b/>
                <w:color w:val="FFFFFF"/>
              </w:rPr>
            </w:pPr>
          </w:p>
        </w:tc>
        <w:tc>
          <w:tcPr>
            <w:tcW w:w="1336" w:type="dxa"/>
            <w:shd w:val="clear" w:color="auto" w:fill="013161"/>
            <w:noWrap/>
          </w:tcPr>
          <w:p w:rsidR="00D86A11" w:rsidRPr="00721EF1" w:rsidRDefault="00D86A11" w:rsidP="00D86A11">
            <w:pPr>
              <w:spacing w:after="0"/>
              <w:jc w:val="center"/>
              <w:rPr>
                <w:rFonts w:ascii="Calibri" w:hAnsi="Calibri" w:cs="Calibri"/>
                <w:b/>
                <w:color w:val="FFFFFF"/>
                <w:szCs w:val="18"/>
              </w:rPr>
            </w:pPr>
            <w:r w:rsidRPr="00721EF1">
              <w:rPr>
                <w:rFonts w:ascii="Calibri" w:eastAsia="Times New Roman" w:hAnsi="Calibri" w:cs="Arial"/>
                <w:b/>
                <w:color w:val="FFFFFF"/>
                <w:szCs w:val="18"/>
              </w:rPr>
              <w:t>Q4 2012</w:t>
            </w:r>
          </w:p>
        </w:tc>
        <w:tc>
          <w:tcPr>
            <w:tcW w:w="1336" w:type="dxa"/>
            <w:shd w:val="clear" w:color="auto" w:fill="013161"/>
            <w:noWrap/>
          </w:tcPr>
          <w:p w:rsidR="00D86A11" w:rsidRPr="00721EF1" w:rsidRDefault="00D86A11" w:rsidP="00D86A11">
            <w:pPr>
              <w:spacing w:after="0"/>
              <w:jc w:val="center"/>
              <w:rPr>
                <w:rFonts w:ascii="Calibri" w:hAnsi="Calibri" w:cs="Calibri"/>
                <w:b/>
                <w:color w:val="FFFFFF"/>
                <w:szCs w:val="18"/>
              </w:rPr>
            </w:pPr>
            <w:r w:rsidRPr="00721EF1">
              <w:rPr>
                <w:rFonts w:ascii="Calibri" w:eastAsia="Times New Roman" w:hAnsi="Calibri" w:cs="Arial"/>
                <w:b/>
                <w:color w:val="FFFFFF"/>
                <w:szCs w:val="18"/>
              </w:rPr>
              <w:t>Q4 2013</w:t>
            </w:r>
          </w:p>
        </w:tc>
        <w:tc>
          <w:tcPr>
            <w:tcW w:w="1336" w:type="dxa"/>
            <w:shd w:val="clear" w:color="auto" w:fill="013161"/>
            <w:noWrap/>
          </w:tcPr>
          <w:p w:rsidR="00D86A11" w:rsidRPr="00721EF1" w:rsidRDefault="00D86A11" w:rsidP="00D86A11">
            <w:pPr>
              <w:spacing w:after="0"/>
              <w:jc w:val="center"/>
              <w:rPr>
                <w:rFonts w:ascii="Calibri" w:hAnsi="Calibri" w:cs="Calibri"/>
                <w:b/>
                <w:color w:val="FFFFFF"/>
                <w:szCs w:val="18"/>
              </w:rPr>
            </w:pPr>
            <w:r w:rsidRPr="00721EF1">
              <w:rPr>
                <w:rFonts w:ascii="Calibri" w:eastAsia="Times New Roman" w:hAnsi="Calibri" w:cs="Arial"/>
                <w:b/>
                <w:color w:val="FFFFFF"/>
                <w:szCs w:val="18"/>
              </w:rPr>
              <w:t>Q4 2014</w:t>
            </w:r>
          </w:p>
        </w:tc>
        <w:tc>
          <w:tcPr>
            <w:tcW w:w="1338" w:type="dxa"/>
            <w:shd w:val="clear" w:color="auto" w:fill="013161"/>
            <w:noWrap/>
          </w:tcPr>
          <w:p w:rsidR="00D86A11" w:rsidRPr="00721EF1" w:rsidRDefault="00D86A11" w:rsidP="00D86A11">
            <w:pPr>
              <w:spacing w:after="0"/>
              <w:jc w:val="center"/>
              <w:rPr>
                <w:rFonts w:ascii="Calibri" w:hAnsi="Calibri" w:cs="Calibri"/>
                <w:b/>
                <w:color w:val="FFFFFF"/>
                <w:szCs w:val="18"/>
              </w:rPr>
            </w:pPr>
            <w:r w:rsidRPr="00721EF1">
              <w:rPr>
                <w:rFonts w:ascii="Calibri" w:eastAsia="Times New Roman" w:hAnsi="Calibri" w:cs="Arial"/>
                <w:b/>
                <w:color w:val="FFFFFF"/>
                <w:szCs w:val="18"/>
              </w:rPr>
              <w:t>Q4 2015</w:t>
            </w:r>
          </w:p>
        </w:tc>
      </w:tr>
      <w:tr w:rsidR="00D86A11" w:rsidRPr="00974FBF">
        <w:trPr>
          <w:trHeight w:val="276"/>
        </w:trPr>
        <w:tc>
          <w:tcPr>
            <w:tcW w:w="3645" w:type="dxa"/>
            <w:shd w:val="clear" w:color="auto" w:fill="auto"/>
            <w:noWrap/>
          </w:tcPr>
          <w:p w:rsidR="00D86A11" w:rsidRPr="00D70021" w:rsidRDefault="00D86A11" w:rsidP="00D86A11">
            <w:pPr>
              <w:spacing w:after="0"/>
              <w:rPr>
                <w:rFonts w:ascii="Calibri" w:hAnsi="Calibri" w:cs="Calibri"/>
                <w:b/>
                <w:color w:val="013161"/>
                <w:sz w:val="20"/>
              </w:rPr>
            </w:pPr>
            <w:r w:rsidRPr="00D70021">
              <w:rPr>
                <w:rFonts w:ascii="Calibri" w:hAnsi="Calibri" w:cs="Calibri"/>
                <w:b/>
                <w:color w:val="013161"/>
                <w:sz w:val="20"/>
              </w:rPr>
              <w:t>Authorized for psychotropic medication (%)</w:t>
            </w:r>
          </w:p>
        </w:tc>
        <w:tc>
          <w:tcPr>
            <w:tcW w:w="1336" w:type="dxa"/>
            <w:shd w:val="clear" w:color="auto" w:fill="auto"/>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8.6</w:t>
            </w:r>
          </w:p>
        </w:tc>
        <w:tc>
          <w:tcPr>
            <w:tcW w:w="1336" w:type="dxa"/>
            <w:shd w:val="clear" w:color="auto" w:fill="auto"/>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11.2</w:t>
            </w:r>
          </w:p>
        </w:tc>
        <w:tc>
          <w:tcPr>
            <w:tcW w:w="1336" w:type="dxa"/>
            <w:shd w:val="clear" w:color="auto" w:fill="auto"/>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12.4</w:t>
            </w:r>
          </w:p>
        </w:tc>
        <w:tc>
          <w:tcPr>
            <w:tcW w:w="1338" w:type="dxa"/>
            <w:shd w:val="clear" w:color="auto" w:fill="auto"/>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13.3</w:t>
            </w:r>
          </w:p>
        </w:tc>
      </w:tr>
      <w:tr w:rsidR="00D86A11" w:rsidRPr="00974FBF">
        <w:trPr>
          <w:trHeight w:val="276"/>
        </w:trPr>
        <w:tc>
          <w:tcPr>
            <w:tcW w:w="3645" w:type="dxa"/>
            <w:shd w:val="clear" w:color="auto" w:fill="DBE5F1"/>
            <w:noWrap/>
          </w:tcPr>
          <w:p w:rsidR="00D86A11" w:rsidRPr="00D70021" w:rsidRDefault="00D86A11" w:rsidP="00D86A11">
            <w:pPr>
              <w:spacing w:after="0"/>
              <w:rPr>
                <w:rFonts w:ascii="Calibri" w:hAnsi="Calibri" w:cs="Calibri"/>
                <w:b/>
                <w:color w:val="013161"/>
                <w:sz w:val="20"/>
              </w:rPr>
            </w:pPr>
            <w:r w:rsidRPr="00D70021">
              <w:rPr>
                <w:rFonts w:ascii="Calibri" w:hAnsi="Calibri" w:cs="Calibri"/>
                <w:b/>
                <w:color w:val="013161"/>
                <w:sz w:val="20"/>
              </w:rPr>
              <w:t>Authorized for psychotropic medication (n)</w:t>
            </w:r>
          </w:p>
        </w:tc>
        <w:tc>
          <w:tcPr>
            <w:tcW w:w="1336" w:type="dxa"/>
            <w:shd w:val="clear" w:color="auto" w:fill="DBE5F1"/>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13</w:t>
            </w:r>
          </w:p>
        </w:tc>
        <w:tc>
          <w:tcPr>
            <w:tcW w:w="1336" w:type="dxa"/>
            <w:shd w:val="clear" w:color="auto" w:fill="DBE5F1"/>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22</w:t>
            </w:r>
          </w:p>
        </w:tc>
        <w:tc>
          <w:tcPr>
            <w:tcW w:w="1336" w:type="dxa"/>
            <w:shd w:val="clear" w:color="auto" w:fill="DBE5F1"/>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20</w:t>
            </w:r>
          </w:p>
        </w:tc>
        <w:tc>
          <w:tcPr>
            <w:tcW w:w="1338" w:type="dxa"/>
            <w:shd w:val="clear" w:color="auto" w:fill="DBE5F1"/>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19</w:t>
            </w:r>
          </w:p>
        </w:tc>
      </w:tr>
    </w:tbl>
    <w:p w:rsidR="00D86A11" w:rsidRPr="00AF204C" w:rsidRDefault="00D86A11" w:rsidP="00D86A11">
      <w:pPr>
        <w:pStyle w:val="Heading1"/>
        <w:rPr>
          <w:color w:val="2E7029"/>
          <w:sz w:val="24"/>
        </w:rPr>
      </w:pPr>
      <w:r w:rsidRPr="00AF204C">
        <w:rPr>
          <w:color w:val="2E7029"/>
          <w:sz w:val="24"/>
        </w:rPr>
        <w:t>Analysis</w:t>
      </w:r>
    </w:p>
    <w:p w:rsidR="00D86A11" w:rsidRPr="00DD15C5" w:rsidRDefault="00D86A11" w:rsidP="00D86A11">
      <w:pPr>
        <w:spacing w:after="0"/>
        <w:rPr>
          <w:rFonts w:ascii="Franklin Gothic Book" w:hAnsi="Franklin Gothic Book"/>
          <w:color w:val="auto"/>
          <w:spacing w:val="20"/>
          <w:szCs w:val="22"/>
        </w:rPr>
      </w:pPr>
      <w:r w:rsidRPr="00DD15C5">
        <w:rPr>
          <w:rFonts w:ascii="Franklin Gothic Book" w:hAnsi="Franklin Gothic Book"/>
          <w:b/>
          <w:color w:val="auto"/>
          <w:spacing w:val="20"/>
          <w:szCs w:val="22"/>
        </w:rPr>
        <w:t>Trends:</w:t>
      </w:r>
      <w:r w:rsidRPr="00DD15C5">
        <w:rPr>
          <w:rFonts w:ascii="Franklin Gothic Book" w:hAnsi="Franklin Gothic Book"/>
          <w:color w:val="auto"/>
          <w:spacing w:val="20"/>
          <w:szCs w:val="22"/>
        </w:rPr>
        <w:t xml:space="preserve"> Although the overall numbers are small, the percent of youth authorized for psychotropic medication has increased due to the higher levels of need of the youth now in the system. However, San Diego’s rate of 13.3% is lower than the State’s rate of 17.6%. </w:t>
      </w:r>
    </w:p>
    <w:p w:rsidR="00D86A11" w:rsidRPr="00DD15C5" w:rsidRDefault="00D86A11" w:rsidP="00D86A11">
      <w:pPr>
        <w:spacing w:before="240" w:after="0"/>
        <w:rPr>
          <w:rFonts w:ascii="Franklin Gothic Book" w:hAnsi="Franklin Gothic Book"/>
          <w:color w:val="auto"/>
          <w:spacing w:val="20"/>
          <w:szCs w:val="22"/>
        </w:rPr>
      </w:pPr>
      <w:r w:rsidRPr="00DD15C5">
        <w:rPr>
          <w:rFonts w:ascii="Franklin Gothic Book" w:hAnsi="Franklin Gothic Book"/>
          <w:b/>
          <w:color w:val="auto"/>
          <w:spacing w:val="20"/>
          <w:szCs w:val="22"/>
        </w:rPr>
        <w:t>Race/Ethnicity</w:t>
      </w:r>
      <w:r w:rsidRPr="00DD15C5">
        <w:rPr>
          <w:rFonts w:ascii="Franklin Gothic Book" w:hAnsi="Franklin Gothic Book"/>
          <w:color w:val="auto"/>
          <w:spacing w:val="20"/>
          <w:szCs w:val="22"/>
        </w:rPr>
        <w:t xml:space="preserve">: race/ethnicity is not available. </w:t>
      </w:r>
    </w:p>
    <w:p w:rsidR="00D86A11" w:rsidRPr="00DD15C5" w:rsidRDefault="00D86A11" w:rsidP="00D86A11">
      <w:pPr>
        <w:spacing w:before="240" w:after="0"/>
        <w:rPr>
          <w:rFonts w:ascii="Franklin Gothic Book" w:hAnsi="Franklin Gothic Book"/>
          <w:color w:val="auto"/>
          <w:spacing w:val="20"/>
          <w:szCs w:val="22"/>
        </w:rPr>
      </w:pPr>
      <w:r w:rsidRPr="00DD15C5">
        <w:rPr>
          <w:rFonts w:ascii="Franklin Gothic Book" w:hAnsi="Franklin Gothic Book"/>
          <w:b/>
          <w:color w:val="auto"/>
          <w:spacing w:val="20"/>
          <w:szCs w:val="22"/>
        </w:rPr>
        <w:t>Age</w:t>
      </w:r>
      <w:r w:rsidRPr="00DD15C5">
        <w:rPr>
          <w:rFonts w:ascii="Franklin Gothic Book" w:hAnsi="Franklin Gothic Book"/>
          <w:color w:val="auto"/>
          <w:spacing w:val="20"/>
          <w:szCs w:val="22"/>
        </w:rPr>
        <w:t xml:space="preserve">: 17 of the 19 youth authorized for psychotropic medication in 2016 were age 16-17; the ages of the other 2 youth are not noted. </w:t>
      </w:r>
    </w:p>
    <w:p w:rsidR="00D86A11" w:rsidRPr="001375F2" w:rsidRDefault="00D86A11" w:rsidP="00D86A11">
      <w:pPr>
        <w:pStyle w:val="Heading3"/>
        <w:spacing w:line="276" w:lineRule="auto"/>
        <w:rPr>
          <w:b w:val="0"/>
          <w:color w:val="auto"/>
          <w:sz w:val="22"/>
        </w:rPr>
      </w:pPr>
      <w:r w:rsidRPr="00DD15C5">
        <w:rPr>
          <w:b w:val="0"/>
          <w:color w:val="auto"/>
          <w:sz w:val="22"/>
        </w:rPr>
        <w:lastRenderedPageBreak/>
        <w:t>Youth with placement orders are increasingly being diagnosed with severe mental health issues, which explain the increase in authorizations for psychotropic</w:t>
      </w:r>
      <w:r w:rsidRPr="001375F2">
        <w:rPr>
          <w:b w:val="0"/>
          <w:color w:val="auto"/>
          <w:sz w:val="22"/>
        </w:rPr>
        <w:t xml:space="preserve"> medications.</w:t>
      </w:r>
    </w:p>
    <w:p w:rsidR="00D86A11" w:rsidRPr="00E024F4" w:rsidRDefault="00D86A11" w:rsidP="00D86A11">
      <w:pPr>
        <w:pStyle w:val="Heading1"/>
        <w:rPr>
          <w:rFonts w:ascii="Calibri" w:hAnsi="Calibri" w:cs="Calibri"/>
          <w:b w:val="0"/>
          <w:smallCaps/>
          <w:color w:val="auto"/>
          <w:szCs w:val="28"/>
        </w:rPr>
      </w:pPr>
      <w:r w:rsidRPr="00AF204C">
        <w:rPr>
          <w:color w:val="F6872B"/>
          <w:sz w:val="24"/>
        </w:rPr>
        <w:t>8A Exit Outcomes for Youth Aging Out of Foster Care</w:t>
      </w:r>
    </w:p>
    <w:tbl>
      <w:tblPr>
        <w:tblW w:w="9648" w:type="dxa"/>
        <w:tblBorders>
          <w:top w:val="single" w:sz="18" w:space="0" w:color="F6872B"/>
          <w:bottom w:val="single" w:sz="18" w:space="0" w:color="F6872B"/>
        </w:tblBorders>
        <w:tblLook w:val="04A0" w:firstRow="1" w:lastRow="0" w:firstColumn="1" w:lastColumn="0" w:noHBand="0" w:noVBand="1"/>
      </w:tblPr>
      <w:tblGrid>
        <w:gridCol w:w="2422"/>
        <w:gridCol w:w="1193"/>
        <w:gridCol w:w="1193"/>
        <w:gridCol w:w="1193"/>
        <w:gridCol w:w="1037"/>
        <w:gridCol w:w="1080"/>
        <w:gridCol w:w="1530"/>
      </w:tblGrid>
      <w:tr w:rsidR="00D86A11" w:rsidRPr="00974FBF">
        <w:trPr>
          <w:trHeight w:val="369"/>
        </w:trPr>
        <w:tc>
          <w:tcPr>
            <w:tcW w:w="9648" w:type="dxa"/>
            <w:gridSpan w:val="7"/>
            <w:shd w:val="clear" w:color="auto" w:fill="013161"/>
            <w:noWrap/>
          </w:tcPr>
          <w:p w:rsidR="00D86A11" w:rsidRPr="000055D1" w:rsidRDefault="00D86A11" w:rsidP="00D86A11">
            <w:pPr>
              <w:spacing w:after="0" w:line="240" w:lineRule="auto"/>
              <w:jc w:val="center"/>
              <w:rPr>
                <w:rFonts w:ascii="Calibri" w:eastAsia="Times New Roman" w:hAnsi="Calibri" w:cs="Arial"/>
                <w:color w:val="FFFFFF"/>
                <w:szCs w:val="18"/>
              </w:rPr>
            </w:pPr>
            <w:r>
              <w:rPr>
                <w:rFonts w:ascii="Calibri" w:hAnsi="Calibri" w:cs="Calibri"/>
                <w:b/>
                <w:color w:val="FFFFFF"/>
                <w:sz w:val="24"/>
              </w:rPr>
              <w:t>Exhibit 89. County of San Diego</w:t>
            </w:r>
            <w:r w:rsidRPr="00E415BF">
              <w:rPr>
                <w:rFonts w:ascii="Calibri" w:hAnsi="Calibri" w:cs="Calibri"/>
                <w:b/>
                <w:color w:val="FFFFFF"/>
                <w:sz w:val="24"/>
              </w:rPr>
              <w:t xml:space="preserve"> Probation - Outcomes for Youth Exiting Foster Care at Age 18 or Older</w:t>
            </w:r>
            <w:r>
              <w:rPr>
                <w:rFonts w:ascii="Calibri" w:hAnsi="Calibri" w:cs="Calibri"/>
                <w:b/>
                <w:color w:val="FFFFFF"/>
                <w:sz w:val="24"/>
              </w:rPr>
              <w:t xml:space="preserve"> (Calendar Year)</w:t>
            </w:r>
          </w:p>
        </w:tc>
      </w:tr>
      <w:tr w:rsidR="00D86A11" w:rsidRPr="00974FBF">
        <w:trPr>
          <w:trHeight w:val="255"/>
        </w:trPr>
        <w:tc>
          <w:tcPr>
            <w:tcW w:w="2422" w:type="dxa"/>
            <w:shd w:val="clear" w:color="auto" w:fill="013161"/>
            <w:noWrap/>
          </w:tcPr>
          <w:p w:rsidR="00D86A11" w:rsidRPr="00721EF1" w:rsidRDefault="00D86A11" w:rsidP="00D86A11">
            <w:pPr>
              <w:spacing w:after="0"/>
              <w:rPr>
                <w:rFonts w:ascii="Calibri" w:hAnsi="Calibri" w:cs="Calibri"/>
                <w:b/>
                <w:color w:val="FFFFFF"/>
              </w:rPr>
            </w:pPr>
          </w:p>
        </w:tc>
        <w:tc>
          <w:tcPr>
            <w:tcW w:w="1193" w:type="dxa"/>
            <w:shd w:val="clear" w:color="auto" w:fill="013161"/>
            <w:noWrap/>
          </w:tcPr>
          <w:p w:rsidR="00D86A11" w:rsidRPr="00721EF1" w:rsidRDefault="00D86A11" w:rsidP="00D86A11">
            <w:pPr>
              <w:spacing w:after="0"/>
              <w:jc w:val="center"/>
              <w:rPr>
                <w:rFonts w:ascii="Calibri" w:hAnsi="Calibri" w:cs="Calibri"/>
                <w:b/>
                <w:color w:val="FFFFFF"/>
                <w:szCs w:val="18"/>
              </w:rPr>
            </w:pPr>
            <w:r w:rsidRPr="00721EF1">
              <w:rPr>
                <w:rFonts w:ascii="Calibri" w:eastAsia="Times New Roman" w:hAnsi="Calibri" w:cs="Arial"/>
                <w:b/>
                <w:color w:val="FFFFFF"/>
                <w:szCs w:val="18"/>
              </w:rPr>
              <w:t>Q4 2010</w:t>
            </w:r>
          </w:p>
        </w:tc>
        <w:tc>
          <w:tcPr>
            <w:tcW w:w="1193" w:type="dxa"/>
            <w:shd w:val="clear" w:color="auto" w:fill="013161"/>
            <w:noWrap/>
          </w:tcPr>
          <w:p w:rsidR="00D86A11" w:rsidRPr="00721EF1" w:rsidRDefault="00D86A11" w:rsidP="00D86A11">
            <w:pPr>
              <w:spacing w:after="0"/>
              <w:jc w:val="center"/>
              <w:rPr>
                <w:rFonts w:ascii="Calibri" w:hAnsi="Calibri" w:cs="Calibri"/>
                <w:b/>
                <w:color w:val="FFFFFF"/>
                <w:szCs w:val="18"/>
              </w:rPr>
            </w:pPr>
            <w:r w:rsidRPr="00721EF1">
              <w:rPr>
                <w:rFonts w:ascii="Calibri" w:eastAsia="Times New Roman" w:hAnsi="Calibri" w:cs="Arial"/>
                <w:b/>
                <w:color w:val="FFFFFF"/>
                <w:szCs w:val="18"/>
              </w:rPr>
              <w:t>Q4 2011</w:t>
            </w:r>
          </w:p>
        </w:tc>
        <w:tc>
          <w:tcPr>
            <w:tcW w:w="1193" w:type="dxa"/>
            <w:shd w:val="clear" w:color="auto" w:fill="013161"/>
            <w:noWrap/>
          </w:tcPr>
          <w:p w:rsidR="00D86A11" w:rsidRPr="00721EF1" w:rsidRDefault="00D86A11" w:rsidP="00D86A11">
            <w:pPr>
              <w:spacing w:after="0" w:line="240" w:lineRule="auto"/>
              <w:jc w:val="center"/>
              <w:rPr>
                <w:rFonts w:ascii="Calibri" w:hAnsi="Calibri" w:cs="Calibri"/>
                <w:b/>
                <w:color w:val="FFFFFF"/>
                <w:szCs w:val="18"/>
              </w:rPr>
            </w:pPr>
            <w:r w:rsidRPr="00721EF1">
              <w:rPr>
                <w:rFonts w:ascii="Calibri" w:eastAsia="Times New Roman" w:hAnsi="Calibri" w:cs="Arial"/>
                <w:b/>
                <w:color w:val="FFFFFF"/>
                <w:szCs w:val="18"/>
              </w:rPr>
              <w:t>Q4 2012</w:t>
            </w:r>
          </w:p>
        </w:tc>
        <w:tc>
          <w:tcPr>
            <w:tcW w:w="1037" w:type="dxa"/>
            <w:shd w:val="clear" w:color="auto" w:fill="013161"/>
            <w:noWrap/>
          </w:tcPr>
          <w:p w:rsidR="00D86A11" w:rsidRPr="00721EF1" w:rsidRDefault="00D86A11" w:rsidP="00D86A11">
            <w:pPr>
              <w:spacing w:after="0"/>
              <w:jc w:val="center"/>
              <w:rPr>
                <w:rFonts w:ascii="Calibri" w:hAnsi="Calibri" w:cs="Calibri"/>
                <w:b/>
                <w:color w:val="FFFFFF"/>
                <w:szCs w:val="18"/>
              </w:rPr>
            </w:pPr>
            <w:r w:rsidRPr="00721EF1">
              <w:rPr>
                <w:rFonts w:ascii="Calibri" w:eastAsia="Times New Roman" w:hAnsi="Calibri" w:cs="Arial"/>
                <w:b/>
                <w:color w:val="FFFFFF"/>
                <w:szCs w:val="18"/>
              </w:rPr>
              <w:t>Q4 2013</w:t>
            </w:r>
          </w:p>
        </w:tc>
        <w:tc>
          <w:tcPr>
            <w:tcW w:w="1080" w:type="dxa"/>
            <w:shd w:val="clear" w:color="auto" w:fill="013161"/>
            <w:noWrap/>
          </w:tcPr>
          <w:p w:rsidR="00D86A11" w:rsidRPr="00721EF1" w:rsidRDefault="00D86A11" w:rsidP="00D86A11">
            <w:pPr>
              <w:spacing w:after="0"/>
              <w:jc w:val="center"/>
              <w:rPr>
                <w:rFonts w:ascii="Calibri" w:hAnsi="Calibri" w:cs="Calibri"/>
                <w:b/>
                <w:color w:val="FFFFFF"/>
                <w:szCs w:val="18"/>
              </w:rPr>
            </w:pPr>
            <w:r w:rsidRPr="00721EF1">
              <w:rPr>
                <w:rFonts w:ascii="Calibri" w:eastAsia="Times New Roman" w:hAnsi="Calibri" w:cs="Arial"/>
                <w:b/>
                <w:color w:val="FFFFFF"/>
                <w:szCs w:val="18"/>
              </w:rPr>
              <w:t>Q4 2014</w:t>
            </w:r>
          </w:p>
        </w:tc>
        <w:tc>
          <w:tcPr>
            <w:tcW w:w="1530" w:type="dxa"/>
            <w:shd w:val="clear" w:color="auto" w:fill="013161"/>
            <w:vAlign w:val="center"/>
          </w:tcPr>
          <w:p w:rsidR="00D86A11" w:rsidRPr="00721EF1" w:rsidRDefault="00D86A11" w:rsidP="00D86A11">
            <w:pPr>
              <w:spacing w:after="0" w:line="240" w:lineRule="auto"/>
              <w:jc w:val="center"/>
              <w:rPr>
                <w:rFonts w:ascii="Calibri" w:eastAsia="Times New Roman" w:hAnsi="Calibri" w:cs="Arial"/>
                <w:b/>
                <w:color w:val="FFFFFF"/>
                <w:szCs w:val="18"/>
              </w:rPr>
            </w:pPr>
            <w:r w:rsidRPr="00721EF1">
              <w:rPr>
                <w:rFonts w:ascii="Calibri" w:eastAsia="Times New Roman" w:hAnsi="Calibri" w:cs="Arial"/>
                <w:b/>
                <w:color w:val="FFFFFF"/>
                <w:szCs w:val="18"/>
              </w:rPr>
              <w:t>CA</w:t>
            </w:r>
            <w:r>
              <w:rPr>
                <w:rFonts w:ascii="Calibri" w:eastAsia="Times New Roman" w:hAnsi="Calibri" w:cs="Arial"/>
                <w:b/>
                <w:color w:val="FFFFFF"/>
                <w:szCs w:val="18"/>
              </w:rPr>
              <w:t xml:space="preserve"> </w:t>
            </w:r>
            <w:r w:rsidRPr="00721EF1">
              <w:rPr>
                <w:rFonts w:ascii="Calibri" w:eastAsia="Times New Roman" w:hAnsi="Calibri" w:cs="Arial"/>
                <w:b/>
                <w:color w:val="FFFFFF"/>
                <w:szCs w:val="18"/>
              </w:rPr>
              <w:t>Q4 2014</w:t>
            </w:r>
          </w:p>
        </w:tc>
      </w:tr>
      <w:tr w:rsidR="00D86A11" w:rsidRPr="00974FBF">
        <w:trPr>
          <w:trHeight w:val="255"/>
        </w:trPr>
        <w:tc>
          <w:tcPr>
            <w:tcW w:w="2422" w:type="dxa"/>
            <w:shd w:val="clear" w:color="auto" w:fill="auto"/>
            <w:noWrap/>
          </w:tcPr>
          <w:p w:rsidR="00D86A11" w:rsidRPr="00D70021" w:rsidRDefault="00D86A11" w:rsidP="00D86A11">
            <w:pPr>
              <w:spacing w:after="0"/>
              <w:rPr>
                <w:rFonts w:ascii="Calibri" w:hAnsi="Calibri" w:cs="Calibri"/>
                <w:b/>
                <w:color w:val="013161"/>
                <w:sz w:val="20"/>
              </w:rPr>
            </w:pPr>
            <w:r w:rsidRPr="00D70021">
              <w:rPr>
                <w:rFonts w:ascii="Calibri" w:hAnsi="Calibri" w:cs="Segoe UI"/>
                <w:b/>
                <w:color w:val="013161"/>
                <w:sz w:val="20"/>
                <w:shd w:val="clear" w:color="auto" w:fill="FFFFFF"/>
              </w:rPr>
              <w:t>Completed high school or equivalency (%)</w:t>
            </w:r>
          </w:p>
        </w:tc>
        <w:tc>
          <w:tcPr>
            <w:tcW w:w="1193" w:type="dxa"/>
            <w:shd w:val="clear" w:color="auto" w:fill="auto"/>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25.0</w:t>
            </w:r>
          </w:p>
        </w:tc>
        <w:tc>
          <w:tcPr>
            <w:tcW w:w="1193" w:type="dxa"/>
            <w:shd w:val="clear" w:color="auto" w:fill="auto"/>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60.0</w:t>
            </w:r>
          </w:p>
        </w:tc>
        <w:tc>
          <w:tcPr>
            <w:tcW w:w="1193"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100.0</w:t>
            </w:r>
          </w:p>
        </w:tc>
        <w:tc>
          <w:tcPr>
            <w:tcW w:w="1037" w:type="dxa"/>
            <w:shd w:val="clear" w:color="auto" w:fill="auto"/>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0</w:t>
            </w:r>
          </w:p>
        </w:tc>
        <w:tc>
          <w:tcPr>
            <w:tcW w:w="1080" w:type="dxa"/>
            <w:shd w:val="clear" w:color="auto" w:fill="auto"/>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0</w:t>
            </w:r>
          </w:p>
        </w:tc>
        <w:tc>
          <w:tcPr>
            <w:tcW w:w="1530" w:type="dxa"/>
            <w:shd w:val="clear" w:color="auto" w:fill="auto"/>
          </w:tcPr>
          <w:p w:rsidR="00D86A11" w:rsidRPr="00D70021" w:rsidRDefault="00D86A11" w:rsidP="00D86A11">
            <w:pPr>
              <w:spacing w:after="0"/>
              <w:jc w:val="center"/>
              <w:rPr>
                <w:rFonts w:ascii="Calibri" w:hAnsi="Calibri" w:cs="Calibri"/>
                <w:b/>
                <w:color w:val="2E7029"/>
                <w:sz w:val="20"/>
              </w:rPr>
            </w:pPr>
            <w:r w:rsidRPr="00D70021">
              <w:rPr>
                <w:rFonts w:ascii="Calibri" w:hAnsi="Calibri" w:cs="Calibri"/>
                <w:b/>
                <w:color w:val="2E7029"/>
                <w:sz w:val="20"/>
              </w:rPr>
              <w:t>55.4</w:t>
            </w:r>
          </w:p>
        </w:tc>
      </w:tr>
      <w:tr w:rsidR="00D86A11" w:rsidRPr="00974FBF">
        <w:trPr>
          <w:trHeight w:val="255"/>
        </w:trPr>
        <w:tc>
          <w:tcPr>
            <w:tcW w:w="2422" w:type="dxa"/>
            <w:shd w:val="clear" w:color="auto" w:fill="DBE5F1"/>
            <w:noWrap/>
          </w:tcPr>
          <w:p w:rsidR="00D86A11" w:rsidRPr="00D70021" w:rsidRDefault="00D86A11" w:rsidP="00D86A11">
            <w:pPr>
              <w:spacing w:after="0" w:line="240" w:lineRule="auto"/>
              <w:rPr>
                <w:rFonts w:ascii="Calibri" w:hAnsi="Calibri" w:cs="Calibri"/>
                <w:b/>
                <w:color w:val="013161"/>
                <w:sz w:val="20"/>
              </w:rPr>
            </w:pPr>
            <w:r w:rsidRPr="00D70021">
              <w:rPr>
                <w:rFonts w:ascii="Calibri" w:eastAsia="Times New Roman" w:hAnsi="Calibri" w:cs="Arial"/>
                <w:b/>
                <w:color w:val="013161"/>
                <w:sz w:val="20"/>
              </w:rPr>
              <w:t>Completed high school or equivalency (n)</w:t>
            </w:r>
          </w:p>
        </w:tc>
        <w:tc>
          <w:tcPr>
            <w:tcW w:w="1193" w:type="dxa"/>
            <w:shd w:val="clear" w:color="auto" w:fill="DBE5F1"/>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1</w:t>
            </w:r>
          </w:p>
        </w:tc>
        <w:tc>
          <w:tcPr>
            <w:tcW w:w="1193" w:type="dxa"/>
            <w:shd w:val="clear" w:color="auto" w:fill="DBE5F1"/>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3</w:t>
            </w:r>
          </w:p>
        </w:tc>
        <w:tc>
          <w:tcPr>
            <w:tcW w:w="1193"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1</w:t>
            </w:r>
          </w:p>
        </w:tc>
        <w:tc>
          <w:tcPr>
            <w:tcW w:w="1037" w:type="dxa"/>
            <w:shd w:val="clear" w:color="auto" w:fill="DBE5F1"/>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0</w:t>
            </w:r>
          </w:p>
        </w:tc>
        <w:tc>
          <w:tcPr>
            <w:tcW w:w="1080" w:type="dxa"/>
            <w:shd w:val="clear" w:color="auto" w:fill="DBE5F1"/>
            <w:noWrap/>
          </w:tcPr>
          <w:p w:rsidR="00D86A11" w:rsidRPr="00D70021" w:rsidRDefault="00D86A11" w:rsidP="00D86A11">
            <w:pPr>
              <w:spacing w:after="0"/>
              <w:jc w:val="center"/>
              <w:rPr>
                <w:rFonts w:ascii="Calibri" w:hAnsi="Calibri" w:cs="Calibri"/>
                <w:b/>
                <w:color w:val="013161"/>
                <w:sz w:val="20"/>
              </w:rPr>
            </w:pPr>
            <w:r w:rsidRPr="00D70021">
              <w:rPr>
                <w:rFonts w:ascii="Calibri" w:hAnsi="Calibri" w:cs="Calibri"/>
                <w:b/>
                <w:color w:val="013161"/>
                <w:sz w:val="20"/>
              </w:rPr>
              <w:t>0</w:t>
            </w:r>
          </w:p>
        </w:tc>
        <w:tc>
          <w:tcPr>
            <w:tcW w:w="1530" w:type="dxa"/>
            <w:shd w:val="clear" w:color="auto" w:fill="DBE5F1"/>
          </w:tcPr>
          <w:p w:rsidR="00D86A11" w:rsidRPr="00D70021" w:rsidRDefault="00D86A11" w:rsidP="00D86A11">
            <w:pPr>
              <w:spacing w:after="0"/>
              <w:jc w:val="center"/>
              <w:rPr>
                <w:rFonts w:ascii="Calibri" w:hAnsi="Calibri" w:cs="Calibri"/>
                <w:b/>
                <w:color w:val="2E7029"/>
                <w:sz w:val="20"/>
              </w:rPr>
            </w:pPr>
            <w:r w:rsidRPr="00D70021">
              <w:rPr>
                <w:rFonts w:ascii="Calibri" w:hAnsi="Calibri" w:cs="Calibri"/>
                <w:b/>
                <w:color w:val="2E7029"/>
                <w:sz w:val="20"/>
              </w:rPr>
              <w:t>-</w:t>
            </w:r>
          </w:p>
        </w:tc>
      </w:tr>
      <w:tr w:rsidR="00D86A11" w:rsidRPr="00974FBF">
        <w:trPr>
          <w:trHeight w:val="255"/>
        </w:trPr>
        <w:tc>
          <w:tcPr>
            <w:tcW w:w="2422" w:type="dxa"/>
            <w:shd w:val="clear" w:color="auto" w:fill="auto"/>
            <w:noWrap/>
          </w:tcPr>
          <w:p w:rsidR="00D86A11" w:rsidRPr="00D70021" w:rsidRDefault="00D86A11" w:rsidP="00D86A11">
            <w:pPr>
              <w:spacing w:after="0" w:line="240" w:lineRule="auto"/>
              <w:rPr>
                <w:rFonts w:ascii="Calibri" w:eastAsia="Times New Roman" w:hAnsi="Calibri" w:cs="Arial"/>
                <w:b/>
                <w:color w:val="013161"/>
                <w:sz w:val="20"/>
              </w:rPr>
            </w:pPr>
            <w:r w:rsidRPr="00D70021">
              <w:rPr>
                <w:rFonts w:ascii="Calibri" w:eastAsia="Times New Roman" w:hAnsi="Calibri" w:cs="Arial"/>
                <w:b/>
                <w:color w:val="013161"/>
                <w:sz w:val="20"/>
              </w:rPr>
              <w:t>Obtained employment (%)</w:t>
            </w:r>
          </w:p>
        </w:tc>
        <w:tc>
          <w:tcPr>
            <w:tcW w:w="1193"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0</w:t>
            </w:r>
          </w:p>
        </w:tc>
        <w:tc>
          <w:tcPr>
            <w:tcW w:w="1193"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20.0</w:t>
            </w:r>
          </w:p>
        </w:tc>
        <w:tc>
          <w:tcPr>
            <w:tcW w:w="1193"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100.0</w:t>
            </w:r>
          </w:p>
        </w:tc>
        <w:tc>
          <w:tcPr>
            <w:tcW w:w="1037"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0</w:t>
            </w:r>
          </w:p>
        </w:tc>
        <w:tc>
          <w:tcPr>
            <w:tcW w:w="1080"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0</w:t>
            </w:r>
          </w:p>
        </w:tc>
        <w:tc>
          <w:tcPr>
            <w:tcW w:w="1530" w:type="dxa"/>
            <w:shd w:val="clear" w:color="auto" w:fill="auto"/>
          </w:tcPr>
          <w:p w:rsidR="00D86A11" w:rsidRPr="00D70021" w:rsidRDefault="00D86A11" w:rsidP="00D86A11">
            <w:pPr>
              <w:spacing w:after="0" w:line="240" w:lineRule="auto"/>
              <w:jc w:val="center"/>
              <w:rPr>
                <w:rFonts w:ascii="Calibri" w:eastAsia="Times New Roman" w:hAnsi="Calibri" w:cs="Arial"/>
                <w:b/>
                <w:color w:val="2E7029"/>
                <w:sz w:val="20"/>
              </w:rPr>
            </w:pPr>
            <w:r w:rsidRPr="00D70021">
              <w:rPr>
                <w:rFonts w:ascii="Calibri" w:eastAsia="Times New Roman" w:hAnsi="Calibri" w:cs="Arial"/>
                <w:b/>
                <w:color w:val="2E7029"/>
                <w:sz w:val="20"/>
              </w:rPr>
              <w:t>21.7</w:t>
            </w:r>
          </w:p>
        </w:tc>
      </w:tr>
      <w:tr w:rsidR="00D86A11" w:rsidRPr="00974FBF">
        <w:trPr>
          <w:trHeight w:val="255"/>
        </w:trPr>
        <w:tc>
          <w:tcPr>
            <w:tcW w:w="2422" w:type="dxa"/>
            <w:shd w:val="clear" w:color="auto" w:fill="DBE5F1"/>
            <w:noWrap/>
          </w:tcPr>
          <w:p w:rsidR="00D86A11" w:rsidRPr="00D70021" w:rsidRDefault="00D86A11" w:rsidP="00D86A11">
            <w:pPr>
              <w:spacing w:after="0" w:line="240" w:lineRule="auto"/>
              <w:rPr>
                <w:rFonts w:ascii="Calibri" w:eastAsia="Times New Roman" w:hAnsi="Calibri" w:cs="Arial"/>
                <w:b/>
                <w:color w:val="013161"/>
                <w:sz w:val="20"/>
              </w:rPr>
            </w:pPr>
            <w:r w:rsidRPr="00D70021">
              <w:rPr>
                <w:rFonts w:ascii="Calibri" w:eastAsia="Times New Roman" w:hAnsi="Calibri" w:cs="Arial"/>
                <w:b/>
                <w:color w:val="013161"/>
                <w:sz w:val="20"/>
              </w:rPr>
              <w:t>Obtained employment (n)</w:t>
            </w:r>
          </w:p>
        </w:tc>
        <w:tc>
          <w:tcPr>
            <w:tcW w:w="1193"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0</w:t>
            </w:r>
          </w:p>
        </w:tc>
        <w:tc>
          <w:tcPr>
            <w:tcW w:w="1193"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1</w:t>
            </w:r>
          </w:p>
        </w:tc>
        <w:tc>
          <w:tcPr>
            <w:tcW w:w="1193"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1</w:t>
            </w:r>
          </w:p>
        </w:tc>
        <w:tc>
          <w:tcPr>
            <w:tcW w:w="1037"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0</w:t>
            </w:r>
          </w:p>
        </w:tc>
        <w:tc>
          <w:tcPr>
            <w:tcW w:w="1080"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0</w:t>
            </w:r>
          </w:p>
        </w:tc>
        <w:tc>
          <w:tcPr>
            <w:tcW w:w="1530" w:type="dxa"/>
            <w:shd w:val="clear" w:color="auto" w:fill="DBE5F1"/>
          </w:tcPr>
          <w:p w:rsidR="00D86A11" w:rsidRPr="00D70021" w:rsidRDefault="00D86A11" w:rsidP="00D86A11">
            <w:pPr>
              <w:spacing w:after="0" w:line="240" w:lineRule="auto"/>
              <w:jc w:val="center"/>
              <w:rPr>
                <w:rFonts w:ascii="Calibri" w:eastAsia="Times New Roman" w:hAnsi="Calibri" w:cs="Arial"/>
                <w:b/>
                <w:color w:val="2E7029"/>
                <w:sz w:val="20"/>
              </w:rPr>
            </w:pPr>
            <w:r w:rsidRPr="00D70021">
              <w:rPr>
                <w:rFonts w:ascii="Calibri" w:eastAsia="Times New Roman" w:hAnsi="Calibri" w:cs="Arial"/>
                <w:b/>
                <w:color w:val="2E7029"/>
                <w:sz w:val="20"/>
              </w:rPr>
              <w:t>-</w:t>
            </w:r>
          </w:p>
        </w:tc>
      </w:tr>
      <w:tr w:rsidR="00D86A11" w:rsidRPr="00974FBF">
        <w:trPr>
          <w:trHeight w:val="255"/>
        </w:trPr>
        <w:tc>
          <w:tcPr>
            <w:tcW w:w="2422" w:type="dxa"/>
            <w:shd w:val="clear" w:color="auto" w:fill="auto"/>
            <w:noWrap/>
          </w:tcPr>
          <w:p w:rsidR="00D86A11" w:rsidRPr="00D70021" w:rsidRDefault="00D86A11" w:rsidP="00D86A11">
            <w:pPr>
              <w:spacing w:after="0" w:line="240" w:lineRule="auto"/>
              <w:rPr>
                <w:rFonts w:ascii="Calibri" w:eastAsia="Times New Roman" w:hAnsi="Calibri" w:cs="Arial"/>
                <w:b/>
                <w:color w:val="013161"/>
                <w:sz w:val="20"/>
              </w:rPr>
            </w:pPr>
            <w:r w:rsidRPr="00D70021">
              <w:rPr>
                <w:rFonts w:ascii="Calibri" w:eastAsia="Times New Roman" w:hAnsi="Calibri" w:cs="Arial"/>
                <w:b/>
                <w:color w:val="013161"/>
                <w:sz w:val="20"/>
              </w:rPr>
              <w:t>Have housing arrangements (%)</w:t>
            </w:r>
          </w:p>
        </w:tc>
        <w:tc>
          <w:tcPr>
            <w:tcW w:w="1193"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100.0</w:t>
            </w:r>
          </w:p>
        </w:tc>
        <w:tc>
          <w:tcPr>
            <w:tcW w:w="1193"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100.0</w:t>
            </w:r>
          </w:p>
        </w:tc>
        <w:tc>
          <w:tcPr>
            <w:tcW w:w="1193"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100.0</w:t>
            </w:r>
          </w:p>
        </w:tc>
        <w:tc>
          <w:tcPr>
            <w:tcW w:w="1037"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100.0</w:t>
            </w:r>
          </w:p>
        </w:tc>
        <w:tc>
          <w:tcPr>
            <w:tcW w:w="1080"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75.0</w:t>
            </w:r>
          </w:p>
        </w:tc>
        <w:tc>
          <w:tcPr>
            <w:tcW w:w="1530" w:type="dxa"/>
            <w:shd w:val="clear" w:color="auto" w:fill="auto"/>
          </w:tcPr>
          <w:p w:rsidR="00D86A11" w:rsidRPr="00D70021" w:rsidRDefault="00D86A11" w:rsidP="00D86A11">
            <w:pPr>
              <w:spacing w:after="0" w:line="240" w:lineRule="auto"/>
              <w:jc w:val="center"/>
              <w:rPr>
                <w:rFonts w:ascii="Calibri" w:eastAsia="Times New Roman" w:hAnsi="Calibri" w:cs="Arial"/>
                <w:b/>
                <w:color w:val="2E7029"/>
                <w:sz w:val="20"/>
              </w:rPr>
            </w:pPr>
            <w:r w:rsidRPr="00D70021">
              <w:rPr>
                <w:rFonts w:ascii="Calibri" w:eastAsia="Times New Roman" w:hAnsi="Calibri" w:cs="Arial"/>
                <w:b/>
                <w:color w:val="2E7029"/>
                <w:sz w:val="20"/>
              </w:rPr>
              <w:t>81.5</w:t>
            </w:r>
          </w:p>
        </w:tc>
      </w:tr>
      <w:tr w:rsidR="00D86A11" w:rsidRPr="00974FBF">
        <w:trPr>
          <w:trHeight w:val="255"/>
        </w:trPr>
        <w:tc>
          <w:tcPr>
            <w:tcW w:w="2422" w:type="dxa"/>
            <w:shd w:val="clear" w:color="auto" w:fill="DBE5F1"/>
            <w:noWrap/>
          </w:tcPr>
          <w:p w:rsidR="00D86A11" w:rsidRPr="00D70021" w:rsidRDefault="00D86A11" w:rsidP="00D86A11">
            <w:pPr>
              <w:spacing w:after="0" w:line="240" w:lineRule="auto"/>
              <w:rPr>
                <w:rFonts w:ascii="Calibri" w:eastAsia="Times New Roman" w:hAnsi="Calibri" w:cs="Arial"/>
                <w:b/>
                <w:color w:val="013161"/>
                <w:sz w:val="20"/>
              </w:rPr>
            </w:pPr>
            <w:r w:rsidRPr="00D70021">
              <w:rPr>
                <w:rFonts w:ascii="Calibri" w:eastAsia="Times New Roman" w:hAnsi="Calibri" w:cs="Arial"/>
                <w:b/>
                <w:color w:val="013161"/>
                <w:sz w:val="20"/>
              </w:rPr>
              <w:t>Have housing arrangements (n)</w:t>
            </w:r>
          </w:p>
        </w:tc>
        <w:tc>
          <w:tcPr>
            <w:tcW w:w="1193"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4</w:t>
            </w:r>
          </w:p>
        </w:tc>
        <w:tc>
          <w:tcPr>
            <w:tcW w:w="1193"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5</w:t>
            </w:r>
          </w:p>
        </w:tc>
        <w:tc>
          <w:tcPr>
            <w:tcW w:w="1193"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1</w:t>
            </w:r>
          </w:p>
        </w:tc>
        <w:tc>
          <w:tcPr>
            <w:tcW w:w="1037"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2</w:t>
            </w:r>
          </w:p>
        </w:tc>
        <w:tc>
          <w:tcPr>
            <w:tcW w:w="1080"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3</w:t>
            </w:r>
          </w:p>
        </w:tc>
        <w:tc>
          <w:tcPr>
            <w:tcW w:w="1530" w:type="dxa"/>
            <w:shd w:val="clear" w:color="auto" w:fill="DBE5F1"/>
          </w:tcPr>
          <w:p w:rsidR="00D86A11" w:rsidRPr="00D70021" w:rsidRDefault="00D86A11" w:rsidP="00D86A11">
            <w:pPr>
              <w:spacing w:after="0" w:line="240" w:lineRule="auto"/>
              <w:jc w:val="center"/>
              <w:rPr>
                <w:rFonts w:ascii="Calibri" w:eastAsia="Times New Roman" w:hAnsi="Calibri" w:cs="Arial"/>
                <w:b/>
                <w:color w:val="2E7029"/>
                <w:sz w:val="20"/>
              </w:rPr>
            </w:pPr>
            <w:r w:rsidRPr="00D70021">
              <w:rPr>
                <w:rFonts w:ascii="Calibri" w:eastAsia="Times New Roman" w:hAnsi="Calibri" w:cs="Arial"/>
                <w:b/>
                <w:color w:val="2E7029"/>
                <w:sz w:val="20"/>
              </w:rPr>
              <w:t>-</w:t>
            </w:r>
          </w:p>
        </w:tc>
      </w:tr>
      <w:tr w:rsidR="00D86A11" w:rsidRPr="00974FBF">
        <w:trPr>
          <w:trHeight w:val="255"/>
        </w:trPr>
        <w:tc>
          <w:tcPr>
            <w:tcW w:w="2422" w:type="dxa"/>
            <w:shd w:val="clear" w:color="auto" w:fill="auto"/>
            <w:noWrap/>
          </w:tcPr>
          <w:p w:rsidR="00D86A11" w:rsidRPr="00D70021" w:rsidRDefault="00D86A11" w:rsidP="00D86A11">
            <w:pPr>
              <w:spacing w:after="0" w:line="240" w:lineRule="auto"/>
              <w:rPr>
                <w:rFonts w:ascii="Calibri" w:eastAsia="Times New Roman" w:hAnsi="Calibri" w:cs="Arial"/>
                <w:b/>
                <w:color w:val="013161"/>
                <w:sz w:val="20"/>
              </w:rPr>
            </w:pPr>
            <w:r w:rsidRPr="00D70021">
              <w:rPr>
                <w:rFonts w:ascii="Calibri" w:eastAsia="Times New Roman" w:hAnsi="Calibri" w:cs="Arial"/>
                <w:b/>
                <w:color w:val="013161"/>
                <w:sz w:val="20"/>
              </w:rPr>
              <w:t>Permanency connection with an adult (%)</w:t>
            </w:r>
          </w:p>
        </w:tc>
        <w:tc>
          <w:tcPr>
            <w:tcW w:w="1193"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100.0</w:t>
            </w:r>
          </w:p>
        </w:tc>
        <w:tc>
          <w:tcPr>
            <w:tcW w:w="1193"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80.0</w:t>
            </w:r>
          </w:p>
        </w:tc>
        <w:tc>
          <w:tcPr>
            <w:tcW w:w="1193"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100.0</w:t>
            </w:r>
          </w:p>
        </w:tc>
        <w:tc>
          <w:tcPr>
            <w:tcW w:w="1037"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100.0</w:t>
            </w:r>
          </w:p>
        </w:tc>
        <w:tc>
          <w:tcPr>
            <w:tcW w:w="1080" w:type="dxa"/>
            <w:shd w:val="clear" w:color="auto" w:fill="auto"/>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100.0</w:t>
            </w:r>
          </w:p>
        </w:tc>
        <w:tc>
          <w:tcPr>
            <w:tcW w:w="1530" w:type="dxa"/>
            <w:shd w:val="clear" w:color="auto" w:fill="auto"/>
          </w:tcPr>
          <w:p w:rsidR="00D86A11" w:rsidRPr="00D70021" w:rsidRDefault="00D86A11" w:rsidP="00D86A11">
            <w:pPr>
              <w:spacing w:after="0" w:line="240" w:lineRule="auto"/>
              <w:jc w:val="center"/>
              <w:rPr>
                <w:rFonts w:ascii="Calibri" w:eastAsia="Times New Roman" w:hAnsi="Calibri" w:cs="Arial"/>
                <w:b/>
                <w:color w:val="2E7029"/>
                <w:sz w:val="20"/>
              </w:rPr>
            </w:pPr>
            <w:r w:rsidRPr="00D70021">
              <w:rPr>
                <w:rFonts w:ascii="Calibri" w:eastAsia="Times New Roman" w:hAnsi="Calibri" w:cs="Arial"/>
                <w:b/>
                <w:color w:val="2E7029"/>
                <w:sz w:val="20"/>
              </w:rPr>
              <w:t>92.4</w:t>
            </w:r>
          </w:p>
        </w:tc>
      </w:tr>
      <w:tr w:rsidR="00D86A11" w:rsidRPr="00974FBF">
        <w:trPr>
          <w:trHeight w:val="255"/>
        </w:trPr>
        <w:tc>
          <w:tcPr>
            <w:tcW w:w="2422" w:type="dxa"/>
            <w:shd w:val="clear" w:color="auto" w:fill="DBE5F1"/>
            <w:noWrap/>
          </w:tcPr>
          <w:p w:rsidR="00D86A11" w:rsidRPr="00D70021" w:rsidRDefault="00D86A11" w:rsidP="00D86A11">
            <w:pPr>
              <w:spacing w:after="0" w:line="240" w:lineRule="auto"/>
              <w:rPr>
                <w:rFonts w:ascii="Calibri" w:eastAsia="Times New Roman" w:hAnsi="Calibri" w:cs="Arial"/>
                <w:b/>
                <w:color w:val="013161"/>
                <w:sz w:val="20"/>
              </w:rPr>
            </w:pPr>
            <w:r w:rsidRPr="00D70021">
              <w:rPr>
                <w:rFonts w:ascii="Calibri" w:eastAsia="Times New Roman" w:hAnsi="Calibri" w:cs="Arial"/>
                <w:b/>
                <w:color w:val="013161"/>
                <w:sz w:val="20"/>
              </w:rPr>
              <w:t>Permanency connection with an adult (n)</w:t>
            </w:r>
          </w:p>
        </w:tc>
        <w:tc>
          <w:tcPr>
            <w:tcW w:w="1193"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4</w:t>
            </w:r>
          </w:p>
        </w:tc>
        <w:tc>
          <w:tcPr>
            <w:tcW w:w="1193"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4</w:t>
            </w:r>
          </w:p>
        </w:tc>
        <w:tc>
          <w:tcPr>
            <w:tcW w:w="1193"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1</w:t>
            </w:r>
          </w:p>
        </w:tc>
        <w:tc>
          <w:tcPr>
            <w:tcW w:w="1037"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2</w:t>
            </w:r>
          </w:p>
        </w:tc>
        <w:tc>
          <w:tcPr>
            <w:tcW w:w="1080" w:type="dxa"/>
            <w:shd w:val="clear" w:color="auto" w:fill="DBE5F1"/>
            <w:noWrap/>
          </w:tcPr>
          <w:p w:rsidR="00D86A11" w:rsidRPr="00D70021" w:rsidRDefault="00D86A11" w:rsidP="00D86A11">
            <w:pPr>
              <w:spacing w:after="0" w:line="240" w:lineRule="auto"/>
              <w:jc w:val="center"/>
              <w:rPr>
                <w:rFonts w:ascii="Calibri" w:eastAsia="Times New Roman" w:hAnsi="Calibri" w:cs="Arial"/>
                <w:b/>
                <w:color w:val="013161"/>
                <w:sz w:val="20"/>
              </w:rPr>
            </w:pPr>
            <w:r w:rsidRPr="00D70021">
              <w:rPr>
                <w:rFonts w:ascii="Calibri" w:eastAsia="Times New Roman" w:hAnsi="Calibri" w:cs="Arial"/>
                <w:b/>
                <w:color w:val="013161"/>
                <w:sz w:val="20"/>
              </w:rPr>
              <w:t>4</w:t>
            </w:r>
          </w:p>
        </w:tc>
        <w:tc>
          <w:tcPr>
            <w:tcW w:w="1530" w:type="dxa"/>
            <w:shd w:val="clear" w:color="auto" w:fill="DBE5F1"/>
          </w:tcPr>
          <w:p w:rsidR="00D86A11" w:rsidRPr="00D70021" w:rsidRDefault="00D86A11" w:rsidP="00D86A11">
            <w:pPr>
              <w:spacing w:after="0" w:line="240" w:lineRule="auto"/>
              <w:jc w:val="center"/>
              <w:rPr>
                <w:rFonts w:ascii="Calibri" w:eastAsia="Times New Roman" w:hAnsi="Calibri" w:cs="Arial"/>
                <w:b/>
                <w:color w:val="2E7029"/>
                <w:sz w:val="20"/>
              </w:rPr>
            </w:pPr>
            <w:r w:rsidRPr="00D70021">
              <w:rPr>
                <w:rFonts w:ascii="Calibri" w:eastAsia="Times New Roman" w:hAnsi="Calibri" w:cs="Arial"/>
                <w:b/>
                <w:color w:val="2E7029"/>
                <w:sz w:val="20"/>
              </w:rPr>
              <w:t>-</w:t>
            </w:r>
          </w:p>
        </w:tc>
      </w:tr>
    </w:tbl>
    <w:p w:rsidR="00D86A11" w:rsidRPr="00E024F4" w:rsidRDefault="00D86A11" w:rsidP="00D86A11">
      <w:pPr>
        <w:pStyle w:val="Heading1"/>
        <w:rPr>
          <w:rFonts w:ascii="Calibri" w:hAnsi="Calibri" w:cs="Calibri"/>
          <w:b w:val="0"/>
          <w:smallCaps/>
          <w:color w:val="auto"/>
          <w:szCs w:val="28"/>
        </w:rPr>
      </w:pPr>
      <w:r w:rsidRPr="00AF204C">
        <w:rPr>
          <w:color w:val="2E7029"/>
          <w:sz w:val="24"/>
        </w:rPr>
        <w:t>Analysis</w:t>
      </w:r>
    </w:p>
    <w:p w:rsidR="00D86A11" w:rsidRPr="001375F2" w:rsidRDefault="00D86A11" w:rsidP="00D86A11">
      <w:pPr>
        <w:pStyle w:val="Heading3"/>
        <w:spacing w:line="276" w:lineRule="auto"/>
        <w:rPr>
          <w:b w:val="0"/>
          <w:color w:val="auto"/>
          <w:sz w:val="22"/>
        </w:rPr>
      </w:pPr>
      <w:r w:rsidRPr="001375F2">
        <w:rPr>
          <w:b w:val="0"/>
          <w:color w:val="auto"/>
          <w:sz w:val="22"/>
        </w:rPr>
        <w:t xml:space="preserve">These data are reported on a quarterly basis rather than annually and the numbers are quite small each quarter making analysis of trends challenging. For the Quarter 4 data, provided for each of the five years, the total number of youth ranged from one to five. However, during the last two years, the percentage of youth completing high school or obtaining employment has been zero. This small sample size would not capture youth continuing in foster care through Extended Foster Care, but are more likely to include youth who have been unsuccessfully terminated from probation. </w:t>
      </w:r>
    </w:p>
    <w:p w:rsidR="00D86A11" w:rsidRPr="00154EAA" w:rsidRDefault="00D86A11" w:rsidP="00D86A11">
      <w:pPr>
        <w:spacing w:after="0" w:line="240" w:lineRule="auto"/>
        <w:rPr>
          <w:smallCaps/>
          <w:color w:val="auto"/>
          <w:sz w:val="24"/>
          <w:szCs w:val="24"/>
        </w:rPr>
      </w:pPr>
      <w:r w:rsidRPr="00154EAA">
        <w:rPr>
          <w:smallCaps/>
          <w:color w:val="auto"/>
          <w:sz w:val="24"/>
          <w:szCs w:val="24"/>
        </w:rPr>
        <w:br w:type="page"/>
      </w:r>
    </w:p>
    <w:tbl>
      <w:tblPr>
        <w:tblW w:w="9529" w:type="dxa"/>
        <w:jc w:val="center"/>
        <w:tblCellMar>
          <w:top w:w="144" w:type="dxa"/>
          <w:left w:w="0" w:type="dxa"/>
          <w:bottom w:w="144" w:type="dxa"/>
          <w:right w:w="0" w:type="dxa"/>
        </w:tblCellMar>
        <w:tblLook w:val="04A0" w:firstRow="1" w:lastRow="0" w:firstColumn="1" w:lastColumn="0" w:noHBand="0" w:noVBand="1"/>
      </w:tblPr>
      <w:tblGrid>
        <w:gridCol w:w="9529"/>
      </w:tblGrid>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r w:rsidR="00D86A11" w:rsidRPr="00002D1D">
        <w:trPr>
          <w:trHeight w:val="70"/>
          <w:jc w:val="center"/>
        </w:trPr>
        <w:tc>
          <w:tcPr>
            <w:tcW w:w="0" w:type="auto"/>
            <w:shd w:val="clear" w:color="auto" w:fill="013161"/>
            <w:vAlign w:val="center"/>
          </w:tcPr>
          <w:p w:rsidR="000B1863" w:rsidRDefault="00D86A11" w:rsidP="00465501">
            <w:pPr>
              <w:pStyle w:val="MediumGrid21"/>
              <w:numPr>
                <w:ilvl w:val="0"/>
                <w:numId w:val="17"/>
              </w:numPr>
              <w:jc w:val="center"/>
              <w:rPr>
                <w:rFonts w:ascii="Franklin Gothic Book" w:eastAsia="HGGothicM" w:hAnsi="Franklin Gothic Book" w:cs="Tahoma"/>
                <w:color w:val="FFFFFF"/>
                <w:sz w:val="48"/>
                <w:szCs w:val="72"/>
              </w:rPr>
            </w:pPr>
            <w:r>
              <w:rPr>
                <w:rFonts w:eastAsia="HGGothicM" w:cs="Calibri"/>
                <w:color w:val="FFFFFF"/>
                <w:sz w:val="44"/>
                <w:szCs w:val="64"/>
              </w:rPr>
              <w:t>Summary of Findings</w:t>
            </w:r>
          </w:p>
        </w:tc>
      </w:tr>
      <w:tr w:rsidR="00D86A11" w:rsidRPr="00002D1D">
        <w:trPr>
          <w:trHeight w:val="7"/>
          <w:jc w:val="center"/>
        </w:trPr>
        <w:tc>
          <w:tcPr>
            <w:tcW w:w="0" w:type="auto"/>
            <w:shd w:val="clear" w:color="auto" w:fill="F6872B"/>
            <w:tcMar>
              <w:top w:w="0" w:type="dxa"/>
              <w:bottom w:w="0" w:type="dxa"/>
            </w:tcMar>
            <w:vAlign w:val="center"/>
          </w:tcPr>
          <w:p w:rsidR="000B1863" w:rsidRDefault="000B1863">
            <w:pPr>
              <w:pStyle w:val="MediumGrid21"/>
              <w:rPr>
                <w:sz w:val="8"/>
                <w:szCs w:val="8"/>
              </w:rPr>
            </w:pPr>
          </w:p>
        </w:tc>
      </w:tr>
    </w:tbl>
    <w:p w:rsidR="00D86A11" w:rsidRPr="00982E4C" w:rsidRDefault="00D86A11" w:rsidP="00D86A11">
      <w:pPr>
        <w:pStyle w:val="Heading3"/>
        <w:spacing w:line="276" w:lineRule="auto"/>
        <w:rPr>
          <w:b w:val="0"/>
          <w:color w:val="auto"/>
          <w:sz w:val="22"/>
        </w:rPr>
      </w:pPr>
      <w:r w:rsidRPr="00982E4C">
        <w:rPr>
          <w:b w:val="0"/>
          <w:color w:val="auto"/>
          <w:sz w:val="22"/>
        </w:rPr>
        <w:t>The CSA requires counties to take a comprehensive approach in its examination and identification of community need for prevention and community-based services. This approach includes an analysis of the federal and state outcome measures and systemic factors within the context of the county’s demographic profile as well as information gathered via active participation of the county’s prevention network partners, staff, and the larger community. This section presents findings from all CSA data collection and community engagement activities</w:t>
      </w:r>
      <w:r>
        <w:rPr>
          <w:b w:val="0"/>
          <w:color w:val="auto"/>
          <w:sz w:val="22"/>
        </w:rPr>
        <w:t xml:space="preserve"> including the Peer Review</w:t>
      </w:r>
      <w:r w:rsidRPr="00982E4C">
        <w:rPr>
          <w:b w:val="0"/>
          <w:color w:val="auto"/>
          <w:sz w:val="22"/>
        </w:rPr>
        <w:t xml:space="preserve"> as it relates to county strengths, areas for improvement, and recommended strategies. </w:t>
      </w:r>
    </w:p>
    <w:p w:rsidR="00D86A11" w:rsidRPr="00633A85" w:rsidRDefault="00D86A11" w:rsidP="00D86A11">
      <w:pPr>
        <w:pStyle w:val="Heading2"/>
        <w:rPr>
          <w:rStyle w:val="Heading3Char"/>
          <w:b/>
          <w:color w:val="F6872B"/>
        </w:rPr>
      </w:pPr>
      <w:r w:rsidRPr="00F74322">
        <w:rPr>
          <w:rStyle w:val="Heading3Char"/>
          <w:b/>
          <w:color w:val="F6872B"/>
          <w:szCs w:val="28"/>
        </w:rPr>
        <w:t xml:space="preserve">Stakeholder </w:t>
      </w:r>
      <w:r>
        <w:rPr>
          <w:rStyle w:val="Heading3Char"/>
          <w:b/>
          <w:color w:val="F6872B"/>
        </w:rPr>
        <w:t>Forums</w:t>
      </w:r>
    </w:p>
    <w:p w:rsidR="00D86A11" w:rsidRPr="00982E4C" w:rsidRDefault="00D86A11" w:rsidP="00D86A11">
      <w:pPr>
        <w:pStyle w:val="Heading3"/>
        <w:spacing w:line="276" w:lineRule="auto"/>
        <w:rPr>
          <w:b w:val="0"/>
          <w:color w:val="auto"/>
          <w:sz w:val="22"/>
        </w:rPr>
      </w:pPr>
      <w:r>
        <w:rPr>
          <w:b w:val="0"/>
          <w:color w:val="auto"/>
          <w:sz w:val="22"/>
        </w:rPr>
        <w:t>Three</w:t>
      </w:r>
      <w:r w:rsidRPr="00472268">
        <w:rPr>
          <w:b w:val="0"/>
          <w:color w:val="auto"/>
          <w:sz w:val="22"/>
        </w:rPr>
        <w:t xml:space="preserve"> stakeholder </w:t>
      </w:r>
      <w:r>
        <w:rPr>
          <w:b w:val="0"/>
          <w:color w:val="auto"/>
          <w:sz w:val="22"/>
        </w:rPr>
        <w:t>forums</w:t>
      </w:r>
      <w:r w:rsidRPr="00472268">
        <w:rPr>
          <w:b w:val="0"/>
          <w:color w:val="auto"/>
          <w:sz w:val="22"/>
        </w:rPr>
        <w:t xml:space="preserve"> </w:t>
      </w:r>
      <w:r>
        <w:rPr>
          <w:b w:val="0"/>
          <w:color w:val="auto"/>
          <w:sz w:val="22"/>
        </w:rPr>
        <w:t xml:space="preserve">were </w:t>
      </w:r>
      <w:r w:rsidRPr="00472268">
        <w:rPr>
          <w:b w:val="0"/>
          <w:color w:val="auto"/>
          <w:sz w:val="22"/>
        </w:rPr>
        <w:t>held from March 3, 2016 through March 14, 2016. The stakeholder forums addressed Reentry into care, Permanency within 12 months (CWS focus) and Permanency 12-23 months (Probation focus) and all seven systemic factors.</w:t>
      </w:r>
      <w:r>
        <w:rPr>
          <w:b w:val="0"/>
          <w:color w:val="auto"/>
          <w:sz w:val="22"/>
        </w:rPr>
        <w:t xml:space="preserve"> An average of 51 individuals attended each stakeholder forum. </w:t>
      </w:r>
      <w:r w:rsidRPr="00982E4C">
        <w:rPr>
          <w:b w:val="0"/>
          <w:color w:val="auto"/>
          <w:sz w:val="22"/>
        </w:rPr>
        <w:t xml:space="preserve">At each stakeholder meeting, members of the CSA team presented an overview of the CSA process as well as current </w:t>
      </w:r>
      <w:r>
        <w:rPr>
          <w:b w:val="0"/>
          <w:color w:val="auto"/>
          <w:sz w:val="22"/>
        </w:rPr>
        <w:t>the County of San Diego</w:t>
      </w:r>
      <w:r w:rsidRPr="00982E4C">
        <w:rPr>
          <w:b w:val="0"/>
          <w:color w:val="auto"/>
          <w:sz w:val="22"/>
        </w:rPr>
        <w:t xml:space="preserve"> Child Welfare Services (CWS) and Probation data on trends and best practices. Following the presentation, stakeholders were provided key questions related to the day’s topic and were asked to work in small groups of six to eight members on key areas of strength and weakness. Ideas generated during the small group work were written on 3x5 sticky pads. Facilitators then circulated around the room, collected the sticky notes, and grouped the sticky notes into common topics on wall paper. Once the small group work was complete, facilitators provided a summary of the clustering and invited additional feedback from stakeholders. This initial clustering was then analyzed further by facilitators to refine the categorization.  The categorization of the input generated from stakeholders has been incorporated in this CSA report.</w:t>
      </w:r>
    </w:p>
    <w:p w:rsidR="00D86A11" w:rsidRPr="00633A85" w:rsidRDefault="00121985" w:rsidP="00D86A11">
      <w:pPr>
        <w:pStyle w:val="Heading3"/>
        <w:spacing w:line="276" w:lineRule="auto"/>
        <w:rPr>
          <w:b w:val="0"/>
          <w:color w:val="auto"/>
          <w:sz w:val="22"/>
        </w:rPr>
      </w:pPr>
      <w:r w:rsidRPr="00121985">
        <w:rPr>
          <w:b w:val="0"/>
          <w:color w:val="auto"/>
          <w:sz w:val="22"/>
        </w:rPr>
        <w:t>Through small group discussion, stakeholders provided feedback on the areas of reentry, permanency, and systemic factors. The following section provides initial themes that emerged during the stakeholder forums. See Appendix J for a full list of unedited responses organized by topic and question posed to the participants.</w:t>
      </w:r>
    </w:p>
    <w:p w:rsidR="00D86A11" w:rsidRPr="00912D70" w:rsidRDefault="00D86A11" w:rsidP="00D86A11">
      <w:pPr>
        <w:pStyle w:val="Heading2"/>
        <w:rPr>
          <w:b w:val="0"/>
          <w:color w:val="2E7029"/>
        </w:rPr>
      </w:pPr>
      <w:r w:rsidRPr="00912D70">
        <w:rPr>
          <w:b w:val="0"/>
          <w:color w:val="2E7029"/>
        </w:rPr>
        <w:t>March 3, 2016: Reentry into Care</w:t>
      </w:r>
    </w:p>
    <w:p w:rsidR="000B1863" w:rsidRDefault="00D86A11">
      <w:pPr>
        <w:pStyle w:val="ColorfulList-Accent11"/>
        <w:numPr>
          <w:ilvl w:val="0"/>
          <w:numId w:val="18"/>
        </w:numPr>
        <w:autoSpaceDE w:val="0"/>
        <w:autoSpaceDN w:val="0"/>
        <w:adjustRightInd w:val="0"/>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t>Family centered approaches are</w:t>
      </w:r>
      <w:r w:rsidRPr="00912D70">
        <w:rPr>
          <w:rFonts w:ascii="Franklin Gothic Book" w:eastAsia="Perpetua" w:hAnsi="Franklin Gothic Book"/>
          <w:spacing w:val="20"/>
          <w:sz w:val="22"/>
          <w:szCs w:val="28"/>
        </w:rPr>
        <w:t xml:space="preserve"> essential    </w:t>
      </w:r>
    </w:p>
    <w:p w:rsidR="000B1863" w:rsidRDefault="00D86A11">
      <w:pPr>
        <w:pStyle w:val="ColorfulList-Accent11"/>
        <w:numPr>
          <w:ilvl w:val="0"/>
          <w:numId w:val="18"/>
        </w:numPr>
        <w:autoSpaceDE w:val="0"/>
        <w:autoSpaceDN w:val="0"/>
        <w:adjustRightInd w:val="0"/>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t>Transparency and communication</w:t>
      </w:r>
      <w:r w:rsidRPr="00912D70">
        <w:rPr>
          <w:rFonts w:ascii="Franklin Gothic Book" w:eastAsia="Perpetua" w:hAnsi="Franklin Gothic Book"/>
          <w:spacing w:val="20"/>
          <w:sz w:val="22"/>
          <w:szCs w:val="28"/>
        </w:rPr>
        <w:t xml:space="preserve"> between CWS staff, other providers and families are key to reunification success </w:t>
      </w:r>
    </w:p>
    <w:p w:rsidR="000B1863" w:rsidRDefault="00D86A11">
      <w:pPr>
        <w:pStyle w:val="ColorfulList-Accent11"/>
        <w:numPr>
          <w:ilvl w:val="0"/>
          <w:numId w:val="18"/>
        </w:numPr>
        <w:autoSpaceDE w:val="0"/>
        <w:autoSpaceDN w:val="0"/>
        <w:adjustRightInd w:val="0"/>
        <w:spacing w:line="276" w:lineRule="auto"/>
        <w:rPr>
          <w:rFonts w:ascii="Franklin Gothic Book" w:hAnsi="Franklin Gothic Book"/>
          <w:b/>
          <w:spacing w:val="20"/>
        </w:rPr>
      </w:pPr>
      <w:r w:rsidRPr="00912D70">
        <w:rPr>
          <w:rFonts w:ascii="Franklin Gothic Book" w:eastAsia="Perpetua" w:hAnsi="Franklin Gothic Book"/>
          <w:b/>
          <w:spacing w:val="20"/>
          <w:sz w:val="22"/>
          <w:szCs w:val="28"/>
        </w:rPr>
        <w:t>Collaboration between agencies over the last 5 years has improved</w:t>
      </w:r>
    </w:p>
    <w:p w:rsidR="000B1863" w:rsidRDefault="00D86A11">
      <w:pPr>
        <w:pStyle w:val="ColorfulList-Accent11"/>
        <w:numPr>
          <w:ilvl w:val="0"/>
          <w:numId w:val="18"/>
        </w:numPr>
        <w:autoSpaceDE w:val="0"/>
        <w:autoSpaceDN w:val="0"/>
        <w:adjustRightInd w:val="0"/>
        <w:spacing w:line="276" w:lineRule="auto"/>
        <w:rPr>
          <w:rFonts w:ascii="Franklin Gothic Book" w:hAnsi="Franklin Gothic Book"/>
          <w:b/>
          <w:spacing w:val="20"/>
        </w:rPr>
      </w:pPr>
      <w:r w:rsidRPr="00912D70">
        <w:rPr>
          <w:rFonts w:ascii="Franklin Gothic Book" w:eastAsia="Perpetua" w:hAnsi="Franklin Gothic Book"/>
          <w:b/>
          <w:spacing w:val="20"/>
          <w:sz w:val="22"/>
          <w:szCs w:val="28"/>
        </w:rPr>
        <w:t>Lack of access to services hinders reunification</w:t>
      </w:r>
    </w:p>
    <w:p w:rsidR="000B1863" w:rsidRDefault="00D86A11">
      <w:pPr>
        <w:pStyle w:val="ColorfulList-Accent11"/>
        <w:numPr>
          <w:ilvl w:val="0"/>
          <w:numId w:val="18"/>
        </w:numPr>
        <w:autoSpaceDE w:val="0"/>
        <w:autoSpaceDN w:val="0"/>
        <w:adjustRightInd w:val="0"/>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t>Time constraints for families, CWS workers and providers</w:t>
      </w:r>
      <w:r w:rsidRPr="00912D70">
        <w:rPr>
          <w:rFonts w:ascii="Franklin Gothic Book" w:eastAsia="Perpetua" w:hAnsi="Franklin Gothic Book"/>
          <w:spacing w:val="20"/>
          <w:sz w:val="22"/>
          <w:szCs w:val="28"/>
        </w:rPr>
        <w:t xml:space="preserve"> (e.g., identifying, coordinating, and accessing services)  are  a barrier for reunification</w:t>
      </w:r>
    </w:p>
    <w:p w:rsidR="000B1863" w:rsidRDefault="00D86A11">
      <w:pPr>
        <w:pStyle w:val="ColorfulList-Accent11"/>
        <w:numPr>
          <w:ilvl w:val="0"/>
          <w:numId w:val="18"/>
        </w:numPr>
        <w:autoSpaceDE w:val="0"/>
        <w:autoSpaceDN w:val="0"/>
        <w:adjustRightInd w:val="0"/>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lastRenderedPageBreak/>
        <w:t>Successful exits and transitions</w:t>
      </w:r>
      <w:r w:rsidRPr="00912D70">
        <w:rPr>
          <w:rFonts w:ascii="Franklin Gothic Book" w:eastAsia="Perpetua" w:hAnsi="Franklin Gothic Book"/>
          <w:spacing w:val="20"/>
          <w:sz w:val="22"/>
          <w:szCs w:val="28"/>
        </w:rPr>
        <w:t xml:space="preserve"> of cases could decrease reentry rates</w:t>
      </w:r>
    </w:p>
    <w:p w:rsidR="00D86A11" w:rsidRPr="00975EAE" w:rsidRDefault="00D86A11" w:rsidP="00D86A11">
      <w:pPr>
        <w:pStyle w:val="Heading2"/>
        <w:rPr>
          <w:rFonts w:ascii="Calibri" w:hAnsi="Calibri"/>
          <w:b w:val="0"/>
          <w:color w:val="558ED5"/>
          <w:sz w:val="32"/>
          <w:szCs w:val="32"/>
          <w:lang w:eastAsia="zh-TW"/>
        </w:rPr>
      </w:pPr>
      <w:r w:rsidRPr="00912D70">
        <w:rPr>
          <w:b w:val="0"/>
          <w:color w:val="2E7029"/>
        </w:rPr>
        <w:t>March 7, 2013: Permanency</w:t>
      </w:r>
    </w:p>
    <w:p w:rsidR="000B1863" w:rsidRDefault="00D86A11">
      <w:pPr>
        <w:pStyle w:val="ColorfulList-Accent11"/>
        <w:numPr>
          <w:ilvl w:val="0"/>
          <w:numId w:val="13"/>
        </w:numPr>
        <w:autoSpaceDE w:val="0"/>
        <w:autoSpaceDN w:val="0"/>
        <w:adjustRightInd w:val="0"/>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t>Activities that promote parent engagement</w:t>
      </w:r>
      <w:r w:rsidRPr="00912D70">
        <w:rPr>
          <w:rFonts w:ascii="Franklin Gothic Book" w:eastAsia="Perpetua" w:hAnsi="Franklin Gothic Book"/>
          <w:spacing w:val="20"/>
          <w:sz w:val="22"/>
          <w:szCs w:val="28"/>
        </w:rPr>
        <w:t xml:space="preserve"> (e.g. parents as partners and in home support) are critical to increasing permanency</w:t>
      </w:r>
    </w:p>
    <w:p w:rsidR="000B1863" w:rsidRDefault="00D86A11">
      <w:pPr>
        <w:pStyle w:val="ColorfulList-Accent11"/>
        <w:numPr>
          <w:ilvl w:val="0"/>
          <w:numId w:val="13"/>
        </w:numPr>
        <w:autoSpaceDE w:val="0"/>
        <w:autoSpaceDN w:val="0"/>
        <w:adjustRightInd w:val="0"/>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t>Collaboration and the use of Safety Organized Practice (SOP) have improved over the last 5 years</w:t>
      </w:r>
    </w:p>
    <w:p w:rsidR="000B1863" w:rsidRDefault="00D86A11">
      <w:pPr>
        <w:pStyle w:val="ColorfulList-Accent11"/>
        <w:numPr>
          <w:ilvl w:val="0"/>
          <w:numId w:val="13"/>
        </w:numPr>
        <w:autoSpaceDE w:val="0"/>
        <w:autoSpaceDN w:val="0"/>
        <w:adjustRightInd w:val="0"/>
        <w:spacing w:line="276" w:lineRule="auto"/>
        <w:rPr>
          <w:rFonts w:ascii="Franklin Gothic Book" w:hAnsi="Franklin Gothic Book"/>
          <w:b/>
          <w:spacing w:val="20"/>
        </w:rPr>
      </w:pPr>
      <w:r w:rsidRPr="00912D70">
        <w:rPr>
          <w:rFonts w:ascii="Franklin Gothic Book" w:eastAsia="Perpetua" w:hAnsi="Franklin Gothic Book"/>
          <w:b/>
          <w:spacing w:val="20"/>
          <w:sz w:val="22"/>
          <w:szCs w:val="28"/>
        </w:rPr>
        <w:t>Wrap services have improved and contribute to achieving permanency (probation specific)</w:t>
      </w:r>
    </w:p>
    <w:p w:rsidR="000B1863" w:rsidRDefault="00D86A11">
      <w:pPr>
        <w:pStyle w:val="ColorfulList-Accent11"/>
        <w:numPr>
          <w:ilvl w:val="0"/>
          <w:numId w:val="13"/>
        </w:numPr>
        <w:autoSpaceDE w:val="0"/>
        <w:autoSpaceDN w:val="0"/>
        <w:adjustRightInd w:val="0"/>
        <w:spacing w:line="276" w:lineRule="auto"/>
        <w:rPr>
          <w:rFonts w:ascii="Franklin Gothic Book" w:hAnsi="Franklin Gothic Book"/>
          <w:b/>
          <w:spacing w:val="20"/>
        </w:rPr>
      </w:pPr>
      <w:r w:rsidRPr="00912D70">
        <w:rPr>
          <w:rFonts w:ascii="Franklin Gothic Book" w:eastAsia="Perpetua" w:hAnsi="Franklin Gothic Book"/>
          <w:b/>
          <w:spacing w:val="20"/>
          <w:sz w:val="22"/>
          <w:szCs w:val="28"/>
        </w:rPr>
        <w:t>Lack of access to services presents a challenge in achieving permanency</w:t>
      </w:r>
    </w:p>
    <w:p w:rsidR="000B1863" w:rsidRDefault="00D86A11">
      <w:pPr>
        <w:pStyle w:val="ColorfulList-Accent11"/>
        <w:numPr>
          <w:ilvl w:val="0"/>
          <w:numId w:val="13"/>
        </w:numPr>
        <w:autoSpaceDE w:val="0"/>
        <w:autoSpaceDN w:val="0"/>
        <w:adjustRightInd w:val="0"/>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t>Improvements in the visitation</w:t>
      </w:r>
      <w:r w:rsidRPr="00912D70">
        <w:rPr>
          <w:rFonts w:ascii="Franklin Gothic Book" w:eastAsia="Perpetua" w:hAnsi="Franklin Gothic Book"/>
          <w:spacing w:val="20"/>
          <w:sz w:val="22"/>
          <w:szCs w:val="28"/>
        </w:rPr>
        <w:t xml:space="preserve"> process could speed up permanency</w:t>
      </w:r>
    </w:p>
    <w:p w:rsidR="00D86A11" w:rsidRPr="00912D70" w:rsidRDefault="00D86A11" w:rsidP="00D86A11">
      <w:pPr>
        <w:pStyle w:val="Heading2"/>
        <w:rPr>
          <w:b w:val="0"/>
          <w:color w:val="558ED5"/>
          <w:sz w:val="22"/>
          <w:szCs w:val="22"/>
          <w:lang w:eastAsia="zh-TW"/>
        </w:rPr>
      </w:pPr>
      <w:r w:rsidRPr="00912D70">
        <w:rPr>
          <w:b w:val="0"/>
          <w:color w:val="2E7029"/>
          <w:sz w:val="22"/>
          <w:szCs w:val="22"/>
        </w:rPr>
        <w:t>March 14, 2013: Systemic Factors</w:t>
      </w:r>
    </w:p>
    <w:p w:rsidR="000B1863" w:rsidRDefault="00D86A11">
      <w:pPr>
        <w:pStyle w:val="ColorfulList-Accent11"/>
        <w:numPr>
          <w:ilvl w:val="0"/>
          <w:numId w:val="12"/>
        </w:numPr>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t>Agency Collaboration:</w:t>
      </w:r>
      <w:r w:rsidRPr="00912D70">
        <w:rPr>
          <w:rFonts w:ascii="Franklin Gothic Book" w:eastAsia="Perpetua" w:hAnsi="Franklin Gothic Book"/>
          <w:spacing w:val="20"/>
          <w:sz w:val="22"/>
          <w:szCs w:val="28"/>
        </w:rPr>
        <w:t xml:space="preserve"> Effective collaboration and communication efforts are in place; however, opportunities to enhance collaboration with agencies and families were identified (e.g., information sharing, responsiveness, and caregiver support).</w:t>
      </w:r>
    </w:p>
    <w:p w:rsidR="000B1863" w:rsidRDefault="00D86A11">
      <w:pPr>
        <w:pStyle w:val="ColorfulList-Accent11"/>
        <w:numPr>
          <w:ilvl w:val="0"/>
          <w:numId w:val="12"/>
        </w:numPr>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t>Foster and Adoptive Parent Licensing, Recruitment, and Retention</w:t>
      </w:r>
      <w:r w:rsidRPr="00912D70">
        <w:rPr>
          <w:rFonts w:ascii="Franklin Gothic Book" w:eastAsia="Perpetua" w:hAnsi="Franklin Gothic Book"/>
          <w:spacing w:val="20"/>
          <w:sz w:val="22"/>
          <w:szCs w:val="28"/>
        </w:rPr>
        <w:t>: Approval process/standards are working well. Opportunities for improvement include flexibility in the process for recruiting and supporting families</w:t>
      </w:r>
      <w:r>
        <w:rPr>
          <w:rFonts w:ascii="Franklin Gothic Book" w:eastAsia="Perpetua" w:hAnsi="Franklin Gothic Book"/>
          <w:spacing w:val="20"/>
          <w:sz w:val="22"/>
          <w:szCs w:val="28"/>
        </w:rPr>
        <w:t xml:space="preserve"> as well as improved trainings related to the upcoming changes in the </w:t>
      </w:r>
      <w:r w:rsidRPr="00080FE2">
        <w:rPr>
          <w:rFonts w:ascii="Franklin Gothic Book" w:eastAsia="Perpetua" w:hAnsi="Franklin Gothic Book"/>
          <w:spacing w:val="20"/>
          <w:sz w:val="22"/>
          <w:szCs w:val="28"/>
        </w:rPr>
        <w:t>Implementation of Continuum of Care Reform (CCR– AB403) and Resource Family Approval (RFA)</w:t>
      </w:r>
      <w:r w:rsidRPr="00912D70">
        <w:rPr>
          <w:rFonts w:ascii="Franklin Gothic Book" w:eastAsia="Perpetua" w:hAnsi="Franklin Gothic Book"/>
          <w:spacing w:val="20"/>
          <w:sz w:val="22"/>
          <w:szCs w:val="28"/>
        </w:rPr>
        <w:t>.</w:t>
      </w:r>
    </w:p>
    <w:p w:rsidR="000B1863" w:rsidRDefault="00D86A11">
      <w:pPr>
        <w:pStyle w:val="ColorfulList-Accent11"/>
        <w:numPr>
          <w:ilvl w:val="0"/>
          <w:numId w:val="12"/>
        </w:numPr>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t>Management Information Systems</w:t>
      </w:r>
      <w:r w:rsidRPr="00912D70">
        <w:rPr>
          <w:rFonts w:ascii="Franklin Gothic Book" w:eastAsia="Perpetua" w:hAnsi="Franklin Gothic Book"/>
          <w:spacing w:val="20"/>
          <w:sz w:val="22"/>
          <w:szCs w:val="28"/>
        </w:rPr>
        <w:t xml:space="preserve">: Stakeholders are interested in data being more streamlined and having more access to the data to inform their work.  </w:t>
      </w:r>
    </w:p>
    <w:p w:rsidR="000B1863" w:rsidRDefault="00D86A11">
      <w:pPr>
        <w:pStyle w:val="ColorfulList-Accent11"/>
        <w:numPr>
          <w:ilvl w:val="0"/>
          <w:numId w:val="12"/>
        </w:numPr>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t>County Case Review and Quality Assurance System</w:t>
      </w:r>
      <w:r w:rsidRPr="00912D70">
        <w:rPr>
          <w:rFonts w:ascii="Franklin Gothic Book" w:eastAsia="Perpetua" w:hAnsi="Franklin Gothic Book"/>
          <w:spacing w:val="20"/>
          <w:sz w:val="22"/>
          <w:szCs w:val="28"/>
        </w:rPr>
        <w:t>: Ongoing engagement and communication with providers was identified as what was working well and what should continue to improve</w:t>
      </w:r>
      <w:r>
        <w:rPr>
          <w:rFonts w:ascii="Franklin Gothic Book" w:eastAsia="Perpetua" w:hAnsi="Franklin Gothic Book"/>
          <w:spacing w:val="20"/>
          <w:sz w:val="22"/>
          <w:szCs w:val="28"/>
        </w:rPr>
        <w:t>.</w:t>
      </w:r>
    </w:p>
    <w:p w:rsidR="000B1863" w:rsidRDefault="00D86A11">
      <w:pPr>
        <w:pStyle w:val="ColorfulList-Accent11"/>
        <w:numPr>
          <w:ilvl w:val="0"/>
          <w:numId w:val="12"/>
        </w:numPr>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t>Service Array:</w:t>
      </w:r>
      <w:r w:rsidRPr="00912D70">
        <w:rPr>
          <w:rFonts w:ascii="Franklin Gothic Book" w:eastAsia="Perpetua" w:hAnsi="Franklin Gothic Book"/>
          <w:spacing w:val="20"/>
          <w:sz w:val="22"/>
          <w:szCs w:val="28"/>
        </w:rPr>
        <w:t xml:space="preserve"> Making services more accessible was identified as a priority as well as increasing prevention services (including peer support) before and after families are involved with CWS.</w:t>
      </w:r>
    </w:p>
    <w:p w:rsidR="000B1863" w:rsidRDefault="00763E81">
      <w:pPr>
        <w:pStyle w:val="ColorfulList-Accent11"/>
        <w:numPr>
          <w:ilvl w:val="0"/>
          <w:numId w:val="12"/>
        </w:numPr>
        <w:spacing w:line="276" w:lineRule="auto"/>
        <w:rPr>
          <w:rFonts w:ascii="Franklin Gothic Book" w:hAnsi="Franklin Gothic Book"/>
          <w:spacing w:val="20"/>
        </w:rPr>
      </w:pPr>
      <w:r>
        <w:rPr>
          <w:noProof/>
        </w:rPr>
        <mc:AlternateContent>
          <mc:Choice Requires="wps">
            <w:drawing>
              <wp:anchor distT="91440" distB="91440" distL="182880" distR="182880" simplePos="0" relativeHeight="251661312" behindDoc="1" locked="0" layoutInCell="0" allowOverlap="1">
                <wp:simplePos x="0" y="0"/>
                <wp:positionH relativeFrom="margin">
                  <wp:posOffset>174625</wp:posOffset>
                </wp:positionH>
                <wp:positionV relativeFrom="margin">
                  <wp:posOffset>7122160</wp:posOffset>
                </wp:positionV>
                <wp:extent cx="5643880" cy="1188720"/>
                <wp:effectExtent l="0" t="0" r="0" b="0"/>
                <wp:wrapSquare wrapText="bothSides"/>
                <wp:docPr id="2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880" cy="1188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“T</w:t>
                            </w:r>
                            <w:r w:rsidRPr="003707E5">
                              <w:rPr>
                                <w:b/>
                                <w:i/>
                                <w:iCs/>
                                <w:color w:val="2E7029"/>
                                <w:sz w:val="28"/>
                                <w:szCs w:val="28"/>
                              </w:rPr>
                              <w:t>here could be that piece that give the power to the parent because they probably often times feel powerless, I know we all feel powerless, and so that's just empowering that in</w:t>
                            </w:r>
                            <w:r>
                              <w:rPr>
                                <w:b/>
                                <w:i/>
                                <w:iCs/>
                                <w:color w:val="2E7029"/>
                                <w:sz w:val="28"/>
                                <w:szCs w:val="28"/>
                              </w:rPr>
                              <w:t>dividual just a little bit more”</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sidRPr="004D2A28">
                              <w:rPr>
                                <w:b/>
                                <w:i/>
                                <w:iCs/>
                                <w:color w:val="F6872B"/>
                                <w:sz w:val="28"/>
                                <w:szCs w:val="28"/>
                              </w:rPr>
                              <w:t>- CSA Stakeholder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 o:spid="_x0000_s1073" style="position:absolute;left:0;text-align:left;margin-left:13.75pt;margin-top:560.8pt;width:444.4pt;height:93.6pt;z-index:-251655168;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" o:allowincell="f" filled="f" stroked="f" strokecolor="#90b5e3" strokeweight="6pt">
                <v:textbox inset="0,0,0,0">
                  <w:txbxContent>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“T</w:t>
                      </w:r>
                      <w:r w:rsidRPr="003707E5">
                        <w:rPr>
                          <w:b/>
                          <w:i/>
                          <w:iCs/>
                          <w:color w:val="2E7029"/>
                          <w:sz w:val="28"/>
                          <w:szCs w:val="28"/>
                        </w:rPr>
                        <w:t>here could be that piece that give the power to the parent because they probably often times feel powerless, I know we all feel powerless, and so that's just empowering that in</w:t>
                      </w:r>
                      <w:r>
                        <w:rPr>
                          <w:b/>
                          <w:i/>
                          <w:iCs/>
                          <w:color w:val="2E7029"/>
                          <w:sz w:val="28"/>
                          <w:szCs w:val="28"/>
                        </w:rPr>
                        <w:t>dividual just a little bit more”</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sidRPr="004D2A28">
                        <w:rPr>
                          <w:b/>
                          <w:i/>
                          <w:iCs/>
                          <w:color w:val="F6872B"/>
                          <w:sz w:val="28"/>
                          <w:szCs w:val="28"/>
                        </w:rPr>
                        <w:t>- CSA Stakeholder</w:t>
                      </w:r>
                    </w:p>
                  </w:txbxContent>
                </v:textbox>
                <w10:wrap type="square" anchorx="margin" anchory="margin"/>
              </v:rect>
            </w:pict>
          </mc:Fallback>
        </mc:AlternateContent>
      </w:r>
      <w:r w:rsidR="00D86A11" w:rsidRPr="00912D70">
        <w:rPr>
          <w:rFonts w:ascii="Franklin Gothic Book" w:eastAsia="Perpetua" w:hAnsi="Franklin Gothic Book"/>
          <w:b/>
          <w:spacing w:val="20"/>
          <w:sz w:val="22"/>
          <w:szCs w:val="28"/>
        </w:rPr>
        <w:t>Staff, Caregiver, and Provider Training</w:t>
      </w:r>
      <w:r w:rsidR="00D86A11" w:rsidRPr="00912D70">
        <w:rPr>
          <w:rFonts w:ascii="Franklin Gothic Book" w:eastAsia="Perpetua" w:hAnsi="Franklin Gothic Book"/>
          <w:spacing w:val="20"/>
          <w:sz w:val="22"/>
          <w:szCs w:val="28"/>
        </w:rPr>
        <w:t>: Existing training (e.g., SOP, LMS), coordination and cross training were identified as working well. Opportunities for improvements related to time, resources, and need for specialized services.</w:t>
      </w:r>
    </w:p>
    <w:p w:rsidR="00D86A11" w:rsidRPr="007B0008" w:rsidRDefault="00121985" w:rsidP="00D86A11">
      <w:pPr>
        <w:pStyle w:val="Heading2"/>
        <w:rPr>
          <w:rStyle w:val="Heading3Char"/>
          <w:b/>
          <w:color w:val="F6872B"/>
        </w:rPr>
      </w:pPr>
      <w:r>
        <w:rPr>
          <w:rStyle w:val="Heading3Char"/>
          <w:b/>
          <w:color w:val="F6872B"/>
        </w:rPr>
        <w:t xml:space="preserve">Focus Group Findings </w:t>
      </w:r>
    </w:p>
    <w:p w:rsidR="00D86A11" w:rsidRPr="0019487E" w:rsidRDefault="00121985" w:rsidP="00D86A11">
      <w:pPr>
        <w:pStyle w:val="Heading3"/>
        <w:spacing w:line="276" w:lineRule="auto"/>
        <w:rPr>
          <w:b w:val="0"/>
          <w:color w:val="auto"/>
          <w:sz w:val="22"/>
        </w:rPr>
      </w:pPr>
      <w:r>
        <w:rPr>
          <w:b w:val="0"/>
          <w:color w:val="auto"/>
          <w:sz w:val="22"/>
        </w:rPr>
        <w:lastRenderedPageBreak/>
        <w:t>Focus groups using a structured interview protocol (Appendix K) were held in the months of April and May to provide an opportunity for parents, youth, and tribal members to give input regarding their experience with the services receive from CWS and/or Juvenile Probation. Below we outline the key themes generated from these focus groups as well as recommendations for improvement.  For additional focus group feedback, see Appendix L.</w:t>
      </w:r>
    </w:p>
    <w:p w:rsidR="00D86A11" w:rsidRPr="00BA20C9" w:rsidRDefault="00121985" w:rsidP="00D86A11">
      <w:pPr>
        <w:pStyle w:val="Heading2"/>
      </w:pPr>
      <w:r w:rsidRPr="00121985">
        <w:rPr>
          <w:b w:val="0"/>
          <w:color w:val="2E7029"/>
          <w:sz w:val="22"/>
        </w:rPr>
        <w:t>Key Themes</w:t>
      </w:r>
    </w:p>
    <w:p w:rsidR="00D86A11" w:rsidRPr="00023211" w:rsidRDefault="00D86A11" w:rsidP="00D86A11">
      <w:pPr>
        <w:numPr>
          <w:ilvl w:val="0"/>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Families face challenges (ongoing traumas) that need ongoing support. “Root issues” are not fully addressed when a child is removed and then placed back into an unstable environment</w:t>
      </w:r>
    </w:p>
    <w:p w:rsidR="00D86A11" w:rsidRPr="00023211" w:rsidRDefault="00D86A11" w:rsidP="00D86A11">
      <w:pPr>
        <w:numPr>
          <w:ilvl w:val="0"/>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Families face complex  issues (e.g., multigenerational involvement with CWS/Probation), are served by multiple agencies (e.g., Behavioral Health, Probation, CWS CalWorks, etc.), face many socio-cultural challenges and experience barriers (personal and by providers) in accessing and following through services/requirements</w:t>
      </w:r>
    </w:p>
    <w:p w:rsidR="00D86A11" w:rsidRPr="00023211" w:rsidRDefault="00D86A11" w:rsidP="00D86A11">
      <w:pPr>
        <w:numPr>
          <w:ilvl w:val="0"/>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The social workers who take a healthy flexibility in policies/guidelines in order to help maintain family stability seemed to have a positive impact on participants</w:t>
      </w:r>
    </w:p>
    <w:p w:rsidR="00D86A11" w:rsidRPr="00023211" w:rsidRDefault="00D86A11" w:rsidP="00D86A11">
      <w:pPr>
        <w:numPr>
          <w:ilvl w:val="0"/>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Families, including youth</w:t>
      </w:r>
      <w:r>
        <w:rPr>
          <w:rFonts w:ascii="Franklin Gothic Book" w:hAnsi="Franklin Gothic Book"/>
          <w:spacing w:val="20"/>
          <w:szCs w:val="28"/>
        </w:rPr>
        <w:t>,</w:t>
      </w:r>
      <w:r w:rsidRPr="00023211">
        <w:rPr>
          <w:rFonts w:ascii="Franklin Gothic Book" w:hAnsi="Franklin Gothic Book"/>
          <w:spacing w:val="20"/>
          <w:szCs w:val="28"/>
        </w:rPr>
        <w:t xml:space="preserve"> appreciated being included in placement decision conversations via TDMS/Family Meetings </w:t>
      </w:r>
    </w:p>
    <w:p w:rsidR="00D86A11" w:rsidRPr="00023211" w:rsidRDefault="00D86A11" w:rsidP="00D86A11">
      <w:pPr>
        <w:numPr>
          <w:ilvl w:val="0"/>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Helpful services include: counseling/therapy, substance abuse treatment, Breaking Cycles instead of traditional probation, youth empowerment groups, Incredible Families; Family Forward; Project KEEP; Parent Partners; SARMS; Section 8 Vouchers</w:t>
      </w:r>
    </w:p>
    <w:p w:rsidR="00D86A11" w:rsidRPr="00023211" w:rsidRDefault="00D86A11" w:rsidP="00D86A11">
      <w:pPr>
        <w:numPr>
          <w:ilvl w:val="0"/>
          <w:numId w:val="16"/>
        </w:numPr>
        <w:spacing w:before="120" w:after="0"/>
        <w:ind w:right="130"/>
        <w:rPr>
          <w:rFonts w:ascii="Franklin Gothic Book" w:hAnsi="Franklin Gothic Book"/>
          <w:spacing w:val="20"/>
          <w:szCs w:val="28"/>
        </w:rPr>
      </w:pPr>
      <w:r>
        <w:rPr>
          <w:rFonts w:ascii="Franklin Gothic Book" w:hAnsi="Franklin Gothic Book"/>
          <w:spacing w:val="20"/>
          <w:szCs w:val="28"/>
        </w:rPr>
        <w:t xml:space="preserve">Participants noted more challenges when assigned to </w:t>
      </w:r>
      <w:r w:rsidRPr="00023211">
        <w:rPr>
          <w:rFonts w:ascii="Franklin Gothic Book" w:hAnsi="Franklin Gothic Book"/>
          <w:spacing w:val="20"/>
          <w:szCs w:val="28"/>
        </w:rPr>
        <w:t xml:space="preserve">SW and Probation staff </w:t>
      </w:r>
      <w:r>
        <w:rPr>
          <w:rFonts w:ascii="Franklin Gothic Book" w:hAnsi="Franklin Gothic Book"/>
          <w:spacing w:val="20"/>
          <w:szCs w:val="28"/>
        </w:rPr>
        <w:t xml:space="preserve">who they described as less experienced. Particularly they noted </w:t>
      </w:r>
      <w:r w:rsidRPr="00023211">
        <w:rPr>
          <w:rFonts w:ascii="Franklin Gothic Book" w:hAnsi="Franklin Gothic Book"/>
          <w:spacing w:val="20"/>
          <w:szCs w:val="28"/>
        </w:rPr>
        <w:t>lapse in communication</w:t>
      </w:r>
      <w:r>
        <w:rPr>
          <w:rFonts w:ascii="Franklin Gothic Book" w:hAnsi="Franklin Gothic Book"/>
          <w:spacing w:val="20"/>
          <w:szCs w:val="28"/>
        </w:rPr>
        <w:t xml:space="preserve"> related being able to access  and receive support for </w:t>
      </w:r>
      <w:r w:rsidRPr="00023211">
        <w:rPr>
          <w:rFonts w:ascii="Franklin Gothic Book" w:hAnsi="Franklin Gothic Book"/>
          <w:spacing w:val="20"/>
          <w:szCs w:val="28"/>
        </w:rPr>
        <w:t>follow-up services</w:t>
      </w:r>
    </w:p>
    <w:p w:rsidR="00D86A11" w:rsidRPr="00023211" w:rsidRDefault="00D86A11" w:rsidP="00D86A11">
      <w:pPr>
        <w:numPr>
          <w:ilvl w:val="0"/>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Concerns expressed (entire family present) with the way the Gang Suppression Unit enters a home and is not considerate of other family members present</w:t>
      </w:r>
    </w:p>
    <w:p w:rsidR="00D86A11" w:rsidRPr="00023211" w:rsidRDefault="00D86A11" w:rsidP="00D86A11">
      <w:pPr>
        <w:numPr>
          <w:ilvl w:val="0"/>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 xml:space="preserve">Participants identified challenges connecting to resources in the community due to limited knowledge, coordination, communication, and accountability </w:t>
      </w:r>
    </w:p>
    <w:p w:rsidR="00D86A11" w:rsidRPr="00023211" w:rsidRDefault="00D86A11" w:rsidP="00D86A11">
      <w:pPr>
        <w:numPr>
          <w:ilvl w:val="0"/>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Participants who reported positive experiences with CWS/Probation described it as a combination of own awareness of their role in addressing the issue, readiness to take action, and  responsive, supportive, communicative, and caring staff</w:t>
      </w:r>
    </w:p>
    <w:p w:rsidR="00D86A11" w:rsidRPr="00023211" w:rsidRDefault="00D86A11" w:rsidP="00D86A11">
      <w:pPr>
        <w:numPr>
          <w:ilvl w:val="0"/>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Tribal communities have limited understanding of what data is collected within CWS and how it is used to inform their decisions</w:t>
      </w:r>
    </w:p>
    <w:p w:rsidR="00D86A11" w:rsidRPr="00023211" w:rsidRDefault="00D86A11" w:rsidP="00D86A11">
      <w:pPr>
        <w:numPr>
          <w:ilvl w:val="0"/>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Youth specific</w:t>
      </w:r>
    </w:p>
    <w:p w:rsidR="00D86A11" w:rsidRPr="00023211" w:rsidRDefault="00D86A11" w:rsidP="00D86A11">
      <w:pPr>
        <w:numPr>
          <w:ilvl w:val="1"/>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lastRenderedPageBreak/>
        <w:t>“Body checks” are uncomfortable, violating and they did not always feel they were clearly told why pictures of their bodies were being taken</w:t>
      </w:r>
    </w:p>
    <w:p w:rsidR="00D86A11" w:rsidRPr="00023211" w:rsidRDefault="00D86A11" w:rsidP="00D86A11">
      <w:pPr>
        <w:numPr>
          <w:ilvl w:val="1"/>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Youth living in group homes perceive youth who  “act out” to receive more services and mentioned the staff was not always the most helpful, approachable nor appropriate to deal with their needs</w:t>
      </w:r>
    </w:p>
    <w:p w:rsidR="00D86A11" w:rsidRDefault="00D86A11" w:rsidP="00D86A11">
      <w:pPr>
        <w:pStyle w:val="Heading2"/>
        <w:rPr>
          <w:b w:val="0"/>
          <w:color w:val="2E7029"/>
          <w:sz w:val="22"/>
        </w:rPr>
      </w:pPr>
      <w:r>
        <w:rPr>
          <w:b w:val="0"/>
          <w:color w:val="2E7029"/>
          <w:sz w:val="22"/>
        </w:rPr>
        <w:t>Recommendations</w:t>
      </w:r>
    </w:p>
    <w:p w:rsidR="00D86A11" w:rsidRDefault="00D86A11" w:rsidP="00D86A11">
      <w:pPr>
        <w:numPr>
          <w:ilvl w:val="0"/>
          <w:numId w:val="16"/>
        </w:numPr>
        <w:spacing w:before="120" w:after="0"/>
        <w:ind w:right="130"/>
        <w:rPr>
          <w:rFonts w:ascii="Franklin Gothic Book" w:hAnsi="Franklin Gothic Book"/>
          <w:spacing w:val="20"/>
          <w:szCs w:val="28"/>
        </w:rPr>
      </w:pPr>
      <w:r>
        <w:rPr>
          <w:rFonts w:ascii="Franklin Gothic Book" w:hAnsi="Franklin Gothic Book"/>
          <w:spacing w:val="20"/>
          <w:szCs w:val="28"/>
        </w:rPr>
        <w:t>Training</w:t>
      </w:r>
    </w:p>
    <w:p w:rsidR="00D86A11" w:rsidRDefault="00D86A11" w:rsidP="00D86A11">
      <w:pPr>
        <w:numPr>
          <w:ilvl w:val="1"/>
          <w:numId w:val="16"/>
        </w:numPr>
        <w:spacing w:before="120" w:after="0"/>
        <w:ind w:right="130"/>
        <w:rPr>
          <w:rFonts w:ascii="Franklin Gothic Book" w:hAnsi="Franklin Gothic Book"/>
          <w:spacing w:val="20"/>
          <w:szCs w:val="28"/>
        </w:rPr>
      </w:pPr>
      <w:r>
        <w:rPr>
          <w:rFonts w:ascii="Franklin Gothic Book" w:hAnsi="Franklin Gothic Book"/>
          <w:spacing w:val="20"/>
          <w:szCs w:val="28"/>
        </w:rPr>
        <w:t>Increase t</w:t>
      </w:r>
      <w:r w:rsidRPr="00023211">
        <w:rPr>
          <w:rFonts w:ascii="Franklin Gothic Book" w:hAnsi="Franklin Gothic Book"/>
          <w:spacing w:val="20"/>
          <w:szCs w:val="28"/>
        </w:rPr>
        <w:t xml:space="preserve">raining </w:t>
      </w:r>
      <w:r>
        <w:rPr>
          <w:rFonts w:ascii="Franklin Gothic Book" w:hAnsi="Franklin Gothic Book"/>
          <w:spacing w:val="20"/>
          <w:szCs w:val="28"/>
        </w:rPr>
        <w:t xml:space="preserve">for staff to </w:t>
      </w:r>
      <w:r w:rsidRPr="00023211">
        <w:rPr>
          <w:rFonts w:ascii="Franklin Gothic Book" w:hAnsi="Franklin Gothic Book"/>
          <w:spacing w:val="20"/>
          <w:szCs w:val="28"/>
        </w:rPr>
        <w:t>detect distress in children, to ensure confidentiality when a child shares a situation they have experience and to give children a private space to open up about what is occurring at home</w:t>
      </w:r>
    </w:p>
    <w:p w:rsidR="00D86A11" w:rsidRDefault="00D86A11" w:rsidP="00D86A11">
      <w:pPr>
        <w:numPr>
          <w:ilvl w:val="1"/>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Greater sensitivity/training with how body checks are conducted, including having medical professional guide these</w:t>
      </w:r>
    </w:p>
    <w:p w:rsidR="00D86A11" w:rsidRPr="00023211" w:rsidRDefault="00D86A11" w:rsidP="00D86A11">
      <w:pPr>
        <w:numPr>
          <w:ilvl w:val="1"/>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Increase training for CWS and Probation staff to ensure they are aware of the resources that are available to qualifying families</w:t>
      </w:r>
    </w:p>
    <w:p w:rsidR="00D86A11" w:rsidRDefault="00D86A11" w:rsidP="00D86A11">
      <w:pPr>
        <w:numPr>
          <w:ilvl w:val="0"/>
          <w:numId w:val="16"/>
        </w:numPr>
        <w:spacing w:before="120" w:after="0"/>
        <w:ind w:right="130"/>
        <w:rPr>
          <w:rFonts w:ascii="Franklin Gothic Book" w:hAnsi="Franklin Gothic Book"/>
          <w:spacing w:val="20"/>
          <w:szCs w:val="28"/>
        </w:rPr>
      </w:pPr>
      <w:r>
        <w:rPr>
          <w:rFonts w:ascii="Franklin Gothic Book" w:hAnsi="Franklin Gothic Book"/>
          <w:spacing w:val="20"/>
          <w:szCs w:val="28"/>
        </w:rPr>
        <w:t>Prevention and Support Service Approaches</w:t>
      </w:r>
    </w:p>
    <w:p w:rsidR="00D86A11" w:rsidRDefault="00D86A11" w:rsidP="00D86A11">
      <w:pPr>
        <w:numPr>
          <w:ilvl w:val="1"/>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Front end services to be offered to families before a child has to enter the foster care system (i.e., drug treatment for families struggling with substance abuse) as well as services to be provided for the parents prior to reunification</w:t>
      </w:r>
    </w:p>
    <w:p w:rsidR="00D86A11" w:rsidRDefault="00D86A11" w:rsidP="00D86A11">
      <w:pPr>
        <w:numPr>
          <w:ilvl w:val="1"/>
          <w:numId w:val="16"/>
        </w:numPr>
        <w:spacing w:before="120" w:after="0"/>
        <w:ind w:right="130"/>
        <w:rPr>
          <w:rFonts w:ascii="Franklin Gothic Book" w:hAnsi="Franklin Gothic Book"/>
          <w:spacing w:val="20"/>
          <w:szCs w:val="28"/>
        </w:rPr>
      </w:pPr>
      <w:r>
        <w:rPr>
          <w:rFonts w:ascii="Franklin Gothic Book" w:hAnsi="Franklin Gothic Book"/>
          <w:spacing w:val="20"/>
          <w:szCs w:val="28"/>
        </w:rPr>
        <w:t xml:space="preserve">Additional </w:t>
      </w:r>
      <w:r w:rsidRPr="00023211">
        <w:rPr>
          <w:rFonts w:ascii="Franklin Gothic Book" w:hAnsi="Franklin Gothic Book"/>
          <w:spacing w:val="20"/>
          <w:szCs w:val="28"/>
        </w:rPr>
        <w:t xml:space="preserve">transportation support, peer support groups or mentorship programs </w:t>
      </w:r>
    </w:p>
    <w:p w:rsidR="00D86A11" w:rsidRPr="008A174A" w:rsidRDefault="00D86A11" w:rsidP="00D86A11">
      <w:pPr>
        <w:numPr>
          <w:ilvl w:val="1"/>
          <w:numId w:val="16"/>
        </w:numPr>
        <w:spacing w:before="120" w:after="0"/>
        <w:ind w:right="130"/>
        <w:rPr>
          <w:rFonts w:ascii="Franklin Gothic Book" w:hAnsi="Franklin Gothic Book"/>
          <w:spacing w:val="20"/>
          <w:szCs w:val="28"/>
        </w:rPr>
      </w:pPr>
      <w:r w:rsidRPr="008A174A">
        <w:rPr>
          <w:rFonts w:ascii="Franklin Gothic Book" w:hAnsi="Franklin Gothic Book"/>
          <w:spacing w:val="20"/>
          <w:szCs w:val="28"/>
        </w:rPr>
        <w:t>Increase availability of peer led services within community setting</w:t>
      </w:r>
      <w:r>
        <w:rPr>
          <w:rFonts w:ascii="Franklin Gothic Book" w:hAnsi="Franklin Gothic Book"/>
          <w:spacing w:val="20"/>
          <w:szCs w:val="28"/>
        </w:rPr>
        <w:t>s</w:t>
      </w:r>
      <w:r w:rsidRPr="008A174A">
        <w:rPr>
          <w:rFonts w:ascii="Franklin Gothic Book" w:hAnsi="Franklin Gothic Book"/>
          <w:spacing w:val="20"/>
          <w:szCs w:val="28"/>
        </w:rPr>
        <w:t xml:space="preserve"> to serve as navigation hubs</w:t>
      </w:r>
    </w:p>
    <w:p w:rsidR="00D86A11" w:rsidRDefault="00D86A11" w:rsidP="00D86A11">
      <w:pPr>
        <w:numPr>
          <w:ilvl w:val="1"/>
          <w:numId w:val="16"/>
        </w:numPr>
        <w:spacing w:before="120" w:after="0"/>
        <w:ind w:right="130"/>
        <w:rPr>
          <w:rFonts w:ascii="Franklin Gothic Book" w:hAnsi="Franklin Gothic Book"/>
          <w:spacing w:val="20"/>
          <w:szCs w:val="28"/>
        </w:rPr>
      </w:pPr>
      <w:r>
        <w:rPr>
          <w:rFonts w:ascii="Franklin Gothic Book" w:hAnsi="Franklin Gothic Book"/>
          <w:spacing w:val="20"/>
          <w:szCs w:val="28"/>
        </w:rPr>
        <w:t>For youth</w:t>
      </w:r>
    </w:p>
    <w:p w:rsidR="00D86A11" w:rsidRDefault="00D86A11" w:rsidP="00D86A11">
      <w:pPr>
        <w:numPr>
          <w:ilvl w:val="2"/>
          <w:numId w:val="16"/>
        </w:numPr>
        <w:spacing w:before="120" w:after="0"/>
        <w:ind w:right="130"/>
        <w:rPr>
          <w:rFonts w:ascii="Franklin Gothic Book" w:hAnsi="Franklin Gothic Book"/>
          <w:spacing w:val="20"/>
          <w:szCs w:val="28"/>
        </w:rPr>
      </w:pPr>
      <w:r>
        <w:rPr>
          <w:rFonts w:ascii="Franklin Gothic Book" w:hAnsi="Franklin Gothic Book"/>
          <w:spacing w:val="20"/>
          <w:szCs w:val="28"/>
        </w:rPr>
        <w:t>Mo</w:t>
      </w:r>
      <w:r w:rsidRPr="00023211">
        <w:rPr>
          <w:rFonts w:ascii="Franklin Gothic Book" w:hAnsi="Franklin Gothic Book"/>
          <w:spacing w:val="20"/>
          <w:szCs w:val="28"/>
        </w:rPr>
        <w:t>re in-depth basic skills training (e.g., resumes, cleaning your bathroom, dressing yourself a certain way).</w:t>
      </w:r>
    </w:p>
    <w:p w:rsidR="00D86A11" w:rsidRDefault="00D86A11" w:rsidP="00D86A11">
      <w:pPr>
        <w:numPr>
          <w:ilvl w:val="2"/>
          <w:numId w:val="16"/>
        </w:numPr>
        <w:spacing w:before="120" w:after="0"/>
        <w:ind w:right="130"/>
        <w:rPr>
          <w:rFonts w:ascii="Franklin Gothic Book" w:hAnsi="Franklin Gothic Book"/>
          <w:spacing w:val="20"/>
          <w:szCs w:val="28"/>
        </w:rPr>
      </w:pPr>
      <w:r>
        <w:rPr>
          <w:rFonts w:ascii="Franklin Gothic Book" w:hAnsi="Franklin Gothic Book"/>
          <w:spacing w:val="20"/>
          <w:szCs w:val="28"/>
        </w:rPr>
        <w:t>H</w:t>
      </w:r>
      <w:r w:rsidRPr="00023211">
        <w:rPr>
          <w:rFonts w:ascii="Franklin Gothic Book" w:hAnsi="Franklin Gothic Book"/>
          <w:spacing w:val="20"/>
          <w:szCs w:val="28"/>
        </w:rPr>
        <w:t>ave more people visit them and spend time with them while they are in group home</w:t>
      </w:r>
      <w:r>
        <w:rPr>
          <w:rFonts w:ascii="Franklin Gothic Book" w:hAnsi="Franklin Gothic Book"/>
          <w:spacing w:val="20"/>
          <w:szCs w:val="28"/>
        </w:rPr>
        <w:t xml:space="preserve"> something like</w:t>
      </w:r>
      <w:r w:rsidRPr="00023211">
        <w:rPr>
          <w:rFonts w:ascii="Franklin Gothic Book" w:hAnsi="Franklin Gothic Book"/>
          <w:spacing w:val="20"/>
          <w:szCs w:val="28"/>
        </w:rPr>
        <w:t xml:space="preserve"> “mand</w:t>
      </w:r>
      <w:r>
        <w:rPr>
          <w:rFonts w:ascii="Franklin Gothic Book" w:hAnsi="Franklin Gothic Book"/>
          <w:spacing w:val="20"/>
          <w:szCs w:val="28"/>
        </w:rPr>
        <w:t>atory visits” as it gets lonely</w:t>
      </w:r>
    </w:p>
    <w:p w:rsidR="00D86A11" w:rsidRPr="00023211" w:rsidRDefault="00D86A11" w:rsidP="00D86A11">
      <w:pPr>
        <w:numPr>
          <w:ilvl w:val="1"/>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Provide more support services (e.g., housing, transportation) for the parents and caregivers to work towards stability in placement</w:t>
      </w:r>
    </w:p>
    <w:p w:rsidR="00D86A11" w:rsidRPr="00023211" w:rsidRDefault="00D86A11" w:rsidP="00D86A11">
      <w:pPr>
        <w:numPr>
          <w:ilvl w:val="1"/>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Provide more education services for both youth and family about what is going on and what they can expect to happen as they go through removal and reunification</w:t>
      </w:r>
    </w:p>
    <w:p w:rsidR="00D86A11" w:rsidRPr="00023211" w:rsidRDefault="00D86A11" w:rsidP="00D86A11">
      <w:pPr>
        <w:numPr>
          <w:ilvl w:val="1"/>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 xml:space="preserve">Due to the complex challenges faced by families, parent navigators could be effective support to families </w:t>
      </w:r>
    </w:p>
    <w:p w:rsidR="00D86A11" w:rsidRDefault="00D86A11" w:rsidP="00D86A11">
      <w:pPr>
        <w:numPr>
          <w:ilvl w:val="0"/>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lastRenderedPageBreak/>
        <w:t>Participants desired after care services to ensure they have the sufficient supports so as to not reentry/reoffend</w:t>
      </w:r>
    </w:p>
    <w:p w:rsidR="00D86A11" w:rsidRPr="00023211" w:rsidRDefault="00D86A11" w:rsidP="00D86A11">
      <w:pPr>
        <w:numPr>
          <w:ilvl w:val="1"/>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Access to resources after a case is traditionally “closed”</w:t>
      </w:r>
    </w:p>
    <w:p w:rsidR="00D86A11" w:rsidRPr="00023211" w:rsidRDefault="00D86A11" w:rsidP="00D86A11">
      <w:pPr>
        <w:numPr>
          <w:ilvl w:val="1"/>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CWS should give the option to parents to stay connected for an extended period of time</w:t>
      </w:r>
    </w:p>
    <w:p w:rsidR="00D86A11" w:rsidRPr="00023211" w:rsidRDefault="00D86A11" w:rsidP="00D86A11">
      <w:pPr>
        <w:numPr>
          <w:ilvl w:val="1"/>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Parent centered services to allow them to enroll in school, find jobs, receive substance abuse treatment, parenting classes, and other services</w:t>
      </w:r>
    </w:p>
    <w:p w:rsidR="00D86A11" w:rsidRDefault="00D86A11" w:rsidP="00D86A11">
      <w:pPr>
        <w:numPr>
          <w:ilvl w:val="0"/>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 xml:space="preserve">Continue to provide </w:t>
      </w:r>
      <w:r>
        <w:rPr>
          <w:rFonts w:ascii="Franklin Gothic Book" w:hAnsi="Franklin Gothic Book"/>
          <w:spacing w:val="20"/>
          <w:szCs w:val="28"/>
        </w:rPr>
        <w:t xml:space="preserve">existing array of </w:t>
      </w:r>
      <w:r w:rsidRPr="00023211">
        <w:rPr>
          <w:rFonts w:ascii="Franklin Gothic Book" w:hAnsi="Franklin Gothic Book"/>
          <w:spacing w:val="20"/>
          <w:szCs w:val="28"/>
        </w:rPr>
        <w:t xml:space="preserve">services </w:t>
      </w:r>
      <w:r>
        <w:rPr>
          <w:rFonts w:ascii="Franklin Gothic Book" w:hAnsi="Franklin Gothic Book"/>
          <w:spacing w:val="20"/>
          <w:szCs w:val="28"/>
        </w:rPr>
        <w:t xml:space="preserve">while identifying ways to </w:t>
      </w:r>
      <w:r w:rsidRPr="00023211">
        <w:rPr>
          <w:rFonts w:ascii="Franklin Gothic Book" w:hAnsi="Franklin Gothic Book"/>
          <w:spacing w:val="20"/>
          <w:szCs w:val="28"/>
        </w:rPr>
        <w:t xml:space="preserve">measure effectiveness </w:t>
      </w:r>
      <w:r>
        <w:rPr>
          <w:rFonts w:ascii="Franklin Gothic Book" w:hAnsi="Franklin Gothic Book"/>
          <w:spacing w:val="20"/>
          <w:szCs w:val="28"/>
        </w:rPr>
        <w:t xml:space="preserve">of services </w:t>
      </w:r>
    </w:p>
    <w:p w:rsidR="00D86A11" w:rsidRPr="00023211" w:rsidRDefault="00D86A11" w:rsidP="00D86A11">
      <w:pPr>
        <w:numPr>
          <w:ilvl w:val="0"/>
          <w:numId w:val="16"/>
        </w:numPr>
        <w:spacing w:before="120" w:after="0"/>
        <w:ind w:right="130"/>
        <w:rPr>
          <w:rFonts w:ascii="Franklin Gothic Book" w:hAnsi="Franklin Gothic Book"/>
          <w:spacing w:val="20"/>
          <w:szCs w:val="28"/>
        </w:rPr>
      </w:pPr>
      <w:r>
        <w:rPr>
          <w:rFonts w:ascii="Franklin Gothic Book" w:hAnsi="Franklin Gothic Book"/>
          <w:spacing w:val="20"/>
          <w:szCs w:val="28"/>
        </w:rPr>
        <w:t>C</w:t>
      </w:r>
      <w:r w:rsidRPr="00023211">
        <w:rPr>
          <w:rFonts w:ascii="Franklin Gothic Book" w:hAnsi="Franklin Gothic Book"/>
          <w:spacing w:val="20"/>
          <w:szCs w:val="28"/>
        </w:rPr>
        <w:t>larify confidentiality</w:t>
      </w:r>
      <w:r>
        <w:rPr>
          <w:rFonts w:ascii="Franklin Gothic Book" w:hAnsi="Franklin Gothic Book"/>
          <w:spacing w:val="20"/>
          <w:szCs w:val="28"/>
        </w:rPr>
        <w:t xml:space="preserve"> and assumptions about confidentiality</w:t>
      </w:r>
      <w:r w:rsidRPr="00023211">
        <w:rPr>
          <w:rFonts w:ascii="Franklin Gothic Book" w:hAnsi="Franklin Gothic Book"/>
          <w:spacing w:val="20"/>
          <w:szCs w:val="28"/>
        </w:rPr>
        <w:t xml:space="preserve"> bet</w:t>
      </w:r>
      <w:r>
        <w:rPr>
          <w:rFonts w:ascii="Franklin Gothic Book" w:hAnsi="Franklin Gothic Book"/>
          <w:spacing w:val="20"/>
          <w:szCs w:val="28"/>
        </w:rPr>
        <w:t>ween providers and family/youth</w:t>
      </w:r>
    </w:p>
    <w:p w:rsidR="00D86A11" w:rsidRDefault="00D86A11" w:rsidP="00D86A11">
      <w:pPr>
        <w:numPr>
          <w:ilvl w:val="0"/>
          <w:numId w:val="16"/>
        </w:numPr>
        <w:spacing w:before="120" w:after="0"/>
        <w:ind w:right="130"/>
        <w:rPr>
          <w:rFonts w:ascii="Franklin Gothic Book" w:hAnsi="Franklin Gothic Book"/>
          <w:spacing w:val="20"/>
          <w:szCs w:val="28"/>
        </w:rPr>
      </w:pPr>
      <w:r>
        <w:rPr>
          <w:rFonts w:ascii="Franklin Gothic Book" w:hAnsi="Franklin Gothic Book"/>
          <w:spacing w:val="20"/>
          <w:szCs w:val="28"/>
        </w:rPr>
        <w:t xml:space="preserve">Tribal specific </w:t>
      </w:r>
    </w:p>
    <w:p w:rsidR="00D86A11" w:rsidRDefault="00D86A11" w:rsidP="00D86A11">
      <w:pPr>
        <w:numPr>
          <w:ilvl w:val="1"/>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Meaningful and early consultation should be a priori</w:t>
      </w:r>
      <w:r>
        <w:rPr>
          <w:rFonts w:ascii="Franklin Gothic Book" w:hAnsi="Franklin Gothic Book"/>
          <w:spacing w:val="20"/>
          <w:szCs w:val="28"/>
        </w:rPr>
        <w:t>ty and not just with Tribal Star</w:t>
      </w:r>
    </w:p>
    <w:p w:rsidR="00D86A11" w:rsidRPr="00D204ED" w:rsidRDefault="00D86A11" w:rsidP="00D86A11">
      <w:pPr>
        <w:numPr>
          <w:ilvl w:val="1"/>
          <w:numId w:val="16"/>
        </w:numPr>
        <w:spacing w:before="120" w:after="0"/>
        <w:ind w:right="130"/>
        <w:rPr>
          <w:rFonts w:ascii="Franklin Gothic Book" w:hAnsi="Franklin Gothic Book"/>
          <w:spacing w:val="20"/>
          <w:szCs w:val="28"/>
        </w:rPr>
      </w:pPr>
      <w:r w:rsidRPr="00D204ED">
        <w:rPr>
          <w:rFonts w:ascii="Franklin Gothic Book" w:hAnsi="Franklin Gothic Book"/>
          <w:spacing w:val="20"/>
          <w:szCs w:val="28"/>
        </w:rPr>
        <w:t xml:space="preserve">Consider scheduling data focused meetings with Tribal Star members in order to inform practice </w:t>
      </w:r>
    </w:p>
    <w:p w:rsidR="00D86A11" w:rsidRPr="00023211" w:rsidRDefault="00D86A11" w:rsidP="00D86A11">
      <w:pPr>
        <w:numPr>
          <w:ilvl w:val="0"/>
          <w:numId w:val="16"/>
        </w:numPr>
        <w:spacing w:before="120" w:after="0"/>
        <w:ind w:right="130"/>
        <w:rPr>
          <w:rFonts w:ascii="Franklin Gothic Book" w:hAnsi="Franklin Gothic Book"/>
          <w:spacing w:val="20"/>
          <w:szCs w:val="28"/>
        </w:rPr>
      </w:pPr>
      <w:r w:rsidRPr="00023211">
        <w:rPr>
          <w:rFonts w:ascii="Franklin Gothic Book" w:hAnsi="Franklin Gothic Book"/>
          <w:spacing w:val="20"/>
          <w:szCs w:val="28"/>
        </w:rPr>
        <w:t>The complexity of the cases require more coordinated services to address issues beyond what led to CWS or Probation involvement</w:t>
      </w:r>
    </w:p>
    <w:p w:rsidR="00D86A11" w:rsidRPr="00021890" w:rsidRDefault="00D86A11" w:rsidP="00D86A11"/>
    <w:p w:rsidR="00D86A11" w:rsidRPr="002901E1" w:rsidRDefault="00D86A11" w:rsidP="00D86A11">
      <w:pPr>
        <w:pStyle w:val="Heading1"/>
        <w:rPr>
          <w:color w:val="013161"/>
        </w:rPr>
      </w:pPr>
      <w:r w:rsidRPr="002901E1">
        <w:rPr>
          <w:color w:val="013161"/>
        </w:rPr>
        <w:t>Description of overarching themes discovered during the assessment that includes:</w:t>
      </w:r>
    </w:p>
    <w:p w:rsidR="00D86A11" w:rsidRPr="000C57AB" w:rsidRDefault="00D86A11" w:rsidP="00D86A11">
      <w:pPr>
        <w:pStyle w:val="Heading2"/>
        <w:rPr>
          <w:rStyle w:val="Heading3Char"/>
          <w:b/>
          <w:color w:val="F6872B"/>
        </w:rPr>
      </w:pPr>
      <w:r w:rsidRPr="000C57AB">
        <w:rPr>
          <w:rStyle w:val="Heading3Char"/>
          <w:b/>
          <w:color w:val="F6872B"/>
        </w:rPr>
        <w:t>Populations at greatest risk of maltreatment</w:t>
      </w:r>
    </w:p>
    <w:p w:rsidR="00D86A11" w:rsidRDefault="00D86A11" w:rsidP="00D86A11">
      <w:pPr>
        <w:numPr>
          <w:ilvl w:val="0"/>
          <w:numId w:val="16"/>
        </w:numPr>
        <w:spacing w:before="120" w:after="0"/>
        <w:ind w:right="130"/>
        <w:rPr>
          <w:rFonts w:ascii="Franklin Gothic Book" w:hAnsi="Franklin Gothic Book"/>
          <w:spacing w:val="20"/>
          <w:szCs w:val="28"/>
        </w:rPr>
      </w:pPr>
      <w:r>
        <w:rPr>
          <w:rFonts w:ascii="Franklin Gothic Book" w:hAnsi="Franklin Gothic Book"/>
          <w:spacing w:val="20"/>
          <w:szCs w:val="28"/>
        </w:rPr>
        <w:t xml:space="preserve">Children between the ages of 0-5 are at greatest risk for maltreatment. Risk factors include parental mental health and substance use as well, limited prevention services (e.g., parent support and other needs associated with poverty).   </w:t>
      </w:r>
    </w:p>
    <w:p w:rsidR="00D86A11" w:rsidRDefault="00D86A11" w:rsidP="00D86A11">
      <w:pPr>
        <w:numPr>
          <w:ilvl w:val="0"/>
          <w:numId w:val="16"/>
        </w:numPr>
        <w:spacing w:before="120" w:after="0"/>
        <w:ind w:right="130"/>
        <w:rPr>
          <w:rFonts w:ascii="Franklin Gothic Book" w:hAnsi="Franklin Gothic Book"/>
          <w:spacing w:val="20"/>
          <w:szCs w:val="28"/>
        </w:rPr>
      </w:pPr>
      <w:r>
        <w:rPr>
          <w:rFonts w:ascii="Franklin Gothic Book" w:hAnsi="Franklin Gothic Book"/>
          <w:spacing w:val="20"/>
          <w:szCs w:val="28"/>
        </w:rPr>
        <w:t xml:space="preserve">Despite ongoing efforts and partnership to address disproportionality among Native American and African American children, it continues to be a recalcitrant issue not only for the County of San Diego but across the United States. </w:t>
      </w:r>
    </w:p>
    <w:p w:rsidR="00D86A11" w:rsidRPr="00023211" w:rsidRDefault="00D86A11" w:rsidP="00D86A11">
      <w:pPr>
        <w:numPr>
          <w:ilvl w:val="0"/>
          <w:numId w:val="16"/>
        </w:numPr>
        <w:spacing w:before="120" w:after="0"/>
        <w:ind w:right="130"/>
        <w:rPr>
          <w:rFonts w:ascii="Franklin Gothic Book" w:hAnsi="Franklin Gothic Book"/>
          <w:spacing w:val="20"/>
          <w:szCs w:val="28"/>
        </w:rPr>
      </w:pPr>
      <w:r>
        <w:rPr>
          <w:rFonts w:ascii="Franklin Gothic Book" w:hAnsi="Franklin Gothic Book"/>
          <w:spacing w:val="20"/>
          <w:szCs w:val="28"/>
        </w:rPr>
        <w:t xml:space="preserve">Current cases represent children and families with complex and challenging needs. The number of children/youth in care has decreased for the County of San Diego across the past five years. Those that remain in care face multigenerational trauma and involvement with CWS and criminal justice system, untreated behavioral health and substance use issue, as well as conditions associated with poverty (e.g., reduced family income, family instability, unemployment, transportation, and housing). </w:t>
      </w:r>
    </w:p>
    <w:p w:rsidR="00D86A11" w:rsidRPr="006611B9" w:rsidRDefault="00D86A11" w:rsidP="00D86A11">
      <w:pPr>
        <w:pStyle w:val="Heading2"/>
        <w:rPr>
          <w:rStyle w:val="Heading3Char"/>
          <w:b/>
          <w:color w:val="F6872B"/>
        </w:rPr>
      </w:pPr>
      <w:r w:rsidRPr="006611B9">
        <w:rPr>
          <w:rStyle w:val="Heading3Char"/>
          <w:b/>
          <w:color w:val="F6872B"/>
        </w:rPr>
        <w:lastRenderedPageBreak/>
        <w:t>County strengths</w:t>
      </w:r>
    </w:p>
    <w:p w:rsidR="00D86A11" w:rsidRDefault="00D86A11" w:rsidP="00D86A11">
      <w:pPr>
        <w:pStyle w:val="Heading3"/>
        <w:spacing w:line="276" w:lineRule="auto"/>
        <w:rPr>
          <w:b w:val="0"/>
          <w:color w:val="auto"/>
          <w:sz w:val="22"/>
        </w:rPr>
      </w:pPr>
      <w:r w:rsidRPr="0019487E">
        <w:rPr>
          <w:b w:val="0"/>
          <w:color w:val="auto"/>
          <w:sz w:val="22"/>
        </w:rPr>
        <w:t>Findings from the CSA stakeholder forums, focus groups, and Peer Review consistently noted</w:t>
      </w:r>
      <w:r>
        <w:rPr>
          <w:b w:val="0"/>
          <w:color w:val="auto"/>
          <w:sz w:val="22"/>
        </w:rPr>
        <w:t xml:space="preserve"> important improvements in internal practice (CWS and Probation), service array, and agency collaboration since the 2011 CSA report.   </w:t>
      </w:r>
    </w:p>
    <w:p w:rsidR="00D86A11" w:rsidRPr="00D13CB4" w:rsidRDefault="00D86A11" w:rsidP="00D86A11">
      <w:pPr>
        <w:pStyle w:val="Heading2"/>
        <w:rPr>
          <w:b w:val="0"/>
          <w:color w:val="2E7029"/>
          <w:sz w:val="22"/>
        </w:rPr>
      </w:pPr>
      <w:r>
        <w:rPr>
          <w:b w:val="0"/>
          <w:color w:val="2E7029"/>
          <w:sz w:val="22"/>
        </w:rPr>
        <w:t xml:space="preserve">Practice Reforms </w:t>
      </w:r>
    </w:p>
    <w:p w:rsidR="00D86A11" w:rsidRDefault="00D86A11" w:rsidP="00D86A11">
      <w:pPr>
        <w:spacing w:before="120" w:after="0"/>
        <w:ind w:right="130"/>
        <w:rPr>
          <w:rFonts w:ascii="Franklin Gothic Book" w:hAnsi="Franklin Gothic Book"/>
          <w:spacing w:val="20"/>
          <w:szCs w:val="28"/>
        </w:rPr>
      </w:pPr>
      <w:r w:rsidRPr="00586F82">
        <w:rPr>
          <w:rFonts w:ascii="Franklin Gothic Book" w:hAnsi="Franklin Gothic Book"/>
          <w:spacing w:val="20"/>
          <w:szCs w:val="28"/>
        </w:rPr>
        <w:t>Practice reforms such as Safety Enhanced Together (SET)</w:t>
      </w:r>
      <w:r>
        <w:rPr>
          <w:rFonts w:ascii="Franklin Gothic Book" w:hAnsi="Franklin Gothic Book"/>
          <w:spacing w:val="20"/>
          <w:szCs w:val="28"/>
        </w:rPr>
        <w:t xml:space="preserve">, </w:t>
      </w:r>
      <w:r w:rsidRPr="00586F82">
        <w:rPr>
          <w:rFonts w:ascii="Franklin Gothic Book" w:hAnsi="Franklin Gothic Book"/>
          <w:spacing w:val="20"/>
          <w:szCs w:val="28"/>
        </w:rPr>
        <w:t>Safety Organized Practice (SOP)</w:t>
      </w:r>
      <w:r>
        <w:rPr>
          <w:rFonts w:ascii="Franklin Gothic Book" w:hAnsi="Franklin Gothic Book"/>
          <w:spacing w:val="20"/>
          <w:szCs w:val="28"/>
        </w:rPr>
        <w:t>, and Trauma-Informed</w:t>
      </w:r>
      <w:r w:rsidRPr="00586F82">
        <w:rPr>
          <w:rFonts w:ascii="Franklin Gothic Book" w:hAnsi="Franklin Gothic Book"/>
          <w:spacing w:val="20"/>
          <w:szCs w:val="28"/>
        </w:rPr>
        <w:t xml:space="preserve"> </w:t>
      </w:r>
      <w:r>
        <w:rPr>
          <w:rFonts w:ascii="Franklin Gothic Book" w:hAnsi="Franklin Gothic Book"/>
          <w:spacing w:val="20"/>
          <w:szCs w:val="28"/>
        </w:rPr>
        <w:t xml:space="preserve">practices </w:t>
      </w:r>
      <w:r w:rsidRPr="00586F82">
        <w:rPr>
          <w:rFonts w:ascii="Franklin Gothic Book" w:hAnsi="Franklin Gothic Book"/>
          <w:spacing w:val="20"/>
          <w:szCs w:val="28"/>
        </w:rPr>
        <w:t xml:space="preserve">have led to </w:t>
      </w:r>
      <w:r>
        <w:rPr>
          <w:rFonts w:ascii="Franklin Gothic Book" w:hAnsi="Franklin Gothic Book"/>
          <w:spacing w:val="20"/>
          <w:szCs w:val="28"/>
        </w:rPr>
        <w:t xml:space="preserve">more effective screening, assessment, and service delivery planning. The Lean Six Sigma project is another opportunity for CWS to strengthen their practice as well as collaboration with other partners/agencies. </w:t>
      </w:r>
    </w:p>
    <w:p w:rsidR="00D86A11" w:rsidRPr="00D13CB4" w:rsidRDefault="00D86A11" w:rsidP="00D86A11">
      <w:pPr>
        <w:pStyle w:val="Heading2"/>
        <w:rPr>
          <w:b w:val="0"/>
          <w:color w:val="2E7029"/>
          <w:sz w:val="22"/>
        </w:rPr>
      </w:pPr>
      <w:r>
        <w:rPr>
          <w:b w:val="0"/>
          <w:color w:val="2E7029"/>
          <w:sz w:val="22"/>
        </w:rPr>
        <w:t>Use of Evidence-based/Promising Practices</w:t>
      </w:r>
    </w:p>
    <w:p w:rsidR="00D86A11" w:rsidRDefault="00D86A11" w:rsidP="00D86A11">
      <w:pPr>
        <w:spacing w:before="120" w:after="0"/>
        <w:ind w:right="130"/>
        <w:rPr>
          <w:rFonts w:ascii="Franklin Gothic Book" w:hAnsi="Franklin Gothic Book"/>
          <w:spacing w:val="20"/>
          <w:szCs w:val="28"/>
        </w:rPr>
      </w:pPr>
      <w:r>
        <w:rPr>
          <w:rFonts w:ascii="Franklin Gothic Book" w:hAnsi="Franklin Gothic Book"/>
          <w:spacing w:val="20"/>
          <w:szCs w:val="28"/>
        </w:rPr>
        <w:t>Since the 2011 SIP, CWS has increased its use of family centered/family engagement models and practices. Participants noted the use of TDMS, FGCs, MDTs, and SOP as contributing to successful family outcomes. In addition, models such as Incredible Years, WRAP services and alternatives to detention (for Probation).</w:t>
      </w:r>
    </w:p>
    <w:p w:rsidR="00D86A11" w:rsidRPr="00D13CB4" w:rsidRDefault="00D86A11" w:rsidP="00D86A11">
      <w:pPr>
        <w:pStyle w:val="Heading2"/>
        <w:rPr>
          <w:b w:val="0"/>
          <w:color w:val="2E7029"/>
          <w:sz w:val="22"/>
        </w:rPr>
      </w:pPr>
      <w:r>
        <w:rPr>
          <w:b w:val="0"/>
          <w:color w:val="2E7029"/>
          <w:sz w:val="22"/>
        </w:rPr>
        <w:t xml:space="preserve">Service Array </w:t>
      </w:r>
    </w:p>
    <w:p w:rsidR="00D86A11" w:rsidRDefault="00D86A11" w:rsidP="00D86A11">
      <w:pPr>
        <w:spacing w:before="120" w:after="0"/>
        <w:ind w:right="130"/>
        <w:rPr>
          <w:rFonts w:ascii="Franklin Gothic Book" w:hAnsi="Franklin Gothic Book"/>
          <w:spacing w:val="20"/>
          <w:szCs w:val="28"/>
        </w:rPr>
      </w:pPr>
      <w:r>
        <w:rPr>
          <w:rFonts w:ascii="Franklin Gothic Book" w:hAnsi="Franklin Gothic Book"/>
          <w:spacing w:val="20"/>
          <w:szCs w:val="28"/>
        </w:rPr>
        <w:t>Overall, there is an agreement of the wide array of services available to families. The service array in the region is seen as robust and available with some exceptions particularly in the remote regions of the county.</w:t>
      </w:r>
    </w:p>
    <w:p w:rsidR="00D86A11" w:rsidRPr="00D13CB4" w:rsidRDefault="00D86A11" w:rsidP="00D86A11">
      <w:pPr>
        <w:pStyle w:val="Heading2"/>
        <w:rPr>
          <w:b w:val="0"/>
          <w:color w:val="2E7029"/>
          <w:sz w:val="22"/>
        </w:rPr>
      </w:pPr>
      <w:r>
        <w:rPr>
          <w:b w:val="0"/>
          <w:color w:val="2E7029"/>
          <w:sz w:val="22"/>
        </w:rPr>
        <w:t xml:space="preserve">Agency Collaboration </w:t>
      </w:r>
    </w:p>
    <w:p w:rsidR="00D86A11" w:rsidRDefault="00D86A11" w:rsidP="00D86A11">
      <w:pPr>
        <w:spacing w:before="120" w:after="0"/>
        <w:ind w:right="130"/>
        <w:rPr>
          <w:rFonts w:ascii="Franklin Gothic Book" w:hAnsi="Franklin Gothic Book"/>
          <w:spacing w:val="20"/>
          <w:szCs w:val="28"/>
        </w:rPr>
      </w:pPr>
      <w:r>
        <w:rPr>
          <w:rFonts w:ascii="Franklin Gothic Book" w:hAnsi="Franklin Gothic Book"/>
          <w:spacing w:val="20"/>
          <w:szCs w:val="28"/>
        </w:rPr>
        <w:t xml:space="preserve">Agency Collaboration was the systemic factor addressed as part of the 2012-2017 SIP. During the CSA stakeholder engagement process, participants noted improved communication (email, co-location, case consults, etc.), collaboration in case development and consultation with providers and caregivers (e.g., TDMs and MDTs), development of agreements (e.g., Tribal MOU), and participation collaborative, meetings, trainings, and events (e.g., kinship support, training for providers in the use of SOP). </w:t>
      </w:r>
    </w:p>
    <w:p w:rsidR="00D86A11" w:rsidRPr="006611B9" w:rsidRDefault="00D86A11" w:rsidP="00D86A11">
      <w:pPr>
        <w:pStyle w:val="Heading2"/>
        <w:rPr>
          <w:rStyle w:val="Heading3Char"/>
          <w:b/>
          <w:color w:val="F6872B"/>
        </w:rPr>
      </w:pPr>
      <w:r w:rsidRPr="006611B9">
        <w:rPr>
          <w:rStyle w:val="Heading3Char"/>
          <w:b/>
          <w:color w:val="F6872B"/>
        </w:rPr>
        <w:t>Areas needing improvement</w:t>
      </w:r>
    </w:p>
    <w:p w:rsidR="00D86A11" w:rsidRPr="00D13CB4" w:rsidRDefault="00D86A11" w:rsidP="00D86A11">
      <w:pPr>
        <w:pStyle w:val="Heading2"/>
        <w:rPr>
          <w:b w:val="0"/>
          <w:color w:val="2E7029"/>
          <w:sz w:val="22"/>
        </w:rPr>
      </w:pPr>
      <w:r>
        <w:rPr>
          <w:b w:val="0"/>
          <w:color w:val="2E7029"/>
          <w:sz w:val="22"/>
        </w:rPr>
        <w:t>Father/Paternal Engagement</w:t>
      </w:r>
    </w:p>
    <w:p w:rsidR="00D86A11" w:rsidRPr="00C04877" w:rsidRDefault="00D86A11" w:rsidP="00D86A11">
      <w:pPr>
        <w:pStyle w:val="Heading3"/>
        <w:spacing w:line="276" w:lineRule="auto"/>
        <w:rPr>
          <w:b w:val="0"/>
          <w:color w:val="auto"/>
          <w:sz w:val="22"/>
        </w:rPr>
      </w:pPr>
      <w:r>
        <w:rPr>
          <w:b w:val="0"/>
          <w:color w:val="auto"/>
          <w:sz w:val="22"/>
        </w:rPr>
        <w:t xml:space="preserve">Although the county has two existing father engagement strategies (father friendly checkup and Fatherhood Champions), stakeholders continue to identify challenges engaging father and paternal family members. Ongoing efforts are need to identify and engage paternal family members through the life of the case.  </w:t>
      </w:r>
    </w:p>
    <w:p w:rsidR="00D86A11" w:rsidRPr="00D13CB4" w:rsidRDefault="00D86A11" w:rsidP="00D86A11">
      <w:pPr>
        <w:pStyle w:val="Heading2"/>
        <w:rPr>
          <w:b w:val="0"/>
          <w:color w:val="2E7029"/>
          <w:sz w:val="22"/>
        </w:rPr>
      </w:pPr>
      <w:r>
        <w:rPr>
          <w:b w:val="0"/>
          <w:color w:val="2E7029"/>
          <w:sz w:val="22"/>
        </w:rPr>
        <w:t xml:space="preserve">Service Array Coordination </w:t>
      </w:r>
    </w:p>
    <w:p w:rsidR="00D86A11" w:rsidRDefault="00D86A11" w:rsidP="00D86A11">
      <w:pPr>
        <w:pStyle w:val="Heading3"/>
        <w:spacing w:line="276" w:lineRule="auto"/>
        <w:rPr>
          <w:b w:val="0"/>
          <w:color w:val="auto"/>
          <w:sz w:val="22"/>
        </w:rPr>
      </w:pPr>
      <w:r>
        <w:rPr>
          <w:b w:val="0"/>
          <w:color w:val="auto"/>
          <w:sz w:val="22"/>
        </w:rPr>
        <w:t xml:space="preserve">Consistently when gaps in service were noted, it was often due to coordination and timing of services. </w:t>
      </w:r>
    </w:p>
    <w:p w:rsidR="00D86A11" w:rsidRPr="00507F9F" w:rsidRDefault="00D86A11" w:rsidP="00D86A11">
      <w:pPr>
        <w:ind w:left="720"/>
        <w:rPr>
          <w:i/>
          <w:iCs/>
          <w:color w:val="auto"/>
          <w:sz w:val="28"/>
          <w:szCs w:val="28"/>
        </w:rPr>
      </w:pPr>
      <w:r>
        <w:rPr>
          <w:i/>
          <w:iCs/>
          <w:color w:val="auto"/>
          <w:sz w:val="28"/>
          <w:szCs w:val="28"/>
        </w:rPr>
        <w:lastRenderedPageBreak/>
        <w:t>“T</w:t>
      </w:r>
      <w:r w:rsidRPr="00507F9F">
        <w:rPr>
          <w:i/>
          <w:iCs/>
          <w:color w:val="auto"/>
          <w:sz w:val="28"/>
          <w:szCs w:val="28"/>
        </w:rPr>
        <w:t>he best we can do to condense and streamline the services provided to families will assist in families becoming less overwhelmed and more invested</w:t>
      </w:r>
      <w:r>
        <w:rPr>
          <w:i/>
          <w:iCs/>
          <w:color w:val="auto"/>
          <w:sz w:val="28"/>
          <w:szCs w:val="28"/>
        </w:rPr>
        <w:t xml:space="preserve">”- Stakeholder </w:t>
      </w:r>
      <w:r w:rsidRPr="00507F9F">
        <w:rPr>
          <w:i/>
          <w:iCs/>
          <w:color w:val="auto"/>
          <w:sz w:val="28"/>
          <w:szCs w:val="28"/>
        </w:rPr>
        <w:t xml:space="preserve">Input </w:t>
      </w:r>
    </w:p>
    <w:p w:rsidR="00D86A11" w:rsidRPr="00890214" w:rsidRDefault="00D86A11" w:rsidP="00D86A11">
      <w:pPr>
        <w:pStyle w:val="Heading2"/>
        <w:rPr>
          <w:b w:val="0"/>
          <w:color w:val="2E7029"/>
          <w:sz w:val="22"/>
        </w:rPr>
      </w:pPr>
      <w:r w:rsidRPr="00890214">
        <w:rPr>
          <w:b w:val="0"/>
          <w:color w:val="2E7029"/>
          <w:sz w:val="22"/>
        </w:rPr>
        <w:t>Staff Training/Support</w:t>
      </w:r>
    </w:p>
    <w:p w:rsidR="00D86A11" w:rsidRPr="00C04877" w:rsidRDefault="00D86A11" w:rsidP="00D86A11">
      <w:pPr>
        <w:pStyle w:val="Heading3"/>
        <w:spacing w:line="276" w:lineRule="auto"/>
        <w:rPr>
          <w:b w:val="0"/>
          <w:color w:val="auto"/>
          <w:sz w:val="22"/>
        </w:rPr>
      </w:pPr>
      <w:r>
        <w:rPr>
          <w:b w:val="0"/>
          <w:color w:val="auto"/>
          <w:sz w:val="22"/>
        </w:rPr>
        <w:t xml:space="preserve">Current caseloads for CWS and Probation staff are comprised of families and youth facing multiple and complex challenges. In addition, both departments have strengthened their internal practice by training staff on the use of evidence-based screening, assessment, and engagement strategies. Both of these conditions (i.e. complex cases and additional time needed to administer tools) require staff to spend more time with each case. Thus, participants recommended a reduction in caseloads for CWS and Probation as well as ongoing training and supervision to ensure staff have the support they need to implement these evidenced-based tools with fidelity. </w:t>
      </w:r>
    </w:p>
    <w:p w:rsidR="00D86A11" w:rsidRPr="00D13CB4" w:rsidRDefault="00D86A11" w:rsidP="00D86A11">
      <w:pPr>
        <w:pStyle w:val="Heading2"/>
        <w:rPr>
          <w:b w:val="0"/>
          <w:color w:val="2E7029"/>
          <w:sz w:val="22"/>
        </w:rPr>
      </w:pPr>
      <w:r>
        <w:rPr>
          <w:b w:val="0"/>
          <w:color w:val="2E7029"/>
          <w:sz w:val="22"/>
        </w:rPr>
        <w:t xml:space="preserve">Visitation Services </w:t>
      </w:r>
    </w:p>
    <w:p w:rsidR="00D86A11" w:rsidRPr="00C04877" w:rsidRDefault="00D86A11" w:rsidP="00D86A11">
      <w:pPr>
        <w:pStyle w:val="Heading3"/>
        <w:spacing w:line="276" w:lineRule="auto"/>
        <w:rPr>
          <w:b w:val="0"/>
          <w:color w:val="auto"/>
          <w:sz w:val="22"/>
        </w:rPr>
      </w:pPr>
      <w:r>
        <w:rPr>
          <w:b w:val="0"/>
          <w:color w:val="auto"/>
          <w:sz w:val="22"/>
        </w:rPr>
        <w:t>Participants noted the high quality of visitation services and saw these as valuable in improving placement and reunification. Suggested improvements in visitation services included</w:t>
      </w:r>
      <w:r w:rsidRPr="00C04877">
        <w:rPr>
          <w:b w:val="0"/>
          <w:color w:val="auto"/>
          <w:sz w:val="22"/>
        </w:rPr>
        <w:t xml:space="preserve"> longer or </w:t>
      </w:r>
      <w:r>
        <w:rPr>
          <w:b w:val="0"/>
          <w:color w:val="auto"/>
          <w:sz w:val="22"/>
        </w:rPr>
        <w:t xml:space="preserve">expanded visits and increase use of parent support/ coaching services to build parents capacity and effectiveness to protect child. </w:t>
      </w:r>
    </w:p>
    <w:p w:rsidR="00D86A11" w:rsidRPr="00D13CB4" w:rsidRDefault="00D86A11" w:rsidP="00D86A11">
      <w:pPr>
        <w:pStyle w:val="Heading2"/>
        <w:rPr>
          <w:b w:val="0"/>
          <w:color w:val="2E7029"/>
          <w:sz w:val="22"/>
        </w:rPr>
      </w:pPr>
      <w:r>
        <w:rPr>
          <w:b w:val="0"/>
          <w:color w:val="2E7029"/>
          <w:sz w:val="22"/>
        </w:rPr>
        <w:t xml:space="preserve">Aftercare Planning and Services </w:t>
      </w:r>
    </w:p>
    <w:p w:rsidR="00D86A11" w:rsidRDefault="00D86A11" w:rsidP="00D86A11">
      <w:pPr>
        <w:pStyle w:val="Heading3"/>
        <w:spacing w:line="276" w:lineRule="auto"/>
        <w:rPr>
          <w:b w:val="0"/>
          <w:color w:val="auto"/>
          <w:sz w:val="22"/>
        </w:rPr>
      </w:pPr>
      <w:r>
        <w:rPr>
          <w:b w:val="0"/>
          <w:color w:val="auto"/>
          <w:sz w:val="22"/>
        </w:rPr>
        <w:t>Consistently, there was a desire for CWS and probation staff to work with families and providers to develop long term safety pla</w:t>
      </w:r>
      <w:r w:rsidR="00121985">
        <w:rPr>
          <w:b w:val="0"/>
          <w:color w:val="auto"/>
          <w:sz w:val="22"/>
        </w:rPr>
        <w:t xml:space="preserve">nning with robust aftercare plans and services. </w:t>
      </w:r>
    </w:p>
    <w:p w:rsidR="00D86A11" w:rsidRPr="00731E04" w:rsidRDefault="00D86A11" w:rsidP="00D86A11">
      <w:pPr>
        <w:ind w:left="720"/>
        <w:rPr>
          <w:i/>
          <w:color w:val="auto"/>
        </w:rPr>
      </w:pPr>
      <w:r>
        <w:rPr>
          <w:i/>
          <w:iCs/>
          <w:color w:val="auto"/>
          <w:sz w:val="28"/>
          <w:szCs w:val="28"/>
        </w:rPr>
        <w:t>“</w:t>
      </w:r>
      <w:r w:rsidRPr="00731E04">
        <w:rPr>
          <w:i/>
          <w:iCs/>
          <w:color w:val="auto"/>
          <w:sz w:val="28"/>
          <w:szCs w:val="28"/>
        </w:rPr>
        <w:t>After the family is reunified then aftercare/ transitional services MUST be offered to reduce recidivism. With these services respite care for the parents needs to also be in place</w:t>
      </w:r>
      <w:r>
        <w:rPr>
          <w:i/>
          <w:iCs/>
          <w:color w:val="auto"/>
          <w:sz w:val="28"/>
          <w:szCs w:val="28"/>
        </w:rPr>
        <w:t>”</w:t>
      </w:r>
      <w:r w:rsidRPr="00731E04">
        <w:rPr>
          <w:i/>
          <w:iCs/>
          <w:color w:val="auto"/>
          <w:sz w:val="28"/>
          <w:szCs w:val="28"/>
        </w:rPr>
        <w:t>- Stakeholder input</w:t>
      </w:r>
    </w:p>
    <w:p w:rsidR="00D86A11" w:rsidRPr="006611B9" w:rsidRDefault="00D86A11" w:rsidP="00D86A11">
      <w:pPr>
        <w:pStyle w:val="Heading2"/>
        <w:rPr>
          <w:rStyle w:val="Heading3Char"/>
          <w:b/>
          <w:color w:val="F6872B"/>
        </w:rPr>
      </w:pPr>
      <w:r w:rsidRPr="006611B9">
        <w:rPr>
          <w:rStyle w:val="Heading3Char"/>
          <w:b/>
          <w:color w:val="F6872B"/>
        </w:rPr>
        <w:t>Service array gaps and needs</w:t>
      </w:r>
    </w:p>
    <w:p w:rsidR="00D86A11" w:rsidRPr="0019487E" w:rsidRDefault="00D86A11" w:rsidP="00D86A11">
      <w:pPr>
        <w:pStyle w:val="Heading3"/>
        <w:spacing w:line="276" w:lineRule="auto"/>
        <w:rPr>
          <w:b w:val="0"/>
          <w:color w:val="auto"/>
          <w:sz w:val="22"/>
        </w:rPr>
      </w:pPr>
      <w:r w:rsidRPr="0019487E">
        <w:rPr>
          <w:b w:val="0"/>
          <w:color w:val="auto"/>
          <w:sz w:val="22"/>
        </w:rPr>
        <w:t xml:space="preserve">Findings from the CSA stakeholder forums, focus groups, and Peer Review consistently noted the wider array of services available to families. </w:t>
      </w:r>
      <w:r>
        <w:rPr>
          <w:b w:val="0"/>
          <w:color w:val="auto"/>
          <w:sz w:val="22"/>
        </w:rPr>
        <w:t>Generally, g</w:t>
      </w:r>
      <w:r w:rsidRPr="0019487E">
        <w:rPr>
          <w:b w:val="0"/>
          <w:color w:val="auto"/>
          <w:sz w:val="22"/>
        </w:rPr>
        <w:t xml:space="preserve">aps occurred not because services were </w:t>
      </w:r>
      <w:r>
        <w:rPr>
          <w:b w:val="0"/>
          <w:color w:val="auto"/>
          <w:sz w:val="22"/>
        </w:rPr>
        <w:t xml:space="preserve">unavailable </w:t>
      </w:r>
      <w:r w:rsidRPr="0019487E">
        <w:rPr>
          <w:b w:val="0"/>
          <w:color w:val="auto"/>
          <w:sz w:val="22"/>
        </w:rPr>
        <w:t>but rather due to challenges with accessing existing services. These challenges often related to readiness to access services by families and youth, transportation (cost and accessibility</w:t>
      </w:r>
      <w:r>
        <w:rPr>
          <w:b w:val="0"/>
          <w:color w:val="auto"/>
          <w:sz w:val="22"/>
        </w:rPr>
        <w:t xml:space="preserve"> due to traveling long distance using public transport </w:t>
      </w:r>
      <w:r w:rsidRPr="0019487E">
        <w:rPr>
          <w:b w:val="0"/>
          <w:color w:val="auto"/>
          <w:sz w:val="22"/>
        </w:rPr>
        <w:t xml:space="preserve">), and coordination and communication between county staff (e.g., social worker), contracted service provider, and service recipient (family/youth). </w:t>
      </w:r>
    </w:p>
    <w:p w:rsidR="00D86A11" w:rsidRDefault="00D86A11" w:rsidP="00D86A11">
      <w:pPr>
        <w:pStyle w:val="Heading3"/>
        <w:spacing w:line="276" w:lineRule="auto"/>
        <w:rPr>
          <w:b w:val="0"/>
          <w:color w:val="auto"/>
          <w:sz w:val="22"/>
        </w:rPr>
      </w:pPr>
      <w:r w:rsidRPr="0019487E">
        <w:rPr>
          <w:b w:val="0"/>
          <w:color w:val="auto"/>
          <w:sz w:val="22"/>
        </w:rPr>
        <w:t xml:space="preserve">As was noted earlier, the number of youth in care has decreased significantly from the 2011 CSA to 2016; thus, the families currently in care face complex problems that extend beyond the child protective issue. </w:t>
      </w:r>
      <w:r>
        <w:rPr>
          <w:b w:val="0"/>
          <w:color w:val="auto"/>
          <w:sz w:val="22"/>
        </w:rPr>
        <w:t>Although County</w:t>
      </w:r>
      <w:r w:rsidRPr="0019487E">
        <w:rPr>
          <w:b w:val="0"/>
          <w:color w:val="auto"/>
          <w:sz w:val="22"/>
        </w:rPr>
        <w:t xml:space="preserve"> unemployment rates have improved</w:t>
      </w:r>
      <w:r>
        <w:rPr>
          <w:b w:val="0"/>
          <w:color w:val="auto"/>
          <w:sz w:val="22"/>
        </w:rPr>
        <w:t xml:space="preserve"> since 2011</w:t>
      </w:r>
      <w:r w:rsidRPr="0019487E">
        <w:rPr>
          <w:b w:val="0"/>
          <w:color w:val="auto"/>
          <w:sz w:val="22"/>
        </w:rPr>
        <w:t xml:space="preserve">, </w:t>
      </w:r>
      <w:r>
        <w:rPr>
          <w:b w:val="0"/>
          <w:color w:val="auto"/>
          <w:sz w:val="22"/>
        </w:rPr>
        <w:t xml:space="preserve">housing costs and </w:t>
      </w:r>
      <w:r w:rsidR="00121985">
        <w:rPr>
          <w:b w:val="0"/>
          <w:color w:val="auto"/>
          <w:sz w:val="22"/>
        </w:rPr>
        <w:t xml:space="preserve">poverty has risen with 18.8% of children now living in poverty. Thus, the need for increases in prevention, after </w:t>
      </w:r>
      <w:r w:rsidR="00121985">
        <w:rPr>
          <w:b w:val="0"/>
          <w:color w:val="auto"/>
          <w:sz w:val="22"/>
        </w:rPr>
        <w:lastRenderedPageBreak/>
        <w:t xml:space="preserve">care, and peer support services were identified as critical and important for reducing rates of entry and increase rates of permanency in the County of San Diego. </w:t>
      </w:r>
    </w:p>
    <w:p w:rsidR="00D86A11" w:rsidRPr="00D13CB4" w:rsidRDefault="00121985" w:rsidP="00D86A11">
      <w:pPr>
        <w:pStyle w:val="Heading2"/>
        <w:rPr>
          <w:b w:val="0"/>
          <w:color w:val="2E7029"/>
          <w:sz w:val="22"/>
        </w:rPr>
      </w:pPr>
      <w:r w:rsidRPr="00121985">
        <w:rPr>
          <w:b w:val="0"/>
          <w:color w:val="2E7029"/>
          <w:sz w:val="22"/>
        </w:rPr>
        <w:t xml:space="preserve">Gap in Alcohol and Drug Treatment Programs </w:t>
      </w:r>
    </w:p>
    <w:p w:rsidR="00D86A11" w:rsidRDefault="00121985" w:rsidP="00D86A11">
      <w:pPr>
        <w:pStyle w:val="Heading3"/>
        <w:spacing w:line="276" w:lineRule="auto"/>
        <w:rPr>
          <w:b w:val="0"/>
          <w:color w:val="auto"/>
          <w:sz w:val="22"/>
        </w:rPr>
      </w:pPr>
      <w:r>
        <w:rPr>
          <w:b w:val="0"/>
          <w:color w:val="auto"/>
          <w:sz w:val="22"/>
        </w:rPr>
        <w:t xml:space="preserve">Although a wide array of alcohol and drug treatment programs exists across the county, substance abuse treatment services for specialized needs are scant. For example, residential substance abuse treatment centers that allow parents to stay with their children when they are making progress towards recovery.  </w:t>
      </w:r>
    </w:p>
    <w:p w:rsidR="00D86A11" w:rsidRPr="00D13CB4" w:rsidRDefault="00121985" w:rsidP="00D86A11">
      <w:pPr>
        <w:pStyle w:val="Heading2"/>
        <w:rPr>
          <w:b w:val="0"/>
          <w:color w:val="2E7029"/>
          <w:sz w:val="22"/>
        </w:rPr>
      </w:pPr>
      <w:r w:rsidRPr="00121985">
        <w:rPr>
          <w:b w:val="0"/>
          <w:color w:val="2E7029"/>
          <w:sz w:val="22"/>
        </w:rPr>
        <w:t xml:space="preserve">Gaps in Peer Support Services </w:t>
      </w:r>
    </w:p>
    <w:p w:rsidR="00D86A11" w:rsidRDefault="00D86A11" w:rsidP="00D86A11">
      <w:pPr>
        <w:pStyle w:val="Heading3"/>
        <w:spacing w:line="276" w:lineRule="auto"/>
        <w:rPr>
          <w:b w:val="0"/>
          <w:color w:val="auto"/>
          <w:sz w:val="22"/>
        </w:rPr>
      </w:pPr>
      <w:r>
        <w:rPr>
          <w:b w:val="0"/>
          <w:color w:val="auto"/>
          <w:sz w:val="22"/>
        </w:rPr>
        <w:t xml:space="preserve">Greater access to and array of peer led/peer support services is needed akin to the existing Cultural Broker and Parent Partners programs. Other peer support models could include the creation of neutral (non-stigmatizing) service hub (i.e., no wrong door model) where families and community could access wide array of social and support services (parenting, child care, housing, transportation, employment and training, mental health, etc.). </w:t>
      </w:r>
    </w:p>
    <w:p w:rsidR="00D86A11" w:rsidRPr="00D13CB4" w:rsidRDefault="00D86A11" w:rsidP="00D86A11">
      <w:pPr>
        <w:pStyle w:val="Heading2"/>
        <w:rPr>
          <w:b w:val="0"/>
          <w:color w:val="2E7029"/>
          <w:sz w:val="22"/>
        </w:rPr>
      </w:pPr>
      <w:r w:rsidRPr="00D13CB4">
        <w:rPr>
          <w:b w:val="0"/>
          <w:color w:val="2E7029"/>
          <w:sz w:val="22"/>
        </w:rPr>
        <w:t xml:space="preserve">Gap in Bilingual/Culturally Responsive Services </w:t>
      </w:r>
    </w:p>
    <w:p w:rsidR="00D86A11" w:rsidRDefault="00D86A11" w:rsidP="00D86A11">
      <w:pPr>
        <w:pStyle w:val="Heading3"/>
        <w:spacing w:line="276" w:lineRule="auto"/>
        <w:rPr>
          <w:b w:val="0"/>
          <w:color w:val="auto"/>
          <w:sz w:val="22"/>
        </w:rPr>
      </w:pPr>
      <w:r>
        <w:rPr>
          <w:b w:val="0"/>
          <w:color w:val="auto"/>
          <w:sz w:val="22"/>
        </w:rPr>
        <w:t xml:space="preserve">The San Diego region is large and diverse and existing bilingual and culturally responsive services are not equally available and accessible across the region.  </w:t>
      </w:r>
    </w:p>
    <w:p w:rsidR="00D86A11" w:rsidRPr="00D13CB4" w:rsidRDefault="00D86A11" w:rsidP="00D86A11">
      <w:pPr>
        <w:pStyle w:val="Heading2"/>
        <w:rPr>
          <w:b w:val="0"/>
          <w:color w:val="2E7029"/>
          <w:sz w:val="22"/>
        </w:rPr>
      </w:pPr>
      <w:r>
        <w:rPr>
          <w:b w:val="0"/>
          <w:color w:val="2E7029"/>
          <w:sz w:val="22"/>
        </w:rPr>
        <w:t>Gaps in Family Finding Services</w:t>
      </w:r>
    </w:p>
    <w:p w:rsidR="00D86A11" w:rsidRDefault="00D86A11" w:rsidP="00D86A11">
      <w:pPr>
        <w:pStyle w:val="Heading3"/>
        <w:spacing w:line="276" w:lineRule="auto"/>
        <w:rPr>
          <w:b w:val="0"/>
          <w:color w:val="auto"/>
          <w:sz w:val="22"/>
        </w:rPr>
      </w:pPr>
      <w:r>
        <w:rPr>
          <w:b w:val="0"/>
          <w:color w:val="auto"/>
          <w:sz w:val="22"/>
        </w:rPr>
        <w:t>Participants noted the County’s efforts to involve families in placement decisions services such as TDMs. However, they noted more could be done to identify and engage family and support systems (especially paternal family members) throughout the life of the case and not simply during the initial removal. Independent of these findings, in the Spring of 2016 CWS awarded a contract through a competitive bid process to a local non-profit to implement a Family Finding program. Effective August 2016, the program will launch using a phased roll out implementation process. The program is expected to be fully implemented across the region by January 2017.</w:t>
      </w:r>
    </w:p>
    <w:p w:rsidR="00D86A11" w:rsidRDefault="00D86A11" w:rsidP="00D86A11">
      <w:pPr>
        <w:pStyle w:val="Heading2"/>
        <w:rPr>
          <w:rStyle w:val="Heading3Char"/>
          <w:b/>
          <w:color w:val="F6872B"/>
        </w:rPr>
      </w:pPr>
    </w:p>
    <w:p w:rsidR="00465501" w:rsidRDefault="00763E81">
      <w:pPr>
        <w:spacing w:after="0" w:line="240" w:lineRule="auto"/>
        <w:rPr>
          <w:rStyle w:val="Heading3Char"/>
          <w:color w:val="F6872B"/>
        </w:rPr>
      </w:pPr>
      <w:r>
        <w:rPr>
          <w:noProof/>
        </w:rPr>
        <mc:AlternateContent>
          <mc:Choice Requires="wps">
            <w:drawing>
              <wp:anchor distT="91440" distB="91440" distL="182880" distR="182880" simplePos="0" relativeHeight="251660288" behindDoc="1" locked="0" layoutInCell="0" allowOverlap="1">
                <wp:simplePos x="0" y="0"/>
                <wp:positionH relativeFrom="margin">
                  <wp:posOffset>-276225</wp:posOffset>
                </wp:positionH>
                <wp:positionV relativeFrom="margin">
                  <wp:posOffset>6893560</wp:posOffset>
                </wp:positionV>
                <wp:extent cx="6000750" cy="876300"/>
                <wp:effectExtent l="0" t="0" r="0" b="0"/>
                <wp:wrapSquare wrapText="bothSides"/>
                <wp:docPr id="25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876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a:solidFill>
                                <a:srgbClr val="90B5E3"/>
                              </a:solidFill>
                              <a:miter lim="800000"/>
                              <a:headEnd/>
                              <a:tailEnd/>
                            </a14:hiddenLine>
                          </a:ext>
                        </a:extLst>
                      </wps:spPr>
                      <wps:txbx>
                        <w:txbxContent>
                          <w:p w:rsidR="009103E6" w:rsidRPr="00465501" w:rsidRDefault="009103E6" w:rsidP="00D86A11">
                            <w:pPr>
                              <w:pBdr>
                                <w:top w:val="single" w:sz="4" w:space="2" w:color="A7BFDE"/>
                                <w:bottom w:val="single" w:sz="4" w:space="10" w:color="A7BFDE"/>
                              </w:pBdr>
                              <w:spacing w:after="0"/>
                              <w:jc w:val="center"/>
                              <w:rPr>
                                <w:b/>
                                <w:i/>
                                <w:iCs/>
                                <w:color w:val="2E7029"/>
                                <w:sz w:val="16"/>
                                <w:szCs w:val="28"/>
                              </w:rPr>
                            </w:pPr>
                          </w:p>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w:t>
                            </w:r>
                            <w:r w:rsidRPr="003707E5">
                              <w:rPr>
                                <w:b/>
                                <w:i/>
                                <w:iCs/>
                                <w:color w:val="2E7029"/>
                                <w:sz w:val="28"/>
                                <w:szCs w:val="28"/>
                              </w:rPr>
                              <w:t>Just like a go to place where you feel comfortable knowing that you can get the help</w:t>
                            </w:r>
                            <w:r>
                              <w:rPr>
                                <w:b/>
                                <w:i/>
                                <w:iCs/>
                                <w:color w:val="2E7029"/>
                                <w:sz w:val="28"/>
                                <w:szCs w:val="28"/>
                              </w:rPr>
                              <w:t>”</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sidRPr="004D2A28">
                              <w:rPr>
                                <w:b/>
                                <w:i/>
                                <w:iCs/>
                                <w:color w:val="F6872B"/>
                                <w:sz w:val="28"/>
                                <w:szCs w:val="28"/>
                              </w:rPr>
                              <w:t xml:space="preserve">- </w:t>
                            </w:r>
                            <w:r>
                              <w:rPr>
                                <w:b/>
                                <w:i/>
                                <w:iCs/>
                                <w:color w:val="F6872B"/>
                                <w:sz w:val="28"/>
                                <w:szCs w:val="28"/>
                              </w:rPr>
                              <w:t>Focus group participant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 o:spid="_x0000_s1074" style="position:absolute;margin-left:-21.75pt;margin-top:542.8pt;width:472.5pt;height:69pt;z-index:-251656192;visibility:visible;mso-wrap-style:square;mso-width-percent:0;mso-height-percent:0;mso-wrap-distance-left:14.4pt;mso-wrap-distance-top:7.2pt;mso-wrap-distance-right:14.4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" o:allowincell="f" filled="f" stroked="f" strokecolor="#90b5e3" strokeweight="6pt">
                <v:textbox inset="0,0,0,0">
                  <w:txbxContent>
                    <w:p w:rsidR="009103E6" w:rsidRPr="00465501" w:rsidRDefault="009103E6" w:rsidP="00D86A11">
                      <w:pPr>
                        <w:pBdr>
                          <w:top w:val="single" w:sz="4" w:space="2" w:color="A7BFDE"/>
                          <w:bottom w:val="single" w:sz="4" w:space="10" w:color="A7BFDE"/>
                        </w:pBdr>
                        <w:spacing w:after="0"/>
                        <w:jc w:val="center"/>
                        <w:rPr>
                          <w:b/>
                          <w:i/>
                          <w:iCs/>
                          <w:color w:val="2E7029"/>
                          <w:sz w:val="16"/>
                          <w:szCs w:val="28"/>
                        </w:rPr>
                      </w:pPr>
                    </w:p>
                    <w:p w:rsidR="009103E6" w:rsidRDefault="009103E6" w:rsidP="00D86A11">
                      <w:pPr>
                        <w:pBdr>
                          <w:top w:val="single" w:sz="4" w:space="2" w:color="A7BFDE"/>
                          <w:bottom w:val="single" w:sz="4" w:space="10" w:color="A7BFDE"/>
                        </w:pBdr>
                        <w:spacing w:after="0"/>
                        <w:jc w:val="center"/>
                        <w:rPr>
                          <w:b/>
                          <w:i/>
                          <w:iCs/>
                          <w:color w:val="2E7029"/>
                          <w:sz w:val="28"/>
                          <w:szCs w:val="28"/>
                        </w:rPr>
                      </w:pPr>
                      <w:r>
                        <w:rPr>
                          <w:b/>
                          <w:i/>
                          <w:iCs/>
                          <w:color w:val="2E7029"/>
                          <w:sz w:val="28"/>
                          <w:szCs w:val="28"/>
                        </w:rPr>
                        <w:t>“</w:t>
                      </w:r>
                      <w:r w:rsidRPr="003707E5">
                        <w:rPr>
                          <w:b/>
                          <w:i/>
                          <w:iCs/>
                          <w:color w:val="2E7029"/>
                          <w:sz w:val="28"/>
                          <w:szCs w:val="28"/>
                        </w:rPr>
                        <w:t>Just like a go to place where you feel comfortable knowing that you can get the help</w:t>
                      </w:r>
                      <w:r>
                        <w:rPr>
                          <w:b/>
                          <w:i/>
                          <w:iCs/>
                          <w:color w:val="2E7029"/>
                          <w:sz w:val="28"/>
                          <w:szCs w:val="28"/>
                        </w:rPr>
                        <w:t>”</w:t>
                      </w:r>
                    </w:p>
                    <w:p w:rsidR="009103E6" w:rsidRPr="00E22A7C" w:rsidRDefault="009103E6" w:rsidP="00D86A11">
                      <w:pPr>
                        <w:pBdr>
                          <w:top w:val="single" w:sz="4" w:space="2" w:color="A7BFDE"/>
                          <w:bottom w:val="single" w:sz="4" w:space="10" w:color="A7BFDE"/>
                        </w:pBdr>
                        <w:spacing w:after="0"/>
                        <w:jc w:val="center"/>
                        <w:rPr>
                          <w:b/>
                          <w:i/>
                          <w:iCs/>
                          <w:color w:val="2E7029"/>
                          <w:sz w:val="28"/>
                          <w:szCs w:val="28"/>
                        </w:rPr>
                      </w:pPr>
                      <w:r w:rsidRPr="004D2A28">
                        <w:rPr>
                          <w:b/>
                          <w:i/>
                          <w:iCs/>
                          <w:color w:val="F6872B"/>
                          <w:sz w:val="28"/>
                          <w:szCs w:val="28"/>
                        </w:rPr>
                        <w:t xml:space="preserve">- </w:t>
                      </w:r>
                      <w:r>
                        <w:rPr>
                          <w:b/>
                          <w:i/>
                          <w:iCs/>
                          <w:color w:val="F6872B"/>
                          <w:sz w:val="28"/>
                          <w:szCs w:val="28"/>
                        </w:rPr>
                        <w:t>Focus group participant</w:t>
                      </w:r>
                    </w:p>
                  </w:txbxContent>
                </v:textbox>
                <w10:wrap type="square" anchorx="margin" anchory="margin"/>
              </v:rect>
            </w:pict>
          </mc:Fallback>
        </mc:AlternateContent>
      </w:r>
      <w:r w:rsidR="00465501">
        <w:rPr>
          <w:rStyle w:val="Heading3Char"/>
          <w:b w:val="0"/>
          <w:color w:val="F6872B"/>
        </w:rPr>
        <w:br w:type="page"/>
      </w:r>
    </w:p>
    <w:p w:rsidR="00D86A11" w:rsidRDefault="00D86A11" w:rsidP="00D86A11">
      <w:pPr>
        <w:pStyle w:val="Heading2"/>
        <w:rPr>
          <w:rStyle w:val="Heading3Char"/>
          <w:b/>
          <w:color w:val="F6872B"/>
        </w:rPr>
      </w:pPr>
      <w:r w:rsidRPr="0019487E">
        <w:rPr>
          <w:rStyle w:val="Heading3Char"/>
          <w:b/>
          <w:color w:val="F6872B"/>
        </w:rPr>
        <w:lastRenderedPageBreak/>
        <w:t>Summary of Outcome Data Measures and relevant data trends</w:t>
      </w:r>
    </w:p>
    <w:p w:rsidR="00D86A11" w:rsidRDefault="00D86A11" w:rsidP="00D86A11">
      <w:pPr>
        <w:pStyle w:val="Heading3"/>
        <w:spacing w:line="276" w:lineRule="auto"/>
        <w:rPr>
          <w:b w:val="0"/>
          <w:color w:val="auto"/>
          <w:sz w:val="22"/>
        </w:rPr>
      </w:pPr>
      <w:r>
        <w:rPr>
          <w:b w:val="0"/>
          <w:color w:val="auto"/>
          <w:sz w:val="22"/>
        </w:rPr>
        <w:t>Exhibit 90 provides a summary of the County of San Diego performance on federal measures.</w:t>
      </w:r>
    </w:p>
    <w:tbl>
      <w:tblPr>
        <w:tblW w:w="9090" w:type="dxa"/>
        <w:tblInd w:w="18" w:type="dxa"/>
        <w:tblBorders>
          <w:top w:val="single" w:sz="8" w:space="0" w:color="4F81BD"/>
          <w:bottom w:val="single" w:sz="8" w:space="0" w:color="4F81BD"/>
        </w:tblBorders>
        <w:tblLayout w:type="fixed"/>
        <w:tblLook w:val="01E0" w:firstRow="1" w:lastRow="1" w:firstColumn="1" w:lastColumn="1" w:noHBand="0" w:noVBand="0"/>
      </w:tblPr>
      <w:tblGrid>
        <w:gridCol w:w="5940"/>
        <w:gridCol w:w="1260"/>
        <w:gridCol w:w="900"/>
        <w:gridCol w:w="990"/>
      </w:tblGrid>
      <w:tr w:rsidR="00D86A11" w:rsidRPr="009A4D3F">
        <w:trPr>
          <w:trHeight w:val="280"/>
          <w:tblHeader/>
        </w:trPr>
        <w:tc>
          <w:tcPr>
            <w:tcW w:w="9090" w:type="dxa"/>
            <w:gridSpan w:val="4"/>
            <w:tcBorders>
              <w:top w:val="single" w:sz="18" w:space="0" w:color="F6872B"/>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 w:val="24"/>
                <w:szCs w:val="22"/>
              </w:rPr>
              <w:t>Exhibit 90.  Summary of CWS Outcome Data  for County of San Diego</w:t>
            </w:r>
          </w:p>
        </w:tc>
      </w:tr>
      <w:tr w:rsidR="00D86A11" w:rsidRPr="009A4D3F">
        <w:trPr>
          <w:trHeight w:val="567"/>
          <w:tblHeader/>
        </w:trPr>
        <w:tc>
          <w:tcPr>
            <w:tcW w:w="5940" w:type="dxa"/>
            <w:tcBorders>
              <w:top w:val="nil"/>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p>
        </w:tc>
        <w:tc>
          <w:tcPr>
            <w:tcW w:w="1260" w:type="dxa"/>
            <w:tcBorders>
              <w:top w:val="nil"/>
              <w:left w:val="nil"/>
              <w:bottom w:val="nil"/>
              <w:right w:val="nil"/>
            </w:tcBorders>
            <w:shd w:val="clear" w:color="auto" w:fill="013161"/>
          </w:tcPr>
          <w:p w:rsidR="00D86A11"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Cs w:val="22"/>
              </w:rPr>
              <w:t>San Diego</w:t>
            </w:r>
          </w:p>
        </w:tc>
        <w:tc>
          <w:tcPr>
            <w:tcW w:w="900" w:type="dxa"/>
            <w:tcBorders>
              <w:top w:val="nil"/>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Cs w:val="22"/>
              </w:rPr>
              <w:t>Federal</w:t>
            </w:r>
          </w:p>
        </w:tc>
        <w:tc>
          <w:tcPr>
            <w:tcW w:w="990" w:type="dxa"/>
            <w:tcBorders>
              <w:top w:val="nil"/>
              <w:left w:val="nil"/>
              <w:bottom w:val="nil"/>
              <w:right w:val="nil"/>
            </w:tcBorders>
            <w:shd w:val="clear" w:color="auto" w:fill="013161"/>
          </w:tcPr>
          <w:p w:rsidR="00D86A11" w:rsidRPr="009A4D3F" w:rsidRDefault="00D86A11" w:rsidP="00D86A11">
            <w:pPr>
              <w:spacing w:after="0" w:line="240" w:lineRule="auto"/>
              <w:jc w:val="center"/>
              <w:rPr>
                <w:rFonts w:ascii="Calibri" w:eastAsia="Calibri" w:hAnsi="Calibri" w:cs="Arial"/>
                <w:b/>
                <w:bCs/>
                <w:color w:val="FFFFFF"/>
                <w:szCs w:val="22"/>
              </w:rPr>
            </w:pPr>
            <w:r>
              <w:rPr>
                <w:rFonts w:ascii="Calibri" w:eastAsia="Calibri" w:hAnsi="Calibri" w:cs="Arial"/>
                <w:b/>
                <w:bCs/>
                <w:color w:val="FFFFFF"/>
                <w:szCs w:val="22"/>
              </w:rPr>
              <w:t>State</w:t>
            </w:r>
          </w:p>
        </w:tc>
      </w:tr>
      <w:tr w:rsidR="00D86A11" w:rsidRPr="009A4D3F">
        <w:trPr>
          <w:trHeight w:val="254"/>
        </w:trPr>
        <w:tc>
          <w:tcPr>
            <w:tcW w:w="5940" w:type="dxa"/>
            <w:tcBorders>
              <w:top w:val="nil"/>
              <w:left w:val="nil"/>
              <w:bottom w:val="nil"/>
              <w:right w:val="nil"/>
            </w:tcBorders>
            <w:shd w:val="clear" w:color="auto" w:fill="D3DFEE"/>
            <w:vAlign w:val="center"/>
          </w:tcPr>
          <w:p w:rsidR="00D86A11" w:rsidRPr="008E2BFA" w:rsidRDefault="00D86A11" w:rsidP="00D86A11">
            <w:pPr>
              <w:pStyle w:val="NormalWeb"/>
              <w:spacing w:before="0" w:beforeAutospacing="0" w:after="0" w:afterAutospacing="0"/>
              <w:textAlignment w:val="center"/>
              <w:rPr>
                <w:rFonts w:ascii="Arial" w:hAnsi="Arial" w:cs="Arial"/>
                <w:b/>
                <w:bCs/>
                <w:color w:val="254061"/>
                <w:kern w:val="24"/>
                <w:sz w:val="18"/>
                <w:szCs w:val="18"/>
              </w:rPr>
            </w:pPr>
            <w:r w:rsidRPr="008E2BFA">
              <w:rPr>
                <w:rFonts w:ascii="Arial" w:hAnsi="Arial" w:cs="Arial"/>
                <w:b/>
                <w:bCs/>
                <w:color w:val="254061"/>
                <w:kern w:val="24"/>
                <w:sz w:val="18"/>
                <w:szCs w:val="18"/>
              </w:rPr>
              <w:t>S1: Maltreatment in Foster Care</w:t>
            </w:r>
          </w:p>
        </w:tc>
        <w:tc>
          <w:tcPr>
            <w:tcW w:w="1260" w:type="dxa"/>
            <w:tcBorders>
              <w:top w:val="nil"/>
              <w:left w:val="nil"/>
              <w:bottom w:val="nil"/>
              <w:right w:val="nil"/>
            </w:tcBorders>
            <w:shd w:val="clear" w:color="auto" w:fill="D3DFEE"/>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7.13</w:t>
            </w:r>
          </w:p>
        </w:tc>
        <w:tc>
          <w:tcPr>
            <w:tcW w:w="900" w:type="dxa"/>
            <w:tcBorders>
              <w:top w:val="nil"/>
              <w:left w:val="nil"/>
              <w:bottom w:val="nil"/>
              <w:right w:val="nil"/>
            </w:tcBorders>
            <w:shd w:val="clear" w:color="auto" w:fill="D3DFEE"/>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8.5</w:t>
            </w:r>
          </w:p>
        </w:tc>
        <w:tc>
          <w:tcPr>
            <w:tcW w:w="990" w:type="dxa"/>
            <w:tcBorders>
              <w:top w:val="nil"/>
              <w:left w:val="nil"/>
              <w:bottom w:val="nil"/>
              <w:right w:val="nil"/>
            </w:tcBorders>
            <w:shd w:val="clear" w:color="auto" w:fill="D3DFEE"/>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8.59</w:t>
            </w:r>
          </w:p>
        </w:tc>
      </w:tr>
      <w:tr w:rsidR="00D86A11" w:rsidRPr="009A4D3F">
        <w:trPr>
          <w:trHeight w:val="267"/>
        </w:trPr>
        <w:tc>
          <w:tcPr>
            <w:tcW w:w="5940" w:type="dxa"/>
            <w:tcBorders>
              <w:top w:val="nil"/>
              <w:bottom w:val="nil"/>
              <w:right w:val="nil"/>
            </w:tcBorders>
            <w:shd w:val="clear" w:color="auto" w:fill="auto"/>
            <w:vAlign w:val="center"/>
          </w:tcPr>
          <w:p w:rsidR="00D86A11" w:rsidRPr="008E2BFA" w:rsidRDefault="00D86A11" w:rsidP="00D86A11">
            <w:pPr>
              <w:pStyle w:val="NormalWeb"/>
              <w:spacing w:before="0" w:beforeAutospacing="0" w:after="0" w:afterAutospacing="0"/>
              <w:textAlignment w:val="center"/>
              <w:rPr>
                <w:rFonts w:ascii="Arial" w:hAnsi="Arial" w:cs="Arial"/>
                <w:b/>
                <w:bCs/>
                <w:color w:val="254061"/>
                <w:kern w:val="24"/>
                <w:sz w:val="18"/>
                <w:szCs w:val="18"/>
              </w:rPr>
            </w:pPr>
            <w:r w:rsidRPr="008E2BFA">
              <w:rPr>
                <w:rFonts w:ascii="Arial" w:hAnsi="Arial" w:cs="Arial"/>
                <w:b/>
                <w:bCs/>
                <w:color w:val="254061"/>
                <w:kern w:val="24"/>
                <w:sz w:val="18"/>
                <w:szCs w:val="18"/>
              </w:rPr>
              <w:t>S2: Recurrence of Maltreatment</w:t>
            </w:r>
          </w:p>
        </w:tc>
        <w:tc>
          <w:tcPr>
            <w:tcW w:w="1260" w:type="dxa"/>
            <w:tcBorders>
              <w:top w:val="nil"/>
              <w:bottom w:val="nil"/>
              <w:right w:val="nil"/>
            </w:tcBorders>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10.4</w:t>
            </w:r>
          </w:p>
        </w:tc>
        <w:tc>
          <w:tcPr>
            <w:tcW w:w="900" w:type="dxa"/>
            <w:tcBorders>
              <w:top w:val="nil"/>
              <w:left w:val="nil"/>
              <w:bottom w:val="nil"/>
              <w:right w:val="nil"/>
            </w:tcBorders>
            <w:shd w:val="clear" w:color="auto" w:fill="auto"/>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9.1%</w:t>
            </w:r>
          </w:p>
        </w:tc>
        <w:tc>
          <w:tcPr>
            <w:tcW w:w="990" w:type="dxa"/>
            <w:tcBorders>
              <w:top w:val="nil"/>
              <w:left w:val="nil"/>
              <w:bottom w:val="nil"/>
            </w:tcBorders>
            <w:shd w:val="clear" w:color="auto" w:fill="auto"/>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9.8%</w:t>
            </w:r>
          </w:p>
        </w:tc>
      </w:tr>
      <w:tr w:rsidR="00D86A11" w:rsidRPr="009A4D3F">
        <w:trPr>
          <w:trHeight w:val="63"/>
        </w:trPr>
        <w:tc>
          <w:tcPr>
            <w:tcW w:w="5940" w:type="dxa"/>
            <w:tcBorders>
              <w:top w:val="nil"/>
              <w:left w:val="nil"/>
              <w:bottom w:val="nil"/>
              <w:right w:val="nil"/>
            </w:tcBorders>
            <w:shd w:val="clear" w:color="auto" w:fill="D3DFEE"/>
            <w:vAlign w:val="center"/>
          </w:tcPr>
          <w:p w:rsidR="00D86A11" w:rsidRPr="008E2BFA" w:rsidRDefault="00D86A11" w:rsidP="00D86A11">
            <w:pPr>
              <w:pStyle w:val="NormalWeb"/>
              <w:spacing w:before="0" w:beforeAutospacing="0" w:after="0" w:afterAutospacing="0"/>
              <w:textAlignment w:val="center"/>
              <w:rPr>
                <w:rFonts w:ascii="Arial" w:hAnsi="Arial" w:cs="Arial"/>
                <w:b/>
                <w:bCs/>
                <w:color w:val="254061"/>
                <w:kern w:val="24"/>
                <w:sz w:val="18"/>
                <w:szCs w:val="18"/>
              </w:rPr>
            </w:pPr>
            <w:r>
              <w:rPr>
                <w:rFonts w:ascii="Arial" w:hAnsi="Arial" w:cs="Arial"/>
                <w:b/>
                <w:bCs/>
                <w:color w:val="254061"/>
                <w:kern w:val="24"/>
                <w:sz w:val="18"/>
                <w:szCs w:val="18"/>
              </w:rPr>
              <w:t>P1:Permanency in 12 Months</w:t>
            </w:r>
            <w:r w:rsidRPr="008E2BFA">
              <w:rPr>
                <w:rFonts w:ascii="Arial" w:hAnsi="Arial" w:cs="Arial"/>
                <w:b/>
                <w:bCs/>
                <w:color w:val="254061"/>
                <w:kern w:val="24"/>
                <w:sz w:val="18"/>
                <w:szCs w:val="18"/>
              </w:rPr>
              <w:t xml:space="preserve"> </w:t>
            </w:r>
            <w:r w:rsidRPr="00801023">
              <w:rPr>
                <w:rFonts w:ascii="Arial" w:hAnsi="Arial" w:cs="Arial"/>
                <w:b/>
                <w:bCs/>
                <w:color w:val="254061"/>
                <w:kern w:val="24"/>
                <w:sz w:val="18"/>
                <w:szCs w:val="18"/>
              </w:rPr>
              <w:t>Children Entering Out-of-Home Care</w:t>
            </w:r>
          </w:p>
        </w:tc>
        <w:tc>
          <w:tcPr>
            <w:tcW w:w="1260" w:type="dxa"/>
            <w:tcBorders>
              <w:top w:val="nil"/>
              <w:left w:val="nil"/>
              <w:bottom w:val="nil"/>
              <w:right w:val="nil"/>
            </w:tcBorders>
            <w:shd w:val="clear" w:color="auto" w:fill="D3DFEE"/>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37.9</w:t>
            </w:r>
          </w:p>
        </w:tc>
        <w:tc>
          <w:tcPr>
            <w:tcW w:w="900" w:type="dxa"/>
            <w:tcBorders>
              <w:top w:val="nil"/>
              <w:left w:val="nil"/>
              <w:bottom w:val="nil"/>
              <w:right w:val="nil"/>
            </w:tcBorders>
            <w:shd w:val="clear" w:color="auto" w:fill="D3DFEE"/>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40.5%</w:t>
            </w:r>
          </w:p>
        </w:tc>
        <w:tc>
          <w:tcPr>
            <w:tcW w:w="990" w:type="dxa"/>
            <w:tcBorders>
              <w:top w:val="nil"/>
              <w:left w:val="nil"/>
              <w:bottom w:val="nil"/>
              <w:right w:val="nil"/>
            </w:tcBorders>
            <w:shd w:val="clear" w:color="auto" w:fill="D3DFEE"/>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36.2%</w:t>
            </w:r>
          </w:p>
        </w:tc>
      </w:tr>
      <w:tr w:rsidR="00D86A11" w:rsidRPr="009A4D3F">
        <w:trPr>
          <w:trHeight w:val="288"/>
        </w:trPr>
        <w:tc>
          <w:tcPr>
            <w:tcW w:w="5940" w:type="dxa"/>
            <w:tcBorders>
              <w:top w:val="nil"/>
              <w:bottom w:val="nil"/>
              <w:right w:val="nil"/>
            </w:tcBorders>
            <w:shd w:val="clear" w:color="auto" w:fill="auto"/>
            <w:vAlign w:val="center"/>
          </w:tcPr>
          <w:p w:rsidR="00D86A11" w:rsidRPr="008E2BFA" w:rsidRDefault="00D86A11" w:rsidP="00D86A11">
            <w:pPr>
              <w:pStyle w:val="NormalWeb"/>
              <w:spacing w:before="0" w:beforeAutospacing="0" w:after="0" w:afterAutospacing="0"/>
              <w:textAlignment w:val="center"/>
              <w:rPr>
                <w:rFonts w:ascii="Arial" w:hAnsi="Arial" w:cs="Arial"/>
                <w:b/>
                <w:bCs/>
                <w:color w:val="254061"/>
                <w:kern w:val="24"/>
                <w:sz w:val="18"/>
                <w:szCs w:val="18"/>
              </w:rPr>
            </w:pPr>
            <w:r>
              <w:rPr>
                <w:rFonts w:ascii="Arial" w:hAnsi="Arial" w:cs="Arial"/>
                <w:b/>
                <w:bCs/>
                <w:color w:val="254061"/>
                <w:kern w:val="24"/>
                <w:sz w:val="18"/>
                <w:szCs w:val="18"/>
              </w:rPr>
              <w:t xml:space="preserve">P2: Permanency in 12 months for children in care  12-23 months </w:t>
            </w:r>
          </w:p>
        </w:tc>
        <w:tc>
          <w:tcPr>
            <w:tcW w:w="1260" w:type="dxa"/>
            <w:tcBorders>
              <w:top w:val="nil"/>
              <w:bottom w:val="nil"/>
              <w:right w:val="nil"/>
            </w:tcBorders>
            <w:vAlign w:val="center"/>
          </w:tcPr>
          <w:p w:rsidR="00D86A11" w:rsidRPr="00AA0D0D" w:rsidRDefault="00D86A11" w:rsidP="00D86A11">
            <w:pPr>
              <w:autoSpaceDE w:val="0"/>
              <w:autoSpaceDN w:val="0"/>
              <w:adjustRightInd w:val="0"/>
              <w:spacing w:after="0" w:line="240" w:lineRule="auto"/>
              <w:jc w:val="center"/>
              <w:rPr>
                <w:rFonts w:ascii="Calibri" w:hAnsi="Calibri" w:cs="Calibri"/>
                <w:color w:val="013161"/>
                <w:sz w:val="20"/>
              </w:rPr>
            </w:pPr>
            <w:r w:rsidRPr="00AA0D0D">
              <w:rPr>
                <w:rFonts w:ascii="Calibri" w:hAnsi="Calibri" w:cs="Calibri"/>
                <w:color w:val="013161"/>
                <w:sz w:val="20"/>
              </w:rPr>
              <w:t>39.1</w:t>
            </w:r>
          </w:p>
        </w:tc>
        <w:tc>
          <w:tcPr>
            <w:tcW w:w="900" w:type="dxa"/>
            <w:tcBorders>
              <w:top w:val="nil"/>
              <w:left w:val="nil"/>
              <w:bottom w:val="nil"/>
              <w:right w:val="nil"/>
            </w:tcBorders>
            <w:shd w:val="clear" w:color="auto" w:fill="auto"/>
            <w:vAlign w:val="center"/>
          </w:tcPr>
          <w:p w:rsidR="00D86A11" w:rsidRPr="00AA0D0D" w:rsidRDefault="00D86A11" w:rsidP="00D86A11">
            <w:pPr>
              <w:autoSpaceDE w:val="0"/>
              <w:autoSpaceDN w:val="0"/>
              <w:adjustRightInd w:val="0"/>
              <w:spacing w:after="0" w:line="240" w:lineRule="auto"/>
              <w:jc w:val="center"/>
              <w:rPr>
                <w:rFonts w:ascii="Calibri" w:hAnsi="Calibri" w:cs="Calibri"/>
                <w:color w:val="013161"/>
                <w:sz w:val="20"/>
              </w:rPr>
            </w:pPr>
            <w:r w:rsidRPr="00AA0D0D">
              <w:rPr>
                <w:rFonts w:ascii="Calibri" w:hAnsi="Calibri" w:cs="Calibri"/>
                <w:color w:val="013161"/>
                <w:sz w:val="20"/>
              </w:rPr>
              <w:t>43.6%</w:t>
            </w:r>
          </w:p>
        </w:tc>
        <w:tc>
          <w:tcPr>
            <w:tcW w:w="990" w:type="dxa"/>
            <w:tcBorders>
              <w:top w:val="nil"/>
              <w:left w:val="nil"/>
              <w:bottom w:val="nil"/>
            </w:tcBorders>
            <w:shd w:val="clear" w:color="auto" w:fill="auto"/>
            <w:vAlign w:val="center"/>
          </w:tcPr>
          <w:p w:rsidR="00D86A11" w:rsidRPr="00AA0D0D" w:rsidRDefault="00D86A11" w:rsidP="00D86A11">
            <w:pPr>
              <w:autoSpaceDE w:val="0"/>
              <w:autoSpaceDN w:val="0"/>
              <w:adjustRightInd w:val="0"/>
              <w:spacing w:after="0" w:line="240" w:lineRule="auto"/>
              <w:jc w:val="center"/>
              <w:rPr>
                <w:rFonts w:ascii="Calibri" w:hAnsi="Calibri" w:cs="Calibri"/>
                <w:color w:val="013161"/>
                <w:sz w:val="20"/>
              </w:rPr>
            </w:pPr>
            <w:r w:rsidRPr="00AA0D0D">
              <w:rPr>
                <w:rFonts w:ascii="Calibri" w:hAnsi="Calibri" w:cs="Calibri"/>
                <w:color w:val="013161"/>
                <w:sz w:val="20"/>
              </w:rPr>
              <w:t>45.1%</w:t>
            </w:r>
          </w:p>
        </w:tc>
      </w:tr>
      <w:tr w:rsidR="00D86A11" w:rsidRPr="009A4D3F">
        <w:trPr>
          <w:trHeight w:val="267"/>
        </w:trPr>
        <w:tc>
          <w:tcPr>
            <w:tcW w:w="5940" w:type="dxa"/>
            <w:tcBorders>
              <w:top w:val="nil"/>
              <w:left w:val="nil"/>
              <w:bottom w:val="nil"/>
              <w:right w:val="nil"/>
            </w:tcBorders>
            <w:shd w:val="clear" w:color="auto" w:fill="D3DFEE"/>
            <w:vAlign w:val="center"/>
          </w:tcPr>
          <w:p w:rsidR="00D86A11" w:rsidRPr="008E2BFA" w:rsidRDefault="00D86A11" w:rsidP="00D86A11">
            <w:pPr>
              <w:pStyle w:val="NormalWeb"/>
              <w:spacing w:before="0" w:beforeAutospacing="0" w:after="0" w:afterAutospacing="0"/>
              <w:textAlignment w:val="center"/>
              <w:rPr>
                <w:rFonts w:ascii="Arial" w:hAnsi="Arial" w:cs="Arial"/>
                <w:b/>
                <w:bCs/>
                <w:color w:val="254061"/>
                <w:kern w:val="24"/>
                <w:sz w:val="18"/>
                <w:szCs w:val="18"/>
              </w:rPr>
            </w:pPr>
            <w:r>
              <w:rPr>
                <w:rFonts w:ascii="Arial" w:hAnsi="Arial" w:cs="Arial"/>
                <w:b/>
                <w:bCs/>
                <w:color w:val="254061"/>
                <w:kern w:val="24"/>
                <w:sz w:val="18"/>
                <w:szCs w:val="18"/>
              </w:rPr>
              <w:t>P3: Permanency in 12 months for children in care 24+ months</w:t>
            </w:r>
          </w:p>
        </w:tc>
        <w:tc>
          <w:tcPr>
            <w:tcW w:w="1260" w:type="dxa"/>
            <w:tcBorders>
              <w:top w:val="nil"/>
              <w:left w:val="nil"/>
              <w:bottom w:val="nil"/>
              <w:right w:val="nil"/>
            </w:tcBorders>
            <w:shd w:val="clear" w:color="auto" w:fill="D3DFEE"/>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34.0</w:t>
            </w:r>
          </w:p>
        </w:tc>
        <w:tc>
          <w:tcPr>
            <w:tcW w:w="900" w:type="dxa"/>
            <w:tcBorders>
              <w:top w:val="nil"/>
              <w:left w:val="nil"/>
              <w:bottom w:val="nil"/>
              <w:right w:val="nil"/>
            </w:tcBorders>
            <w:shd w:val="clear" w:color="auto" w:fill="D3DFEE"/>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30.3%</w:t>
            </w:r>
          </w:p>
        </w:tc>
        <w:tc>
          <w:tcPr>
            <w:tcW w:w="990" w:type="dxa"/>
            <w:tcBorders>
              <w:top w:val="nil"/>
              <w:left w:val="nil"/>
              <w:bottom w:val="nil"/>
              <w:right w:val="nil"/>
            </w:tcBorders>
            <w:shd w:val="clear" w:color="auto" w:fill="D3DFEE"/>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28.1%</w:t>
            </w:r>
          </w:p>
        </w:tc>
      </w:tr>
      <w:tr w:rsidR="00D86A11" w:rsidRPr="009A4D3F">
        <w:trPr>
          <w:trHeight w:val="297"/>
        </w:trPr>
        <w:tc>
          <w:tcPr>
            <w:tcW w:w="5940" w:type="dxa"/>
            <w:tcBorders>
              <w:top w:val="nil"/>
              <w:bottom w:val="nil"/>
              <w:right w:val="nil"/>
            </w:tcBorders>
            <w:shd w:val="clear" w:color="auto" w:fill="auto"/>
            <w:vAlign w:val="center"/>
          </w:tcPr>
          <w:p w:rsidR="00D86A11" w:rsidRPr="008E2BFA" w:rsidRDefault="00D86A11" w:rsidP="00D86A11">
            <w:pPr>
              <w:pStyle w:val="NormalWeb"/>
              <w:spacing w:before="0" w:beforeAutospacing="0" w:after="0" w:afterAutospacing="0"/>
              <w:textAlignment w:val="center"/>
              <w:rPr>
                <w:rFonts w:ascii="Arial" w:hAnsi="Arial" w:cs="Arial"/>
                <w:b/>
                <w:bCs/>
                <w:color w:val="254061"/>
                <w:kern w:val="24"/>
                <w:sz w:val="18"/>
                <w:szCs w:val="18"/>
              </w:rPr>
            </w:pPr>
            <w:r>
              <w:rPr>
                <w:rFonts w:ascii="Arial" w:hAnsi="Arial" w:cs="Arial"/>
                <w:b/>
                <w:bCs/>
                <w:color w:val="254061"/>
                <w:kern w:val="24"/>
                <w:sz w:val="18"/>
                <w:szCs w:val="18"/>
              </w:rPr>
              <w:t>P4: Re-entry  to foster care within 12 months</w:t>
            </w:r>
          </w:p>
        </w:tc>
        <w:tc>
          <w:tcPr>
            <w:tcW w:w="1260" w:type="dxa"/>
            <w:tcBorders>
              <w:top w:val="nil"/>
              <w:bottom w:val="nil"/>
              <w:right w:val="nil"/>
            </w:tcBorders>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9.9</w:t>
            </w:r>
          </w:p>
        </w:tc>
        <w:tc>
          <w:tcPr>
            <w:tcW w:w="900" w:type="dxa"/>
            <w:tcBorders>
              <w:top w:val="nil"/>
              <w:left w:val="nil"/>
              <w:bottom w:val="nil"/>
              <w:right w:val="nil"/>
            </w:tcBorders>
            <w:shd w:val="clear" w:color="auto" w:fill="auto"/>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8.3%</w:t>
            </w:r>
          </w:p>
        </w:tc>
        <w:tc>
          <w:tcPr>
            <w:tcW w:w="990" w:type="dxa"/>
            <w:tcBorders>
              <w:top w:val="nil"/>
              <w:left w:val="nil"/>
              <w:bottom w:val="nil"/>
            </w:tcBorders>
            <w:shd w:val="clear" w:color="auto" w:fill="auto"/>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11.3%</w:t>
            </w:r>
          </w:p>
        </w:tc>
      </w:tr>
      <w:tr w:rsidR="00D86A11" w:rsidRPr="009A4D3F">
        <w:trPr>
          <w:trHeight w:val="267"/>
        </w:trPr>
        <w:tc>
          <w:tcPr>
            <w:tcW w:w="5940" w:type="dxa"/>
            <w:tcBorders>
              <w:top w:val="nil"/>
              <w:left w:val="nil"/>
              <w:bottom w:val="nil"/>
              <w:right w:val="nil"/>
            </w:tcBorders>
            <w:shd w:val="clear" w:color="auto" w:fill="DBE5F1"/>
            <w:vAlign w:val="center"/>
          </w:tcPr>
          <w:p w:rsidR="00D86A11" w:rsidRPr="008E2BFA" w:rsidRDefault="00D86A11" w:rsidP="00D86A11">
            <w:pPr>
              <w:pStyle w:val="NormalWeb"/>
              <w:spacing w:before="0" w:beforeAutospacing="0" w:after="0" w:afterAutospacing="0"/>
              <w:textAlignment w:val="center"/>
              <w:rPr>
                <w:rFonts w:ascii="Arial" w:hAnsi="Arial" w:cs="Arial"/>
                <w:b/>
                <w:bCs/>
                <w:color w:val="254061"/>
                <w:kern w:val="24"/>
                <w:sz w:val="18"/>
                <w:szCs w:val="18"/>
              </w:rPr>
            </w:pPr>
            <w:r>
              <w:rPr>
                <w:rFonts w:ascii="Arial" w:hAnsi="Arial" w:cs="Arial"/>
                <w:b/>
                <w:bCs/>
                <w:color w:val="254061"/>
                <w:kern w:val="24"/>
                <w:sz w:val="18"/>
                <w:szCs w:val="18"/>
              </w:rPr>
              <w:t>P5: Placement Stability</w:t>
            </w:r>
          </w:p>
        </w:tc>
        <w:tc>
          <w:tcPr>
            <w:tcW w:w="1260" w:type="dxa"/>
            <w:tcBorders>
              <w:top w:val="nil"/>
              <w:left w:val="nil"/>
              <w:bottom w:val="nil"/>
              <w:right w:val="nil"/>
            </w:tcBorders>
            <w:shd w:val="clear" w:color="auto" w:fill="DBE5F1"/>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4.66</w:t>
            </w:r>
          </w:p>
        </w:tc>
        <w:tc>
          <w:tcPr>
            <w:tcW w:w="900" w:type="dxa"/>
            <w:tcBorders>
              <w:top w:val="nil"/>
              <w:left w:val="nil"/>
              <w:bottom w:val="nil"/>
              <w:right w:val="nil"/>
            </w:tcBorders>
            <w:shd w:val="clear" w:color="auto" w:fill="DBE5F1"/>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4.12</w:t>
            </w:r>
          </w:p>
        </w:tc>
        <w:tc>
          <w:tcPr>
            <w:tcW w:w="990" w:type="dxa"/>
            <w:tcBorders>
              <w:top w:val="nil"/>
              <w:left w:val="nil"/>
              <w:bottom w:val="nil"/>
              <w:right w:val="nil"/>
            </w:tcBorders>
            <w:shd w:val="clear" w:color="auto" w:fill="DBE5F1"/>
            <w:vAlign w:val="center"/>
          </w:tcPr>
          <w:p w:rsidR="00D86A11" w:rsidRPr="008E2BFA" w:rsidRDefault="00D86A11" w:rsidP="00D86A11">
            <w:pPr>
              <w:autoSpaceDE w:val="0"/>
              <w:autoSpaceDN w:val="0"/>
              <w:adjustRightInd w:val="0"/>
              <w:spacing w:after="0" w:line="240" w:lineRule="auto"/>
              <w:jc w:val="center"/>
              <w:rPr>
                <w:rFonts w:ascii="Calibri" w:hAnsi="Calibri" w:cs="Calibri"/>
                <w:color w:val="013161"/>
                <w:sz w:val="20"/>
              </w:rPr>
            </w:pPr>
            <w:r w:rsidRPr="008E2BFA">
              <w:rPr>
                <w:rFonts w:ascii="Calibri" w:hAnsi="Calibri" w:cs="Calibri"/>
                <w:color w:val="013161"/>
                <w:sz w:val="20"/>
              </w:rPr>
              <w:t>3.93</w:t>
            </w:r>
          </w:p>
        </w:tc>
      </w:tr>
      <w:tr w:rsidR="00D86A11" w:rsidRPr="009A4D3F">
        <w:trPr>
          <w:trHeight w:val="267"/>
        </w:trPr>
        <w:tc>
          <w:tcPr>
            <w:tcW w:w="5940" w:type="dxa"/>
            <w:tcBorders>
              <w:top w:val="nil"/>
              <w:left w:val="nil"/>
              <w:bottom w:val="single" w:sz="18" w:space="0" w:color="F6872B"/>
              <w:right w:val="nil"/>
            </w:tcBorders>
            <w:shd w:val="clear" w:color="auto" w:fill="FFFFFF"/>
            <w:vAlign w:val="center"/>
          </w:tcPr>
          <w:p w:rsidR="00D86A11" w:rsidRPr="009A4D3F" w:rsidRDefault="00D86A11" w:rsidP="00D86A11">
            <w:pPr>
              <w:autoSpaceDE w:val="0"/>
              <w:autoSpaceDN w:val="0"/>
              <w:adjustRightInd w:val="0"/>
              <w:spacing w:after="0" w:line="240" w:lineRule="auto"/>
              <w:rPr>
                <w:rFonts w:ascii="Calibri" w:eastAsia="Calibri" w:hAnsi="Calibri" w:cs="Arial"/>
                <w:b/>
                <w:bCs/>
                <w:color w:val="013161"/>
                <w:sz w:val="20"/>
                <w:szCs w:val="22"/>
              </w:rPr>
            </w:pPr>
          </w:p>
        </w:tc>
        <w:tc>
          <w:tcPr>
            <w:tcW w:w="1260" w:type="dxa"/>
            <w:tcBorders>
              <w:top w:val="nil"/>
              <w:left w:val="nil"/>
              <w:bottom w:val="single" w:sz="18" w:space="0" w:color="F6872B"/>
              <w:right w:val="nil"/>
            </w:tcBorders>
            <w:shd w:val="clear" w:color="auto" w:fill="FFFFFF"/>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p>
        </w:tc>
        <w:tc>
          <w:tcPr>
            <w:tcW w:w="900" w:type="dxa"/>
            <w:tcBorders>
              <w:top w:val="nil"/>
              <w:left w:val="nil"/>
              <w:bottom w:val="single" w:sz="18" w:space="0" w:color="F6872B"/>
              <w:right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p>
        </w:tc>
        <w:tc>
          <w:tcPr>
            <w:tcW w:w="990" w:type="dxa"/>
            <w:tcBorders>
              <w:top w:val="nil"/>
              <w:left w:val="nil"/>
              <w:bottom w:val="single" w:sz="18" w:space="0" w:color="F6872B"/>
              <w:right w:val="nil"/>
            </w:tcBorders>
            <w:shd w:val="clear" w:color="auto" w:fill="FFFFFF"/>
            <w:vAlign w:val="center"/>
          </w:tcPr>
          <w:p w:rsidR="00D86A11" w:rsidRPr="009A4D3F" w:rsidRDefault="00D86A11" w:rsidP="00D86A11">
            <w:pPr>
              <w:autoSpaceDE w:val="0"/>
              <w:autoSpaceDN w:val="0"/>
              <w:adjustRightInd w:val="0"/>
              <w:spacing w:after="0" w:line="240" w:lineRule="auto"/>
              <w:jc w:val="center"/>
              <w:rPr>
                <w:rFonts w:ascii="Calibri" w:eastAsia="Calibri" w:hAnsi="Calibri" w:cs="Arial"/>
                <w:b/>
                <w:bCs/>
                <w:color w:val="013161"/>
                <w:sz w:val="20"/>
                <w:szCs w:val="22"/>
              </w:rPr>
            </w:pPr>
          </w:p>
        </w:tc>
      </w:tr>
    </w:tbl>
    <w:p w:rsidR="00D86A11" w:rsidRPr="006B3000" w:rsidRDefault="00D86A11" w:rsidP="00D86A11"/>
    <w:p w:rsidR="00D86A11" w:rsidRDefault="00D86A11" w:rsidP="00D86A11">
      <w:pPr>
        <w:pStyle w:val="Heading2"/>
        <w:rPr>
          <w:rStyle w:val="Heading3Char"/>
          <w:b/>
          <w:color w:val="F6872B"/>
        </w:rPr>
      </w:pPr>
      <w:r w:rsidRPr="0019487E">
        <w:rPr>
          <w:rStyle w:val="Heading3Char"/>
          <w:b/>
          <w:color w:val="F6872B"/>
        </w:rPr>
        <w:t>Summary of the effect of systemic factors on Outcome Data Measures and service delivery</w:t>
      </w:r>
    </w:p>
    <w:p w:rsidR="00D86A11" w:rsidRPr="00566416" w:rsidRDefault="00D86A11" w:rsidP="00D86A11">
      <w:pPr>
        <w:numPr>
          <w:ilvl w:val="0"/>
          <w:numId w:val="16"/>
        </w:numPr>
        <w:spacing w:before="120" w:after="0"/>
        <w:ind w:right="130"/>
        <w:rPr>
          <w:rFonts w:ascii="Franklin Gothic Book" w:hAnsi="Franklin Gothic Book"/>
          <w:spacing w:val="20"/>
          <w:szCs w:val="28"/>
        </w:rPr>
      </w:pPr>
      <w:r w:rsidRPr="00566416">
        <w:rPr>
          <w:rFonts w:ascii="Franklin Gothic Book" w:hAnsi="Franklin Gothic Book"/>
          <w:b/>
          <w:spacing w:val="20"/>
          <w:szCs w:val="28"/>
        </w:rPr>
        <w:t>Agency Collaboration</w:t>
      </w:r>
      <w:r>
        <w:rPr>
          <w:rFonts w:ascii="Franklin Gothic Book" w:hAnsi="Franklin Gothic Book"/>
          <w:spacing w:val="20"/>
          <w:szCs w:val="28"/>
        </w:rPr>
        <w:t xml:space="preserve">: </w:t>
      </w:r>
      <w:r w:rsidRPr="00566416">
        <w:rPr>
          <w:rFonts w:ascii="Franklin Gothic Book" w:hAnsi="Franklin Gothic Book"/>
          <w:spacing w:val="20"/>
          <w:szCs w:val="28"/>
        </w:rPr>
        <w:t>As noted earlier, the 201</w:t>
      </w:r>
      <w:r>
        <w:rPr>
          <w:rFonts w:ascii="Franklin Gothic Book" w:hAnsi="Franklin Gothic Book"/>
          <w:spacing w:val="20"/>
          <w:szCs w:val="28"/>
        </w:rPr>
        <w:t>2-2017</w:t>
      </w:r>
      <w:r w:rsidRPr="00566416">
        <w:rPr>
          <w:rFonts w:ascii="Franklin Gothic Book" w:hAnsi="Franklin Gothic Book"/>
          <w:spacing w:val="20"/>
          <w:szCs w:val="28"/>
        </w:rPr>
        <w:t xml:space="preserve"> SIP focused on Agency Collaboration as its systemic factor and improvements have been noted in this arena </w:t>
      </w:r>
      <w:r>
        <w:rPr>
          <w:rFonts w:ascii="Franklin Gothic Book" w:hAnsi="Franklin Gothic Book"/>
          <w:spacing w:val="20"/>
          <w:szCs w:val="28"/>
        </w:rPr>
        <w:t>i</w:t>
      </w:r>
      <w:r w:rsidRPr="00566416">
        <w:rPr>
          <w:rFonts w:ascii="Franklin Gothic Book" w:hAnsi="Franklin Gothic Book"/>
          <w:spacing w:val="20"/>
          <w:szCs w:val="28"/>
        </w:rPr>
        <w:t>n stakeholder</w:t>
      </w:r>
      <w:r>
        <w:rPr>
          <w:rFonts w:ascii="Franklin Gothic Book" w:hAnsi="Franklin Gothic Book"/>
          <w:spacing w:val="20"/>
          <w:szCs w:val="28"/>
        </w:rPr>
        <w:t xml:space="preserve"> and family</w:t>
      </w:r>
      <w:r w:rsidRPr="00566416">
        <w:rPr>
          <w:rFonts w:ascii="Franklin Gothic Book" w:hAnsi="Franklin Gothic Book"/>
          <w:spacing w:val="20"/>
          <w:szCs w:val="28"/>
        </w:rPr>
        <w:t xml:space="preserve"> experience. However, ongoing efforts are needed to su</w:t>
      </w:r>
      <w:r>
        <w:rPr>
          <w:rFonts w:ascii="Franklin Gothic Book" w:hAnsi="Franklin Gothic Book"/>
          <w:spacing w:val="20"/>
          <w:szCs w:val="28"/>
        </w:rPr>
        <w:t>stain and build on the work to date, including further engagement with other key sectors such as behavioral health and school systems.</w:t>
      </w:r>
      <w:r w:rsidRPr="00566416">
        <w:rPr>
          <w:rFonts w:ascii="Franklin Gothic Book" w:hAnsi="Franklin Gothic Book"/>
          <w:spacing w:val="20"/>
          <w:szCs w:val="28"/>
        </w:rPr>
        <w:t xml:space="preserve"> </w:t>
      </w:r>
      <w:r>
        <w:rPr>
          <w:rFonts w:ascii="Franklin Gothic Book" w:hAnsi="Franklin Gothic Book"/>
          <w:spacing w:val="20"/>
          <w:szCs w:val="28"/>
        </w:rPr>
        <w:t xml:space="preserve"> </w:t>
      </w:r>
      <w:r w:rsidRPr="00566416">
        <w:rPr>
          <w:rFonts w:ascii="Franklin Gothic Book" w:hAnsi="Franklin Gothic Book"/>
          <w:spacing w:val="20"/>
          <w:szCs w:val="28"/>
        </w:rPr>
        <w:t xml:space="preserve"> </w:t>
      </w:r>
    </w:p>
    <w:p w:rsidR="000B1863" w:rsidRDefault="00D86A11" w:rsidP="004B679A">
      <w:pPr>
        <w:pStyle w:val="ColorfulList-Accent11"/>
        <w:numPr>
          <w:ilvl w:val="0"/>
          <w:numId w:val="16"/>
        </w:numPr>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t>Foster and Adoptive Parent Licensing, Recruitment, and Retention</w:t>
      </w:r>
      <w:r w:rsidRPr="00912D70">
        <w:rPr>
          <w:rFonts w:ascii="Franklin Gothic Book" w:eastAsia="Perpetua" w:hAnsi="Franklin Gothic Book"/>
          <w:spacing w:val="20"/>
          <w:sz w:val="22"/>
          <w:szCs w:val="28"/>
        </w:rPr>
        <w:t xml:space="preserve">: </w:t>
      </w:r>
      <w:r>
        <w:rPr>
          <w:rFonts w:ascii="Franklin Gothic Book" w:eastAsia="Perpetua" w:hAnsi="Franklin Gothic Book"/>
          <w:spacing w:val="20"/>
          <w:sz w:val="22"/>
          <w:szCs w:val="28"/>
        </w:rPr>
        <w:t xml:space="preserve">As was mentioned in Section 12 Outcome Data Analysis, improvements in several </w:t>
      </w:r>
      <w:r w:rsidRPr="00122282">
        <w:rPr>
          <w:rFonts w:ascii="Franklin Gothic Book" w:eastAsia="Perpetua" w:hAnsi="Franklin Gothic Book"/>
          <w:spacing w:val="20"/>
          <w:sz w:val="22"/>
          <w:szCs w:val="28"/>
        </w:rPr>
        <w:t>outcome measure</w:t>
      </w:r>
      <w:r>
        <w:rPr>
          <w:rFonts w:ascii="Franklin Gothic Book" w:eastAsia="Perpetua" w:hAnsi="Franklin Gothic Book"/>
          <w:spacing w:val="20"/>
          <w:sz w:val="22"/>
          <w:szCs w:val="28"/>
        </w:rPr>
        <w:t xml:space="preserve">s (e.g., Permanency in 12 months) have </w:t>
      </w:r>
      <w:r w:rsidRPr="00122282">
        <w:rPr>
          <w:rFonts w:ascii="Franklin Gothic Book" w:eastAsia="Perpetua" w:hAnsi="Franklin Gothic Book"/>
          <w:spacing w:val="20"/>
          <w:sz w:val="22"/>
          <w:szCs w:val="28"/>
        </w:rPr>
        <w:t xml:space="preserve">likely been impacted by recent improvements in approval processes, support, and training for caregivers. </w:t>
      </w:r>
      <w:r>
        <w:rPr>
          <w:rFonts w:ascii="Franklin Gothic Book" w:eastAsia="Perpetua" w:hAnsi="Franklin Gothic Book"/>
          <w:spacing w:val="20"/>
          <w:sz w:val="22"/>
          <w:szCs w:val="28"/>
        </w:rPr>
        <w:t>Specifically, i</w:t>
      </w:r>
      <w:r w:rsidRPr="00122282">
        <w:rPr>
          <w:rFonts w:ascii="Franklin Gothic Book" w:eastAsia="Perpetua" w:hAnsi="Franklin Gothic Book"/>
          <w:spacing w:val="20"/>
          <w:sz w:val="22"/>
          <w:szCs w:val="28"/>
        </w:rPr>
        <w:t>n 2012, the County began implementing “Melding” to improve permanency and the quality of foster care by requiring new foster parents to receive the same training and complete the same home approval process as adoptive parents. CWS also</w:t>
      </w:r>
      <w:r>
        <w:rPr>
          <w:rFonts w:ascii="Franklin Gothic Book" w:eastAsia="Perpetua" w:hAnsi="Franklin Gothic Book"/>
          <w:spacing w:val="20"/>
          <w:sz w:val="22"/>
          <w:szCs w:val="28"/>
        </w:rPr>
        <w:t xml:space="preserve"> </w:t>
      </w:r>
      <w:r w:rsidR="00A56CE5">
        <w:rPr>
          <w:rFonts w:ascii="Franklin Gothic Book" w:eastAsia="Perpetua" w:hAnsi="Franklin Gothic Book"/>
          <w:spacing w:val="20"/>
          <w:sz w:val="22"/>
          <w:szCs w:val="28"/>
        </w:rPr>
        <w:t>initiated QPI</w:t>
      </w:r>
      <w:r>
        <w:rPr>
          <w:rFonts w:ascii="Franklin Gothic Book" w:eastAsia="Perpetua" w:hAnsi="Franklin Gothic Book"/>
          <w:spacing w:val="20"/>
          <w:sz w:val="22"/>
          <w:szCs w:val="28"/>
        </w:rPr>
        <w:t xml:space="preserve"> </w:t>
      </w:r>
      <w:r w:rsidR="00A56CE5">
        <w:rPr>
          <w:rFonts w:ascii="Franklin Gothic Book" w:eastAsia="Perpetua" w:hAnsi="Franklin Gothic Book"/>
          <w:spacing w:val="20"/>
          <w:sz w:val="22"/>
          <w:szCs w:val="28"/>
        </w:rPr>
        <w:t>and</w:t>
      </w:r>
      <w:r w:rsidRPr="00122282">
        <w:rPr>
          <w:rFonts w:ascii="Franklin Gothic Book" w:eastAsia="Perpetua" w:hAnsi="Franklin Gothic Book"/>
          <w:spacing w:val="20"/>
          <w:sz w:val="22"/>
          <w:szCs w:val="28"/>
        </w:rPr>
        <w:t xml:space="preserve"> increased Kinship Navigator services for relative caregivers and implemented iFoster, an online portal where caregivers can access services and discounts.  </w:t>
      </w:r>
    </w:p>
    <w:p w:rsidR="000B1863" w:rsidRDefault="00D86A11" w:rsidP="004B679A">
      <w:pPr>
        <w:pStyle w:val="ColorfulList-Accent11"/>
        <w:numPr>
          <w:ilvl w:val="0"/>
          <w:numId w:val="16"/>
        </w:numPr>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t>Management Information Systems</w:t>
      </w:r>
      <w:r w:rsidRPr="00912D70">
        <w:rPr>
          <w:rFonts w:ascii="Franklin Gothic Book" w:eastAsia="Perpetua" w:hAnsi="Franklin Gothic Book"/>
          <w:spacing w:val="20"/>
          <w:sz w:val="22"/>
          <w:szCs w:val="28"/>
        </w:rPr>
        <w:t xml:space="preserve">: </w:t>
      </w:r>
      <w:r>
        <w:rPr>
          <w:rFonts w:ascii="Franklin Gothic Book" w:eastAsia="Perpetua" w:hAnsi="Franklin Gothic Book"/>
          <w:spacing w:val="20"/>
          <w:sz w:val="22"/>
          <w:szCs w:val="28"/>
        </w:rPr>
        <w:t xml:space="preserve">The impact the existing system on outcome data measures is mixed. Regular training is provided to CWS and Probation staff to ensure appropriate use of existing information systems. On a regular basis, staff is collecting and entering data; thus data is available to inform practice. Ongoing challenges relate to data sharing confidentiality, ability to “link” data across systems and to duplication of data entry to inability to align existing data systems (specifically ETO) with data systems used by contracted providers. In addition, there is desire by providers to engage in data reviews (share data) in order to inform their practice (what’s working) and streamline services.  </w:t>
      </w:r>
    </w:p>
    <w:p w:rsidR="000B1863" w:rsidRDefault="00D86A11" w:rsidP="004B679A">
      <w:pPr>
        <w:pStyle w:val="ColorfulList-Accent11"/>
        <w:numPr>
          <w:ilvl w:val="0"/>
          <w:numId w:val="16"/>
        </w:numPr>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lastRenderedPageBreak/>
        <w:t>County Case Review</w:t>
      </w:r>
      <w:r>
        <w:rPr>
          <w:rFonts w:ascii="Franklin Gothic Book" w:eastAsia="Perpetua" w:hAnsi="Franklin Gothic Book"/>
          <w:b/>
          <w:spacing w:val="20"/>
          <w:sz w:val="22"/>
          <w:szCs w:val="28"/>
        </w:rPr>
        <w:t xml:space="preserve"> (CCR) </w:t>
      </w:r>
      <w:r w:rsidRPr="00912D70">
        <w:rPr>
          <w:rFonts w:ascii="Franklin Gothic Book" w:eastAsia="Perpetua" w:hAnsi="Franklin Gothic Book"/>
          <w:b/>
          <w:spacing w:val="20"/>
          <w:sz w:val="22"/>
          <w:szCs w:val="28"/>
        </w:rPr>
        <w:t xml:space="preserve">and Quality Assurance </w:t>
      </w:r>
      <w:r>
        <w:rPr>
          <w:rFonts w:ascii="Franklin Gothic Book" w:eastAsia="Perpetua" w:hAnsi="Franklin Gothic Book"/>
          <w:b/>
          <w:spacing w:val="20"/>
          <w:sz w:val="22"/>
          <w:szCs w:val="28"/>
        </w:rPr>
        <w:t xml:space="preserve">(QA) </w:t>
      </w:r>
      <w:r w:rsidRPr="00912D70">
        <w:rPr>
          <w:rFonts w:ascii="Franklin Gothic Book" w:eastAsia="Perpetua" w:hAnsi="Franklin Gothic Book"/>
          <w:b/>
          <w:spacing w:val="20"/>
          <w:sz w:val="22"/>
          <w:szCs w:val="28"/>
        </w:rPr>
        <w:t>System</w:t>
      </w:r>
      <w:r w:rsidRPr="00912D70">
        <w:rPr>
          <w:rFonts w:ascii="Franklin Gothic Book" w:eastAsia="Perpetua" w:hAnsi="Franklin Gothic Book"/>
          <w:spacing w:val="20"/>
          <w:sz w:val="22"/>
          <w:szCs w:val="28"/>
        </w:rPr>
        <w:t xml:space="preserve">: </w:t>
      </w:r>
      <w:r>
        <w:rPr>
          <w:rFonts w:ascii="Franklin Gothic Book" w:eastAsia="Perpetua" w:hAnsi="Franklin Gothic Book"/>
          <w:spacing w:val="20"/>
          <w:sz w:val="22"/>
          <w:szCs w:val="28"/>
        </w:rPr>
        <w:t xml:space="preserve">Ability to review cases to inform training, practice, as well as staff caseload offers a direct opportunity to provide more tailored services to families and thus improve outcomes. </w:t>
      </w:r>
    </w:p>
    <w:p w:rsidR="000B1863" w:rsidRDefault="00D86A11" w:rsidP="004B679A">
      <w:pPr>
        <w:pStyle w:val="ColorfulList-Accent11"/>
        <w:numPr>
          <w:ilvl w:val="0"/>
          <w:numId w:val="16"/>
        </w:numPr>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t>Service Array:</w:t>
      </w:r>
      <w:r w:rsidRPr="00912D70">
        <w:rPr>
          <w:rFonts w:ascii="Franklin Gothic Book" w:eastAsia="Perpetua" w:hAnsi="Franklin Gothic Book"/>
          <w:spacing w:val="20"/>
          <w:sz w:val="22"/>
          <w:szCs w:val="28"/>
        </w:rPr>
        <w:t xml:space="preserve"> </w:t>
      </w:r>
      <w:r w:rsidRPr="002F3FEB">
        <w:rPr>
          <w:rFonts w:ascii="Franklin Gothic Book" w:eastAsia="Perpetua" w:hAnsi="Franklin Gothic Book"/>
          <w:spacing w:val="20"/>
          <w:sz w:val="22"/>
          <w:szCs w:val="28"/>
        </w:rPr>
        <w:t xml:space="preserve">Successful outcomes are noted when there is readiness by family members to engage in services, the key issue facing the family is the protective issue (i.e., not complicated by mental health, substance abuse or other issues leading to poverty) a tailored case plan is developed, and early identification and referral of services are made. </w:t>
      </w:r>
    </w:p>
    <w:p w:rsidR="000B1863" w:rsidRDefault="00D86A11" w:rsidP="004B679A">
      <w:pPr>
        <w:pStyle w:val="ColorfulList-Accent11"/>
        <w:numPr>
          <w:ilvl w:val="0"/>
          <w:numId w:val="16"/>
        </w:numPr>
        <w:spacing w:line="276" w:lineRule="auto"/>
        <w:rPr>
          <w:rFonts w:ascii="Franklin Gothic Book" w:hAnsi="Franklin Gothic Book"/>
          <w:spacing w:val="20"/>
        </w:rPr>
      </w:pPr>
      <w:r w:rsidRPr="00912D70">
        <w:rPr>
          <w:rFonts w:ascii="Franklin Gothic Book" w:eastAsia="Perpetua" w:hAnsi="Franklin Gothic Book"/>
          <w:b/>
          <w:spacing w:val="20"/>
          <w:sz w:val="22"/>
          <w:szCs w:val="28"/>
        </w:rPr>
        <w:t>Staff, Caregiver, and Provider Training</w:t>
      </w:r>
      <w:r w:rsidRPr="00912D70">
        <w:rPr>
          <w:rFonts w:ascii="Franklin Gothic Book" w:eastAsia="Perpetua" w:hAnsi="Franklin Gothic Book"/>
          <w:spacing w:val="20"/>
          <w:sz w:val="22"/>
          <w:szCs w:val="28"/>
        </w:rPr>
        <w:t xml:space="preserve">: </w:t>
      </w:r>
      <w:r>
        <w:rPr>
          <w:rFonts w:ascii="Franklin Gothic Book" w:eastAsia="Perpetua" w:hAnsi="Franklin Gothic Book"/>
          <w:spacing w:val="20"/>
          <w:sz w:val="22"/>
          <w:szCs w:val="28"/>
        </w:rPr>
        <w:t>The e</w:t>
      </w:r>
      <w:r w:rsidRPr="00912D70">
        <w:rPr>
          <w:rFonts w:ascii="Franklin Gothic Book" w:eastAsia="Perpetua" w:hAnsi="Franklin Gothic Book"/>
          <w:spacing w:val="20"/>
          <w:sz w:val="22"/>
          <w:szCs w:val="28"/>
        </w:rPr>
        <w:t>xisting training</w:t>
      </w:r>
      <w:r>
        <w:rPr>
          <w:rFonts w:ascii="Franklin Gothic Book" w:eastAsia="Perpetua" w:hAnsi="Franklin Gothic Book"/>
          <w:spacing w:val="20"/>
          <w:sz w:val="22"/>
          <w:szCs w:val="28"/>
        </w:rPr>
        <w:t xml:space="preserve"> provided to staff (SOP), caregivers (RFA), and providers (SOP)</w:t>
      </w:r>
      <w:r w:rsidRPr="00912D70">
        <w:rPr>
          <w:rFonts w:ascii="Franklin Gothic Book" w:eastAsia="Perpetua" w:hAnsi="Franklin Gothic Book"/>
          <w:spacing w:val="20"/>
          <w:sz w:val="22"/>
          <w:szCs w:val="28"/>
        </w:rPr>
        <w:t>, coordination and cross training were identified as working well</w:t>
      </w:r>
      <w:r>
        <w:rPr>
          <w:rFonts w:ascii="Franklin Gothic Book" w:eastAsia="Perpetua" w:hAnsi="Franklin Gothic Book"/>
          <w:spacing w:val="20"/>
          <w:sz w:val="22"/>
          <w:szCs w:val="28"/>
        </w:rPr>
        <w:t xml:space="preserve"> and likely improved outcomes due to alignment in service delivery and practice (e.g., utilization of SOP, MDTs, and TDMs)</w:t>
      </w:r>
      <w:r w:rsidRPr="00912D70">
        <w:rPr>
          <w:rFonts w:ascii="Franklin Gothic Book" w:eastAsia="Perpetua" w:hAnsi="Franklin Gothic Book"/>
          <w:spacing w:val="20"/>
          <w:sz w:val="22"/>
          <w:szCs w:val="28"/>
        </w:rPr>
        <w:t xml:space="preserve">. </w:t>
      </w:r>
      <w:r>
        <w:rPr>
          <w:rFonts w:ascii="Franklin Gothic Book" w:eastAsia="Perpetua" w:hAnsi="Franklin Gothic Book"/>
          <w:spacing w:val="20"/>
          <w:sz w:val="22"/>
          <w:szCs w:val="28"/>
        </w:rPr>
        <w:t xml:space="preserve"> </w:t>
      </w:r>
    </w:p>
    <w:p w:rsidR="00D86A11" w:rsidRPr="0019487E" w:rsidRDefault="00D86A11" w:rsidP="00D86A11"/>
    <w:p w:rsidR="00D86A11" w:rsidRDefault="00D86A11" w:rsidP="00D86A11">
      <w:pPr>
        <w:pStyle w:val="Heading2"/>
        <w:rPr>
          <w:rStyle w:val="Heading3Char"/>
          <w:b/>
          <w:color w:val="F6872B"/>
        </w:rPr>
      </w:pPr>
      <w:r w:rsidRPr="0019487E">
        <w:rPr>
          <w:rStyle w:val="Heading3Char"/>
          <w:b/>
          <w:color w:val="F6872B"/>
        </w:rPr>
        <w:t>Summary of progress, challenges and lessons learned from the previous SIP</w:t>
      </w:r>
    </w:p>
    <w:p w:rsidR="00D86A11" w:rsidRDefault="00D86A11" w:rsidP="00D86A11">
      <w:pPr>
        <w:pStyle w:val="Heading3"/>
        <w:spacing w:line="276" w:lineRule="auto"/>
        <w:rPr>
          <w:b w:val="0"/>
          <w:color w:val="auto"/>
          <w:sz w:val="22"/>
        </w:rPr>
      </w:pPr>
      <w:r>
        <w:rPr>
          <w:b w:val="0"/>
          <w:color w:val="auto"/>
          <w:sz w:val="22"/>
        </w:rPr>
        <w:t xml:space="preserve">The 2012-2017 SIP focused on three areas with </w:t>
      </w:r>
    </w:p>
    <w:p w:rsidR="00D86A11" w:rsidRPr="0042222C" w:rsidRDefault="00D86A11" w:rsidP="00D86A11">
      <w:pPr>
        <w:numPr>
          <w:ilvl w:val="0"/>
          <w:numId w:val="16"/>
        </w:numPr>
        <w:spacing w:before="120" w:after="0"/>
        <w:ind w:right="130"/>
        <w:rPr>
          <w:rFonts w:ascii="Franklin Gothic Book" w:hAnsi="Franklin Gothic Book"/>
          <w:spacing w:val="20"/>
          <w:szCs w:val="28"/>
        </w:rPr>
      </w:pPr>
      <w:r>
        <w:rPr>
          <w:rFonts w:ascii="Franklin Gothic Book" w:hAnsi="Franklin Gothic Book"/>
          <w:spacing w:val="20"/>
          <w:szCs w:val="28"/>
        </w:rPr>
        <w:t xml:space="preserve">CWS, </w:t>
      </w:r>
      <w:r w:rsidRPr="0042222C">
        <w:rPr>
          <w:rFonts w:ascii="Franklin Gothic Book" w:hAnsi="Franklin Gothic Book"/>
          <w:spacing w:val="20"/>
          <w:szCs w:val="28"/>
        </w:rPr>
        <w:t>Placement Stability (less than 3 placements in first 12-months)</w:t>
      </w:r>
      <w:r>
        <w:rPr>
          <w:rFonts w:ascii="Franklin Gothic Book" w:hAnsi="Franklin Gothic Book"/>
          <w:spacing w:val="20"/>
          <w:szCs w:val="28"/>
        </w:rPr>
        <w:t xml:space="preserve">:The County’s performance based on the most current report to the state is at 84.4%, exceeding the 2010 baseline of 80.8% and SIP goal of 83%. Contributing factors to this improvement include the QPI initiative which aims to strengthen relationships with caregivers as well as the implementation of Pathways to Well-being which aims to improve child assessment in order to better match needs with timely services. </w:t>
      </w:r>
    </w:p>
    <w:p w:rsidR="00D86A11" w:rsidRPr="0042222C" w:rsidRDefault="00D86A11" w:rsidP="00D86A11">
      <w:pPr>
        <w:numPr>
          <w:ilvl w:val="0"/>
          <w:numId w:val="16"/>
        </w:numPr>
        <w:spacing w:before="120" w:after="0"/>
        <w:ind w:right="130"/>
        <w:rPr>
          <w:rFonts w:ascii="Franklin Gothic Book" w:hAnsi="Franklin Gothic Book"/>
          <w:spacing w:val="20"/>
          <w:szCs w:val="28"/>
        </w:rPr>
      </w:pPr>
      <w:r>
        <w:rPr>
          <w:rFonts w:ascii="Franklin Gothic Book" w:hAnsi="Franklin Gothic Book"/>
          <w:spacing w:val="20"/>
          <w:szCs w:val="28"/>
        </w:rPr>
        <w:t xml:space="preserve">CWS, </w:t>
      </w:r>
      <w:r w:rsidRPr="0042222C">
        <w:rPr>
          <w:rFonts w:ascii="Franklin Gothic Book" w:hAnsi="Franklin Gothic Book"/>
          <w:spacing w:val="20"/>
          <w:szCs w:val="28"/>
        </w:rPr>
        <w:t>Reunification within 12-months</w:t>
      </w:r>
      <w:r>
        <w:rPr>
          <w:rFonts w:ascii="Franklin Gothic Book" w:hAnsi="Franklin Gothic Book"/>
          <w:spacing w:val="20"/>
          <w:szCs w:val="28"/>
        </w:rPr>
        <w:t xml:space="preserve">: The County’s performance based on the most current report to the state is at 40.6%, performing below the 2010 baseline of 43.6% and SIP goal of 47%. Challenging factors include the complexity of familial and sociocultural factors faced by families currently served by CWS. During the past five years, various strategies have been used (e.g., kinship services, streamlined templates for recording key case plan data across the life of the case) to improve this outcome area and we have seen fluctuations of improvement. More recently, CWS has deepened the utilization of SOP through increase coaching for staff as well as </w:t>
      </w:r>
      <w:r w:rsidRPr="00E90A24">
        <w:rPr>
          <w:rFonts w:ascii="Franklin Gothic Book" w:hAnsi="Franklin Gothic Book"/>
          <w:spacing w:val="20"/>
          <w:szCs w:val="28"/>
        </w:rPr>
        <w:t xml:space="preserve">implemented strategies </w:t>
      </w:r>
      <w:r>
        <w:rPr>
          <w:rFonts w:ascii="Franklin Gothic Book" w:hAnsi="Franklin Gothic Book"/>
          <w:spacing w:val="20"/>
          <w:szCs w:val="28"/>
        </w:rPr>
        <w:t xml:space="preserve">identified via the Lean Six Sigma project to impact reunification (e.g., colocation of placement and family finding staff). </w:t>
      </w:r>
    </w:p>
    <w:p w:rsidR="00D86A11" w:rsidRDefault="00D86A11" w:rsidP="00D86A11">
      <w:pPr>
        <w:numPr>
          <w:ilvl w:val="0"/>
          <w:numId w:val="16"/>
        </w:numPr>
        <w:spacing w:before="120" w:after="0"/>
        <w:ind w:right="130"/>
        <w:rPr>
          <w:rFonts w:ascii="Franklin Gothic Book" w:hAnsi="Franklin Gothic Book"/>
          <w:spacing w:val="20"/>
          <w:szCs w:val="28"/>
        </w:rPr>
      </w:pPr>
      <w:r>
        <w:rPr>
          <w:rFonts w:ascii="Franklin Gothic Book" w:hAnsi="Franklin Gothic Book"/>
          <w:spacing w:val="20"/>
          <w:szCs w:val="28"/>
        </w:rPr>
        <w:t xml:space="preserve">Probation, Relative Placement (Point in Time): The County’s performance based on the most current report to the state is at 16%, performing above the 2010 baseline of 12.5% and below the SIP goal of 30%. Throughout this five year period, Probation has seen wide fluctuation in this outcome (range of 11.4% to 31.4%). Within the past two years, a positive trend has been observed. Contributing factors to this fluctuating trend include youth profiles served by Probation who often present with high risk and high needs. During the past five years, various strategies have been used </w:t>
      </w:r>
      <w:r>
        <w:rPr>
          <w:rFonts w:ascii="Franklin Gothic Book" w:hAnsi="Franklin Gothic Book"/>
          <w:spacing w:val="20"/>
          <w:szCs w:val="28"/>
        </w:rPr>
        <w:lastRenderedPageBreak/>
        <w:t xml:space="preserve">(Breaking Cycles, wraparound, case management, and addition of placement staffing) to improve this outcome area and we have seen fluctuations of improvement. More recently, Probation has improved its use of the CWS/CMS system which may also be contributing to the current trend. </w:t>
      </w:r>
    </w:p>
    <w:p w:rsidR="00D86A11" w:rsidRDefault="00D86A11" w:rsidP="00D86A11">
      <w:pPr>
        <w:numPr>
          <w:ilvl w:val="0"/>
          <w:numId w:val="16"/>
        </w:numPr>
        <w:spacing w:before="120" w:after="0"/>
        <w:ind w:right="130"/>
        <w:rPr>
          <w:rFonts w:ascii="Franklin Gothic Book" w:hAnsi="Franklin Gothic Book"/>
          <w:spacing w:val="20"/>
          <w:szCs w:val="28"/>
        </w:rPr>
      </w:pPr>
      <w:r w:rsidRPr="0042222C">
        <w:rPr>
          <w:rFonts w:ascii="Franklin Gothic Book" w:hAnsi="Franklin Gothic Book"/>
          <w:spacing w:val="20"/>
          <w:szCs w:val="28"/>
        </w:rPr>
        <w:t>Agency Collaboration</w:t>
      </w:r>
      <w:r>
        <w:rPr>
          <w:rFonts w:ascii="Franklin Gothic Book" w:hAnsi="Franklin Gothic Book"/>
          <w:spacing w:val="20"/>
          <w:szCs w:val="28"/>
        </w:rPr>
        <w:t>: Improvements in Agency Collaboration were addressed via four strategies which were implemented and as appropriate completed:</w:t>
      </w:r>
    </w:p>
    <w:p w:rsidR="00D86A11" w:rsidRDefault="00D86A11" w:rsidP="00D86A11">
      <w:pPr>
        <w:numPr>
          <w:ilvl w:val="1"/>
          <w:numId w:val="16"/>
        </w:numPr>
        <w:spacing w:before="120" w:after="0"/>
        <w:ind w:right="130"/>
        <w:rPr>
          <w:rFonts w:ascii="Franklin Gothic Book" w:hAnsi="Franklin Gothic Book"/>
          <w:spacing w:val="20"/>
          <w:szCs w:val="28"/>
        </w:rPr>
      </w:pPr>
      <w:r>
        <w:rPr>
          <w:rFonts w:ascii="Franklin Gothic Book" w:hAnsi="Franklin Gothic Book"/>
          <w:spacing w:val="20"/>
          <w:szCs w:val="28"/>
        </w:rPr>
        <w:t>Strengthen communication and coordination with community partners by reviewing confidentiality  to improve information sharing and appropriate disclosures</w:t>
      </w:r>
    </w:p>
    <w:p w:rsidR="00D86A11" w:rsidRDefault="00D86A11" w:rsidP="00D86A11">
      <w:pPr>
        <w:numPr>
          <w:ilvl w:val="1"/>
          <w:numId w:val="16"/>
        </w:numPr>
        <w:spacing w:before="120" w:after="0"/>
        <w:ind w:right="130"/>
        <w:rPr>
          <w:rFonts w:ascii="Franklin Gothic Book" w:hAnsi="Franklin Gothic Book"/>
          <w:spacing w:val="20"/>
          <w:szCs w:val="28"/>
        </w:rPr>
      </w:pPr>
      <w:r>
        <w:rPr>
          <w:rFonts w:ascii="Franklin Gothic Book" w:hAnsi="Franklin Gothic Book"/>
          <w:spacing w:val="20"/>
          <w:szCs w:val="28"/>
        </w:rPr>
        <w:t>Strengthen communication and coordination with community partners by exploring co-location of County and community service providers</w:t>
      </w:r>
    </w:p>
    <w:p w:rsidR="00D86A11" w:rsidRDefault="00D86A11" w:rsidP="00D86A11">
      <w:pPr>
        <w:numPr>
          <w:ilvl w:val="1"/>
          <w:numId w:val="16"/>
        </w:numPr>
        <w:spacing w:before="120" w:after="0"/>
        <w:ind w:right="130"/>
        <w:rPr>
          <w:rFonts w:ascii="Franklin Gothic Book" w:hAnsi="Franklin Gothic Book"/>
          <w:spacing w:val="20"/>
          <w:szCs w:val="28"/>
        </w:rPr>
      </w:pPr>
      <w:r w:rsidRPr="00162F3E">
        <w:rPr>
          <w:rFonts w:ascii="Franklin Gothic Book" w:hAnsi="Franklin Gothic Book"/>
          <w:spacing w:val="20"/>
          <w:szCs w:val="28"/>
        </w:rPr>
        <w:t>Develop a shared definition of child abuse prevention and intervention through community engagement and dialogue to  support community child abuse/ neglect prevention framework</w:t>
      </w:r>
    </w:p>
    <w:p w:rsidR="00D86A11" w:rsidRPr="0042222C" w:rsidRDefault="00D86A11" w:rsidP="00D86A11">
      <w:pPr>
        <w:numPr>
          <w:ilvl w:val="1"/>
          <w:numId w:val="16"/>
        </w:numPr>
        <w:spacing w:before="120" w:after="0"/>
        <w:ind w:right="130"/>
        <w:rPr>
          <w:rFonts w:ascii="Franklin Gothic Book" w:hAnsi="Franklin Gothic Book"/>
          <w:spacing w:val="20"/>
          <w:szCs w:val="28"/>
        </w:rPr>
      </w:pPr>
      <w:r w:rsidRPr="00162F3E">
        <w:rPr>
          <w:rFonts w:ascii="Franklin Gothic Book" w:hAnsi="Franklin Gothic Book"/>
          <w:spacing w:val="20"/>
          <w:szCs w:val="28"/>
        </w:rPr>
        <w:t>Develop a shared definition of child abuse prevention and intervention through community engagement and dialogue  to understand and support alternative response</w:t>
      </w:r>
    </w:p>
    <w:p w:rsidR="00D86A11" w:rsidRPr="0019487E" w:rsidRDefault="00D86A11" w:rsidP="00D86A11"/>
    <w:p w:rsidR="00D86A11" w:rsidRPr="0019487E" w:rsidRDefault="00D86A11" w:rsidP="00D86A11">
      <w:pPr>
        <w:pStyle w:val="Heading2"/>
        <w:rPr>
          <w:rStyle w:val="Heading3Char"/>
          <w:b/>
          <w:color w:val="F6872B"/>
        </w:rPr>
      </w:pPr>
      <w:r w:rsidRPr="0019487E">
        <w:rPr>
          <w:rStyle w:val="Heading3Char"/>
          <w:b/>
          <w:color w:val="F6872B"/>
        </w:rPr>
        <w:t>Briefly describe the initial strategies and/or next steps the county will take in the C-CFSR cycle as they move toward development of the SIP</w:t>
      </w:r>
    </w:p>
    <w:p w:rsidR="00D86A11" w:rsidRPr="002114C9" w:rsidRDefault="00D86A11" w:rsidP="00D86A11">
      <w:pPr>
        <w:pStyle w:val="Heading3"/>
        <w:spacing w:line="276" w:lineRule="auto"/>
        <w:rPr>
          <w:b w:val="0"/>
          <w:color w:val="auto"/>
          <w:sz w:val="22"/>
        </w:rPr>
      </w:pPr>
      <w:r w:rsidRPr="002114C9">
        <w:rPr>
          <w:b w:val="0"/>
          <w:color w:val="auto"/>
          <w:sz w:val="22"/>
        </w:rPr>
        <w:t>The County has scheduled a series of stakeholder meetings organized by internal (CWS and Probation staff) and external (other providers working with these populations) stakeholders to review, refine, and identify key strategies to address re</w:t>
      </w:r>
      <w:r>
        <w:rPr>
          <w:b w:val="0"/>
          <w:color w:val="auto"/>
          <w:sz w:val="22"/>
        </w:rPr>
        <w:t>-e</w:t>
      </w:r>
      <w:r w:rsidRPr="002114C9">
        <w:rPr>
          <w:b w:val="0"/>
          <w:color w:val="auto"/>
          <w:sz w:val="22"/>
        </w:rPr>
        <w:t>ntry</w:t>
      </w:r>
      <w:r>
        <w:rPr>
          <w:b w:val="0"/>
          <w:color w:val="auto"/>
          <w:sz w:val="22"/>
        </w:rPr>
        <w:t xml:space="preserve"> and permanency. </w:t>
      </w:r>
      <w:r w:rsidRPr="002114C9">
        <w:rPr>
          <w:b w:val="0"/>
          <w:color w:val="auto"/>
          <w:sz w:val="22"/>
        </w:rPr>
        <w:t xml:space="preserve">Strategies gathered during these meetings will be used to inform the development of the SIP charts. </w:t>
      </w:r>
    </w:p>
    <w:p w:rsidR="00D86A11" w:rsidRDefault="00D86A11" w:rsidP="00D86A11"/>
    <w:p w:rsidR="00D86A11" w:rsidRPr="00982FEB" w:rsidRDefault="00D86A11" w:rsidP="00D86A11"/>
    <w:p w:rsidR="00D86A11" w:rsidRDefault="00D86A11" w:rsidP="00D86A11">
      <w:pPr>
        <w:spacing w:after="200"/>
        <w:rPr>
          <w:sz w:val="2"/>
        </w:rPr>
      </w:pPr>
      <w:r>
        <w:rPr>
          <w:rFonts w:ascii="Calibri" w:hAnsi="Calibri"/>
        </w:rPr>
        <w:br w:type="page"/>
      </w:r>
    </w:p>
    <w:tbl>
      <w:tblPr>
        <w:tblW w:w="9529" w:type="dxa"/>
        <w:jc w:val="center"/>
        <w:tblCellMar>
          <w:top w:w="144" w:type="dxa"/>
          <w:left w:w="0" w:type="dxa"/>
          <w:bottom w:w="144" w:type="dxa"/>
          <w:right w:w="0" w:type="dxa"/>
        </w:tblCellMar>
        <w:tblLook w:val="04A0" w:firstRow="1" w:lastRow="0" w:firstColumn="1" w:lastColumn="0" w:noHBand="0" w:noVBand="1"/>
      </w:tblPr>
      <w:tblGrid>
        <w:gridCol w:w="9529"/>
      </w:tblGrid>
      <w:tr w:rsidR="00D86A11">
        <w:trPr>
          <w:trHeight w:val="7"/>
          <w:jc w:val="center"/>
        </w:trPr>
        <w:tc>
          <w:tcPr>
            <w:tcW w:w="0" w:type="auto"/>
            <w:shd w:val="clear" w:color="auto" w:fill="F6872B"/>
            <w:tcMar>
              <w:top w:w="0" w:type="dxa"/>
              <w:left w:w="0" w:type="dxa"/>
              <w:bottom w:w="0" w:type="dxa"/>
              <w:right w:w="0" w:type="dxa"/>
            </w:tcMar>
            <w:vAlign w:val="center"/>
          </w:tcPr>
          <w:p w:rsidR="000B1863" w:rsidRDefault="00D86A11" w:rsidP="004B679A">
            <w:pPr>
              <w:pStyle w:val="MediumGrid21"/>
              <w:rPr>
                <w:sz w:val="8"/>
                <w:szCs w:val="8"/>
              </w:rPr>
            </w:pPr>
            <w:r>
              <w:lastRenderedPageBreak/>
              <w:br w:type="page"/>
            </w:r>
          </w:p>
        </w:tc>
      </w:tr>
      <w:tr w:rsidR="00D86A11">
        <w:trPr>
          <w:trHeight w:val="70"/>
          <w:jc w:val="center"/>
        </w:trPr>
        <w:tc>
          <w:tcPr>
            <w:tcW w:w="0" w:type="auto"/>
            <w:shd w:val="clear" w:color="auto" w:fill="013161"/>
            <w:vAlign w:val="center"/>
          </w:tcPr>
          <w:p w:rsidR="000B1863" w:rsidRDefault="00D86A11" w:rsidP="004B679A">
            <w:pPr>
              <w:pStyle w:val="MediumGrid21"/>
              <w:numPr>
                <w:ilvl w:val="0"/>
                <w:numId w:val="17"/>
              </w:numPr>
              <w:jc w:val="center"/>
              <w:rPr>
                <w:rFonts w:eastAsia="HGGothicM" w:cs="Tahoma"/>
                <w:color w:val="FFFFFF"/>
                <w:sz w:val="48"/>
                <w:szCs w:val="72"/>
              </w:rPr>
            </w:pPr>
            <w:r>
              <w:rPr>
                <w:rFonts w:eastAsia="HGGothicM" w:cs="Calibri"/>
                <w:color w:val="FFFFFF"/>
                <w:sz w:val="44"/>
                <w:szCs w:val="64"/>
              </w:rPr>
              <w:t>Appendices</w:t>
            </w:r>
          </w:p>
        </w:tc>
      </w:tr>
      <w:tr w:rsidR="00D86A11">
        <w:trPr>
          <w:trHeight w:val="7"/>
          <w:jc w:val="center"/>
        </w:trPr>
        <w:tc>
          <w:tcPr>
            <w:tcW w:w="0" w:type="auto"/>
            <w:shd w:val="clear" w:color="auto" w:fill="F6872B"/>
            <w:tcMar>
              <w:top w:w="0" w:type="dxa"/>
              <w:left w:w="0" w:type="dxa"/>
              <w:bottom w:w="0" w:type="dxa"/>
              <w:right w:w="0" w:type="dxa"/>
            </w:tcMar>
            <w:vAlign w:val="center"/>
          </w:tcPr>
          <w:p w:rsidR="000B1863" w:rsidRDefault="000B1863" w:rsidP="006037BE">
            <w:pPr>
              <w:pStyle w:val="MediumGrid21"/>
              <w:rPr>
                <w:sz w:val="8"/>
                <w:szCs w:val="8"/>
              </w:rPr>
            </w:pPr>
          </w:p>
        </w:tc>
      </w:tr>
    </w:tbl>
    <w:p w:rsidR="00D86A11" w:rsidRDefault="00D86A11" w:rsidP="00D86A11">
      <w:pPr>
        <w:pStyle w:val="Heading2"/>
        <w:rPr>
          <w:rFonts w:ascii="Perpetua" w:hAnsi="Perpetua"/>
          <w:color w:val="013161"/>
          <w:sz w:val="28"/>
          <w:szCs w:val="32"/>
        </w:rPr>
      </w:pPr>
      <w:r>
        <w:rPr>
          <w:rFonts w:ascii="Perpetua" w:hAnsi="Perpetua"/>
          <w:color w:val="013161"/>
          <w:sz w:val="28"/>
          <w:szCs w:val="32"/>
        </w:rPr>
        <w:t xml:space="preserve">Appendix A: HHSA Organizational Charts  </w:t>
      </w:r>
    </w:p>
    <w:p w:rsidR="00A01D5B" w:rsidRPr="00A01D5B" w:rsidRDefault="00A01D5B" w:rsidP="00A01D5B"/>
    <w:p w:rsidR="00D86A11" w:rsidRDefault="00D86A11" w:rsidP="00A01D5B">
      <w:pPr>
        <w:spacing w:after="0"/>
        <w:contextualSpacing/>
        <w:rPr>
          <w:color w:val="013161"/>
        </w:rPr>
      </w:pPr>
      <w:r>
        <w:rPr>
          <w:b/>
          <w:color w:val="F6872B"/>
          <w:spacing w:val="20"/>
          <w:sz w:val="24"/>
          <w:szCs w:val="28"/>
        </w:rPr>
        <w:t>San Diego County Government Structure</w:t>
      </w:r>
      <w:r w:rsidR="000B1863" w:rsidRPr="006037BE">
        <w:rPr>
          <w:b/>
          <w:noProof/>
          <w:color w:val="013161"/>
          <w:sz w:val="28"/>
          <w:szCs w:val="32"/>
        </w:rPr>
        <w:drawing>
          <wp:inline distT="0" distB="0" distL="0" distR="0">
            <wp:extent cx="6115922" cy="6315075"/>
            <wp:effectExtent l="0" t="0" r="0" b="0"/>
            <wp:docPr id="6" name="Picture 6" descr="BO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S Chart"/>
                    <pic:cNvPicPr>
                      <a:picLocks noChangeAspect="1" noChangeArrowheads="1"/>
                    </pic:cNvPicPr>
                  </pic:nvPicPr>
                  <pic:blipFill>
                    <a:blip r:embed="rId41" cstate="print"/>
                    <a:srcRect l="3061" t="12038" r="3296" b="13310"/>
                    <a:stretch>
                      <a:fillRect/>
                    </a:stretch>
                  </pic:blipFill>
                  <pic:spPr bwMode="auto">
                    <a:xfrm>
                      <a:off x="0" y="0"/>
                      <a:ext cx="6122017" cy="6321369"/>
                    </a:xfrm>
                    <a:prstGeom prst="rect">
                      <a:avLst/>
                    </a:prstGeom>
                    <a:noFill/>
                    <a:ln w="9525">
                      <a:noFill/>
                      <a:miter lim="800000"/>
                      <a:headEnd/>
                      <a:tailEnd/>
                    </a:ln>
                  </pic:spPr>
                </pic:pic>
              </a:graphicData>
            </a:graphic>
          </wp:inline>
        </w:drawing>
      </w:r>
      <w:r w:rsidR="00F1013C" w:rsidRPr="006037BE">
        <w:rPr>
          <w:b/>
          <w:color w:val="013161"/>
          <w:sz w:val="28"/>
          <w:szCs w:val="32"/>
        </w:rPr>
        <w:br w:type="page"/>
      </w:r>
    </w:p>
    <w:p w:rsidR="00D86A11" w:rsidRDefault="00763E81" w:rsidP="00D86A11">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-85725</wp:posOffset>
                </wp:positionH>
                <wp:positionV relativeFrom="paragraph">
                  <wp:posOffset>73660</wp:posOffset>
                </wp:positionV>
                <wp:extent cx="6105525" cy="3812540"/>
                <wp:effectExtent l="0" t="0" r="0" b="0"/>
                <wp:wrapNone/>
                <wp:docPr id="25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81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3E6" w:rsidRDefault="009103E6" w:rsidP="00D86A11">
                            <w:r>
                              <w:rPr>
                                <w:noProof/>
                                <w:color w:val="auto"/>
                                <w:sz w:val="20"/>
                              </w:rPr>
                              <w:drawing>
                                <wp:inline distT="0" distB="0" distL="0" distR="0">
                                  <wp:extent cx="5835650" cy="28956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t="2322" b="33325"/>
                                          <a:stretch>
                                            <a:fillRect/>
                                          </a:stretch>
                                        </pic:blipFill>
                                        <pic:spPr bwMode="auto">
                                          <a:xfrm>
                                            <a:off x="0" y="0"/>
                                            <a:ext cx="5835650" cy="2895600"/>
                                          </a:xfrm>
                                          <a:prstGeom prst="rect">
                                            <a:avLst/>
                                          </a:prstGeom>
                                          <a:noFill/>
                                          <a:ln w="9525">
                                            <a:noFill/>
                                            <a:miter lim="800000"/>
                                            <a:headEnd/>
                                            <a:tailEnd/>
                                          </a:ln>
                                        </pic:spPr>
                                      </pic:pic>
                                    </a:graphicData>
                                  </a:graphic>
                                </wp:inline>
                              </w:drawing>
                            </w:r>
                          </w:p>
                          <w:p w:rsidR="009103E6" w:rsidRDefault="009103E6" w:rsidP="00D86A11">
                            <w:r>
                              <w:rPr>
                                <w:noProof/>
                                <w:color w:val="auto"/>
                                <w:sz w:val="20"/>
                              </w:rPr>
                              <w:drawing>
                                <wp:inline distT="0" distB="0" distL="0" distR="0">
                                  <wp:extent cx="2781300" cy="45085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t="90228" r="53204"/>
                                          <a:stretch>
                                            <a:fillRect/>
                                          </a:stretch>
                                        </pic:blipFill>
                                        <pic:spPr bwMode="auto">
                                          <a:xfrm>
                                            <a:off x="0" y="0"/>
                                            <a:ext cx="2781300" cy="450850"/>
                                          </a:xfrm>
                                          <a:prstGeom prst="rect">
                                            <a:avLst/>
                                          </a:prstGeom>
                                          <a:noFill/>
                                          <a:ln w="9525">
                                            <a:noFill/>
                                            <a:miter lim="800000"/>
                                            <a:headEnd/>
                                            <a:tailEnd/>
                                          </a:ln>
                                        </pic:spPr>
                                      </pic:pic>
                                    </a:graphicData>
                                  </a:graphic>
                                </wp:inline>
                              </w:drawing>
                            </w:r>
                          </w:p>
                          <w:p w:rsidR="009103E6" w:rsidRDefault="009103E6" w:rsidP="00D86A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75" type="#_x0000_t202" style="position:absolute;margin-left:-6.75pt;margin-top:5.8pt;width:480.75pt;height:30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c+CigIAABs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" stroked="f">
                <v:textbox>
                  <w:txbxContent>
                    <w:p w:rsidR="009103E6" w:rsidRDefault="009103E6" w:rsidP="00D86A11">
                      <w:r>
                        <w:rPr>
                          <w:noProof/>
                          <w:color w:val="auto"/>
                          <w:sz w:val="20"/>
                        </w:rPr>
                        <w:drawing>
                          <wp:inline distT="0" distB="0" distL="0" distR="0">
                            <wp:extent cx="5835650" cy="289560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t="2322" b="33325"/>
                                    <a:stretch>
                                      <a:fillRect/>
                                    </a:stretch>
                                  </pic:blipFill>
                                  <pic:spPr bwMode="auto">
                                    <a:xfrm>
                                      <a:off x="0" y="0"/>
                                      <a:ext cx="5835650" cy="2895600"/>
                                    </a:xfrm>
                                    <a:prstGeom prst="rect">
                                      <a:avLst/>
                                    </a:prstGeom>
                                    <a:noFill/>
                                    <a:ln w="9525">
                                      <a:noFill/>
                                      <a:miter lim="800000"/>
                                      <a:headEnd/>
                                      <a:tailEnd/>
                                    </a:ln>
                                  </pic:spPr>
                                </pic:pic>
                              </a:graphicData>
                            </a:graphic>
                          </wp:inline>
                        </w:drawing>
                      </w:r>
                    </w:p>
                    <w:p w:rsidR="009103E6" w:rsidRDefault="009103E6" w:rsidP="00D86A11">
                      <w:r>
                        <w:rPr>
                          <w:noProof/>
                          <w:color w:val="auto"/>
                          <w:sz w:val="20"/>
                        </w:rPr>
                        <w:drawing>
                          <wp:inline distT="0" distB="0" distL="0" distR="0">
                            <wp:extent cx="2781300" cy="45085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t="90228" r="53204"/>
                                    <a:stretch>
                                      <a:fillRect/>
                                    </a:stretch>
                                  </pic:blipFill>
                                  <pic:spPr bwMode="auto">
                                    <a:xfrm>
                                      <a:off x="0" y="0"/>
                                      <a:ext cx="2781300" cy="450850"/>
                                    </a:xfrm>
                                    <a:prstGeom prst="rect">
                                      <a:avLst/>
                                    </a:prstGeom>
                                    <a:noFill/>
                                    <a:ln w="9525">
                                      <a:noFill/>
                                      <a:miter lim="800000"/>
                                      <a:headEnd/>
                                      <a:tailEnd/>
                                    </a:ln>
                                  </pic:spPr>
                                </pic:pic>
                              </a:graphicData>
                            </a:graphic>
                          </wp:inline>
                        </w:drawing>
                      </w:r>
                    </w:p>
                    <w:p w:rsidR="009103E6" w:rsidRDefault="009103E6" w:rsidP="00D86A11"/>
                  </w:txbxContent>
                </v:textbox>
              </v:shape>
            </w:pict>
          </mc:Fallback>
        </mc:AlternateContent>
      </w:r>
    </w:p>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Pr>
        <w:jc w:val="center"/>
      </w:pPr>
    </w:p>
    <w:p w:rsidR="00D86A11" w:rsidRDefault="00D86A11" w:rsidP="00D86A11"/>
    <w:p w:rsidR="00D86A11" w:rsidRDefault="00D86A11" w:rsidP="00D86A11"/>
    <w:p w:rsidR="00D86A11" w:rsidRDefault="00D86A11" w:rsidP="00D86A11"/>
    <w:p w:rsidR="00D86A11" w:rsidRDefault="00D86A11" w:rsidP="00D86A11">
      <w:pPr>
        <w:tabs>
          <w:tab w:val="left" w:pos="1390"/>
        </w:tabs>
      </w:pPr>
    </w:p>
    <w:p w:rsidR="00D86A11" w:rsidRDefault="00D86A11" w:rsidP="00D86A11">
      <w:pPr>
        <w:tabs>
          <w:tab w:val="left" w:pos="1390"/>
        </w:tabs>
        <w:jc w:val="center"/>
        <w:rPr>
          <w:b/>
        </w:rPr>
      </w:pPr>
      <w:r>
        <w:rPr>
          <w:b/>
        </w:rPr>
        <w:t>HHSA</w:t>
      </w:r>
    </w:p>
    <w:p w:rsidR="00D86A11" w:rsidRDefault="00D86A11" w:rsidP="00D86A11">
      <w:pPr>
        <w:tabs>
          <w:tab w:val="left" w:pos="1390"/>
        </w:tabs>
        <w:rPr>
          <w:b/>
        </w:rPr>
      </w:pPr>
    </w:p>
    <w:p w:rsidR="00D86A11" w:rsidRDefault="00D86A11" w:rsidP="00D86A11">
      <w:pPr>
        <w:tabs>
          <w:tab w:val="left" w:pos="1390"/>
        </w:tabs>
        <w:rPr>
          <w:b/>
        </w:rPr>
      </w:pPr>
    </w:p>
    <w:p w:rsidR="00D86A11" w:rsidRDefault="00D86A11" w:rsidP="00D86A11">
      <w:pPr>
        <w:tabs>
          <w:tab w:val="left" w:pos="1390"/>
        </w:tabs>
        <w:rPr>
          <w:b/>
        </w:rPr>
      </w:pPr>
    </w:p>
    <w:p w:rsidR="00D86A11" w:rsidRDefault="00D86A11" w:rsidP="00D86A11">
      <w:pPr>
        <w:tabs>
          <w:tab w:val="left" w:pos="1390"/>
        </w:tabs>
        <w:rPr>
          <w:b/>
        </w:rPr>
      </w:pPr>
    </w:p>
    <w:p w:rsidR="00D86A11" w:rsidRDefault="00D86A11" w:rsidP="00D86A11">
      <w:pPr>
        <w:tabs>
          <w:tab w:val="left" w:pos="1390"/>
        </w:tabs>
        <w:rPr>
          <w:b/>
        </w:rPr>
      </w:pPr>
    </w:p>
    <w:p w:rsidR="00D86A11" w:rsidRDefault="00D86A11" w:rsidP="00D86A11">
      <w:pPr>
        <w:tabs>
          <w:tab w:val="left" w:pos="1390"/>
        </w:tabs>
        <w:rPr>
          <w:b/>
        </w:rPr>
      </w:pPr>
      <w:r>
        <w:rPr>
          <w:b/>
        </w:rPr>
        <w:br w:type="page"/>
      </w:r>
    </w:p>
    <w:p w:rsidR="00D86A11" w:rsidRDefault="00763E81" w:rsidP="00D86A11">
      <w:pPr>
        <w:tabs>
          <w:tab w:val="left" w:pos="1390"/>
        </w:tabs>
        <w:rPr>
          <w:b/>
        </w:rP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-179705</wp:posOffset>
                </wp:positionH>
                <wp:positionV relativeFrom="paragraph">
                  <wp:posOffset>-217805</wp:posOffset>
                </wp:positionV>
                <wp:extent cx="6449695" cy="6396990"/>
                <wp:effectExtent l="0" t="0" r="0" b="0"/>
                <wp:wrapNone/>
                <wp:docPr id="25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9695" cy="6396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3E6" w:rsidRDefault="009103E6" w:rsidP="00D86A11">
                            <w:r>
                              <w:rPr>
                                <w:noProof/>
                                <w:color w:val="auto"/>
                                <w:sz w:val="20"/>
                              </w:rPr>
                              <w:drawing>
                                <wp:inline distT="0" distB="0" distL="0" distR="0">
                                  <wp:extent cx="6248400" cy="4908550"/>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l="1282" t="3136" r="3481" b="9964"/>
                                          <a:stretch>
                                            <a:fillRect/>
                                          </a:stretch>
                                        </pic:blipFill>
                                        <pic:spPr bwMode="auto">
                                          <a:xfrm>
                                            <a:off x="0" y="0"/>
                                            <a:ext cx="6248400" cy="4908550"/>
                                          </a:xfrm>
                                          <a:prstGeom prst="rect">
                                            <a:avLst/>
                                          </a:prstGeom>
                                          <a:noFill/>
                                          <a:ln w="9525">
                                            <a:noFill/>
                                            <a:miter lim="800000"/>
                                            <a:headEnd/>
                                            <a:tailEnd/>
                                          </a:ln>
                                        </pic:spPr>
                                      </pic:pic>
                                    </a:graphicData>
                                  </a:graphic>
                                </wp:inline>
                              </w:drawing>
                            </w:r>
                          </w:p>
                          <w:p w:rsidR="009103E6" w:rsidRDefault="009103E6" w:rsidP="00D86A11"/>
                          <w:p w:rsidR="009103E6" w:rsidRDefault="009103E6" w:rsidP="00D86A11"/>
                          <w:p w:rsidR="009103E6" w:rsidRDefault="009103E6" w:rsidP="00D86A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76" type="#_x0000_t202" style="position:absolute;margin-left:-14.15pt;margin-top:-17.15pt;width:507.85pt;height:50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" stroked="f">
                <v:textbox>
                  <w:txbxContent>
                    <w:p w:rsidR="009103E6" w:rsidRDefault="009103E6" w:rsidP="00D86A11">
                      <w:r>
                        <w:rPr>
                          <w:noProof/>
                          <w:color w:val="auto"/>
                          <w:sz w:val="20"/>
                        </w:rPr>
                        <w:drawing>
                          <wp:inline distT="0" distB="0" distL="0" distR="0">
                            <wp:extent cx="6248400" cy="4908550"/>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l="1282" t="3136" r="3481" b="9964"/>
                                    <a:stretch>
                                      <a:fillRect/>
                                    </a:stretch>
                                  </pic:blipFill>
                                  <pic:spPr bwMode="auto">
                                    <a:xfrm>
                                      <a:off x="0" y="0"/>
                                      <a:ext cx="6248400" cy="4908550"/>
                                    </a:xfrm>
                                    <a:prstGeom prst="rect">
                                      <a:avLst/>
                                    </a:prstGeom>
                                    <a:noFill/>
                                    <a:ln w="9525">
                                      <a:noFill/>
                                      <a:miter lim="800000"/>
                                      <a:headEnd/>
                                      <a:tailEnd/>
                                    </a:ln>
                                  </pic:spPr>
                                </pic:pic>
                              </a:graphicData>
                            </a:graphic>
                          </wp:inline>
                        </w:drawing>
                      </w:r>
                    </w:p>
                    <w:p w:rsidR="009103E6" w:rsidRDefault="009103E6" w:rsidP="00D86A11"/>
                    <w:p w:rsidR="009103E6" w:rsidRDefault="009103E6" w:rsidP="00D86A11"/>
                    <w:p w:rsidR="009103E6" w:rsidRDefault="009103E6" w:rsidP="00D86A11"/>
                  </w:txbxContent>
                </v:textbox>
              </v:shape>
            </w:pict>
          </mc:Fallback>
        </mc:AlternateContent>
      </w:r>
    </w:p>
    <w:p w:rsidR="00D86A11" w:rsidRDefault="00D86A11" w:rsidP="00D86A11">
      <w:pPr>
        <w:tabs>
          <w:tab w:val="left" w:pos="1390"/>
        </w:tabs>
        <w:rPr>
          <w:b/>
        </w:rPr>
      </w:pPr>
      <w:r>
        <w:rPr>
          <w:b/>
        </w:rPr>
        <w:t xml:space="preserve"> </w:t>
      </w:r>
    </w:p>
    <w:p w:rsidR="00D86A11" w:rsidRDefault="00D86A11" w:rsidP="00D86A11">
      <w:pPr>
        <w:tabs>
          <w:tab w:val="left" w:pos="1390"/>
        </w:tabs>
        <w:jc w:val="center"/>
        <w:rPr>
          <w:b/>
          <w:i/>
        </w:rPr>
      </w:pPr>
    </w:p>
    <w:p w:rsidR="00D86A11" w:rsidRDefault="00D86A11" w:rsidP="00D86A11">
      <w:pPr>
        <w:tabs>
          <w:tab w:val="left" w:pos="1390"/>
        </w:tabs>
        <w:jc w:val="center"/>
      </w:pPr>
    </w:p>
    <w:p w:rsidR="00D86A11" w:rsidRDefault="00763E81" w:rsidP="00D86A11">
      <w:pPr>
        <w:spacing w:after="0"/>
        <w:contextualSpacing/>
        <w:rPr>
          <w:b/>
          <w:color w:val="F6872B"/>
          <w:spacing w:val="20"/>
          <w:sz w:val="24"/>
          <w:szCs w:val="28"/>
        </w:rPr>
      </w:pPr>
      <w:r>
        <w:rPr>
          <w:noProof/>
        </w:rPr>
        <mc:AlternateContent>
          <mc:Choice Requires="wps">
            <w:drawing>
              <wp:anchor distT="4294967295" distB="4294967295" distL="114300" distR="114300" simplePos="0" relativeHeight="251675648" behindDoc="0" locked="0" layoutInCell="1" allowOverlap="1">
                <wp:simplePos x="0" y="0"/>
                <wp:positionH relativeFrom="column">
                  <wp:posOffset>4741545</wp:posOffset>
                </wp:positionH>
                <wp:positionV relativeFrom="paragraph">
                  <wp:posOffset>3557904</wp:posOffset>
                </wp:positionV>
                <wp:extent cx="592455" cy="0"/>
                <wp:effectExtent l="0" t="0" r="17145" b="0"/>
                <wp:wrapNone/>
                <wp:docPr id="3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BB86A3" id="_x0000_t32" coordsize="21600,21600" o:spt="32" o:oned="t" path="m,l21600,21600e" filled="f">
                <v:path arrowok="t" fillok="f" o:connecttype="none"/>
                <o:lock v:ext="edit" shapetype="t"/>
              </v:shapetype>
              <v:shape id="AutoShape 44" o:spid="_x0000_s1026" type="#_x0000_t32" style="position:absolute;margin-left:373.35pt;margin-top:280.15pt;width:46.6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" strokecolor="#7f7f7f"/>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106680</wp:posOffset>
                </wp:positionH>
                <wp:positionV relativeFrom="paragraph">
                  <wp:posOffset>2931160</wp:posOffset>
                </wp:positionV>
                <wp:extent cx="2741930" cy="489585"/>
                <wp:effectExtent l="0" t="0" r="0" b="0"/>
                <wp:wrapNone/>
                <wp:docPr id="3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03E6" w:rsidRDefault="009103E6" w:rsidP="00D86A11">
                            <w:r>
                              <w:rPr>
                                <w:noProof/>
                                <w:color w:val="auto"/>
                                <w:sz w:val="20"/>
                              </w:rPr>
                              <w:drawing>
                                <wp:inline distT="0" distB="0" distL="0" distR="0">
                                  <wp:extent cx="2603500" cy="419100"/>
                                  <wp:effectExtent l="19050" t="0" r="635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t="90228" r="53204"/>
                                          <a:stretch>
                                            <a:fillRect/>
                                          </a:stretch>
                                        </pic:blipFill>
                                        <pic:spPr bwMode="auto">
                                          <a:xfrm>
                                            <a:off x="0" y="0"/>
                                            <a:ext cx="2603500" cy="419100"/>
                                          </a:xfrm>
                                          <a:prstGeom prst="rect">
                                            <a:avLst/>
                                          </a:prstGeom>
                                          <a:noFill/>
                                          <a:ln w="9525">
                                            <a:noFill/>
                                            <a:miter lim="800000"/>
                                            <a:headEnd/>
                                            <a:tailEnd/>
                                          </a:ln>
                                        </pic:spPr>
                                      </pic:pic>
                                    </a:graphicData>
                                  </a:graphic>
                                </wp:inline>
                              </w:drawing>
                            </w:r>
                            <w:r>
                              <w:rPr>
                                <w:noProof/>
                                <w:color w:val="auto"/>
                                <w:sz w:val="20"/>
                              </w:rPr>
                              <w:drawing>
                                <wp:inline distT="0" distB="0" distL="0" distR="0">
                                  <wp:extent cx="2608580" cy="422275"/>
                                  <wp:effectExtent l="0" t="0" r="127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t="90228" r="53204"/>
                                          <a:stretch>
                                            <a:fillRect/>
                                          </a:stretch>
                                        </pic:blipFill>
                                        <pic:spPr bwMode="auto">
                                          <a:xfrm>
                                            <a:off x="0" y="0"/>
                                            <a:ext cx="2608580" cy="422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77" type="#_x0000_t202" style="position:absolute;margin-left:8.4pt;margin-top:230.8pt;width:215.9pt;height:38.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" stroked="f">
                <v:textbox>
                  <w:txbxContent>
                    <w:p w:rsidR="009103E6" w:rsidRDefault="009103E6" w:rsidP="00D86A11">
                      <w:r>
                        <w:rPr>
                          <w:noProof/>
                          <w:color w:val="auto"/>
                          <w:sz w:val="20"/>
                        </w:rPr>
                        <w:drawing>
                          <wp:inline distT="0" distB="0" distL="0" distR="0">
                            <wp:extent cx="2603500" cy="419100"/>
                            <wp:effectExtent l="19050" t="0" r="635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t="90228" r="53204"/>
                                    <a:stretch>
                                      <a:fillRect/>
                                    </a:stretch>
                                  </pic:blipFill>
                                  <pic:spPr bwMode="auto">
                                    <a:xfrm>
                                      <a:off x="0" y="0"/>
                                      <a:ext cx="2603500" cy="419100"/>
                                    </a:xfrm>
                                    <a:prstGeom prst="rect">
                                      <a:avLst/>
                                    </a:prstGeom>
                                    <a:noFill/>
                                    <a:ln w="9525">
                                      <a:noFill/>
                                      <a:miter lim="800000"/>
                                      <a:headEnd/>
                                      <a:tailEnd/>
                                    </a:ln>
                                  </pic:spPr>
                                </pic:pic>
                              </a:graphicData>
                            </a:graphic>
                          </wp:inline>
                        </w:drawing>
                      </w:r>
                      <w:r>
                        <w:rPr>
                          <w:noProof/>
                          <w:color w:val="auto"/>
                          <w:sz w:val="20"/>
                        </w:rPr>
                        <w:drawing>
                          <wp:inline distT="0" distB="0" distL="0" distR="0">
                            <wp:extent cx="2608580" cy="422275"/>
                            <wp:effectExtent l="0" t="0" r="127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t="90228" r="53204"/>
                                    <a:stretch>
                                      <a:fillRect/>
                                    </a:stretch>
                                  </pic:blipFill>
                                  <pic:spPr bwMode="auto">
                                    <a:xfrm>
                                      <a:off x="0" y="0"/>
                                      <a:ext cx="2608580" cy="422275"/>
                                    </a:xfrm>
                                    <a:prstGeom prst="rect">
                                      <a:avLst/>
                                    </a:prstGeom>
                                    <a:noFill/>
                                    <a:ln>
                                      <a:noFill/>
                                    </a:ln>
                                  </pic:spPr>
                                </pic:pic>
                              </a:graphicData>
                            </a:graphic>
                          </wp:inline>
                        </w:drawing>
                      </w:r>
                    </w:p>
                  </w:txbxContent>
                </v:textbox>
              </v:shape>
            </w:pict>
          </mc:Fallback>
        </mc:AlternateContent>
      </w:r>
      <w:r w:rsidR="00D86A11">
        <w:rPr>
          <w:b/>
        </w:rPr>
        <w:t>Vale</w:t>
      </w:r>
      <w:r w:rsidR="00D86A11">
        <w:rPr>
          <w:b/>
        </w:rPr>
        <w:br w:type="page"/>
      </w:r>
      <w:r w:rsidR="00D86A11">
        <w:rPr>
          <w:b/>
          <w:color w:val="F6872B"/>
          <w:spacing w:val="20"/>
          <w:sz w:val="24"/>
          <w:szCs w:val="28"/>
        </w:rPr>
        <w:lastRenderedPageBreak/>
        <w:t xml:space="preserve">Probation </w:t>
      </w:r>
    </w:p>
    <w:p w:rsidR="00D86A11" w:rsidRDefault="000B1863" w:rsidP="00D86A11">
      <w:pPr>
        <w:tabs>
          <w:tab w:val="left" w:pos="1390"/>
        </w:tabs>
      </w:pPr>
      <w:r w:rsidRPr="006037BE">
        <w:rPr>
          <w:noProof/>
        </w:rPr>
        <w:drawing>
          <wp:anchor distT="0" distB="0" distL="114300" distR="114300" simplePos="0" relativeHeight="251855872" behindDoc="1" locked="0" layoutInCell="1" allowOverlap="1">
            <wp:simplePos x="0" y="0"/>
            <wp:positionH relativeFrom="column">
              <wp:posOffset>-731520</wp:posOffset>
            </wp:positionH>
            <wp:positionV relativeFrom="paragraph">
              <wp:posOffset>287020</wp:posOffset>
            </wp:positionV>
            <wp:extent cx="7482840" cy="4080510"/>
            <wp:effectExtent l="19050" t="0" r="3810" b="0"/>
            <wp:wrapTight wrapText="bothSides">
              <wp:wrapPolygon edited="0">
                <wp:start x="-55" y="0"/>
                <wp:lineTo x="-55" y="21479"/>
                <wp:lineTo x="21611" y="21479"/>
                <wp:lineTo x="21611" y="0"/>
                <wp:lineTo x="-55" y="0"/>
              </wp:wrapPolygon>
            </wp:wrapTight>
            <wp:docPr id="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3073" t="23683" r="6531" b="11610"/>
                    <a:stretch>
                      <a:fillRect/>
                    </a:stretch>
                  </pic:blipFill>
                  <pic:spPr bwMode="auto">
                    <a:xfrm>
                      <a:off x="0" y="0"/>
                      <a:ext cx="7482840" cy="4080510"/>
                    </a:xfrm>
                    <a:prstGeom prst="rect">
                      <a:avLst/>
                    </a:prstGeom>
                    <a:noFill/>
                  </pic:spPr>
                </pic:pic>
              </a:graphicData>
            </a:graphic>
          </wp:anchor>
        </w:drawing>
      </w:r>
    </w:p>
    <w:p w:rsidR="00D86A11" w:rsidRDefault="00D86A11" w:rsidP="00D86A11">
      <w:pPr>
        <w:tabs>
          <w:tab w:val="left" w:pos="1390"/>
        </w:tabs>
      </w:pPr>
    </w:p>
    <w:p w:rsidR="00D86A11" w:rsidRDefault="00D86A11" w:rsidP="00D86A11">
      <w:pPr>
        <w:tabs>
          <w:tab w:val="left" w:pos="1390"/>
        </w:tabs>
      </w:pPr>
    </w:p>
    <w:p w:rsidR="00D86A11" w:rsidRDefault="00D86A11" w:rsidP="00D86A11">
      <w:pPr>
        <w:tabs>
          <w:tab w:val="left" w:pos="1390"/>
        </w:tabs>
      </w:pPr>
    </w:p>
    <w:p w:rsidR="00D86A11" w:rsidRDefault="00D86A11" w:rsidP="00D86A11">
      <w:pPr>
        <w:tabs>
          <w:tab w:val="left" w:pos="1390"/>
        </w:tabs>
      </w:pPr>
    </w:p>
    <w:p w:rsidR="00D86A11" w:rsidRDefault="00D86A11" w:rsidP="00D86A11">
      <w:pPr>
        <w:tabs>
          <w:tab w:val="left" w:pos="1390"/>
        </w:tabs>
      </w:pPr>
    </w:p>
    <w:p w:rsidR="00D86A11" w:rsidRDefault="00D86A11" w:rsidP="00D86A11">
      <w:pPr>
        <w:tabs>
          <w:tab w:val="left" w:pos="1390"/>
        </w:tabs>
      </w:pPr>
    </w:p>
    <w:p w:rsidR="00D86A11" w:rsidRDefault="00D86A11" w:rsidP="00D86A11">
      <w:pPr>
        <w:tabs>
          <w:tab w:val="left" w:pos="1390"/>
        </w:tabs>
      </w:pPr>
    </w:p>
    <w:p w:rsidR="00D86A11" w:rsidRDefault="00D86A11" w:rsidP="00D86A11">
      <w:pPr>
        <w:tabs>
          <w:tab w:val="left" w:pos="1390"/>
        </w:tabs>
      </w:pPr>
    </w:p>
    <w:p w:rsidR="00D86A11" w:rsidRDefault="00D86A11" w:rsidP="00D86A11">
      <w:pPr>
        <w:tabs>
          <w:tab w:val="left" w:pos="1390"/>
        </w:tabs>
      </w:pPr>
    </w:p>
    <w:p w:rsidR="00D86A11" w:rsidRDefault="00D86A11" w:rsidP="00D86A11">
      <w:pPr>
        <w:tabs>
          <w:tab w:val="left" w:pos="1390"/>
        </w:tabs>
      </w:pPr>
    </w:p>
    <w:p w:rsidR="00D86A11" w:rsidRDefault="00D86A11" w:rsidP="00D86A11">
      <w:pPr>
        <w:tabs>
          <w:tab w:val="left" w:pos="1390"/>
        </w:tabs>
      </w:pPr>
    </w:p>
    <w:p w:rsidR="00D86A11" w:rsidRDefault="00D86A11" w:rsidP="00D86A11">
      <w:pPr>
        <w:pStyle w:val="Heading2"/>
        <w:rPr>
          <w:rFonts w:ascii="Perpetua" w:hAnsi="Perpetua"/>
          <w:color w:val="013161"/>
        </w:rPr>
      </w:pPr>
    </w:p>
    <w:p w:rsidR="00D86A11" w:rsidRDefault="00D86A11" w:rsidP="00D86A11">
      <w:pPr>
        <w:pStyle w:val="Heading2"/>
        <w:rPr>
          <w:rFonts w:ascii="Perpetua" w:hAnsi="Perpetua"/>
          <w:color w:val="013161"/>
        </w:rPr>
      </w:pPr>
    </w:p>
    <w:p w:rsidR="00D86A11" w:rsidRDefault="00D86A11" w:rsidP="00D86A11">
      <w:pPr>
        <w:pStyle w:val="Heading2"/>
        <w:rPr>
          <w:rFonts w:ascii="Perpetua" w:hAnsi="Perpetua"/>
          <w:color w:val="013161"/>
        </w:rPr>
      </w:pPr>
      <w:r>
        <w:rPr>
          <w:b w:val="0"/>
          <w:color w:val="013161"/>
        </w:rPr>
        <w:br w:type="page"/>
      </w:r>
      <w:r>
        <w:rPr>
          <w:rFonts w:ascii="Perpetua" w:hAnsi="Perpetua"/>
          <w:color w:val="013161"/>
          <w:sz w:val="28"/>
          <w:szCs w:val="32"/>
        </w:rPr>
        <w:lastRenderedPageBreak/>
        <w:t>Appendix B: San Diego County Regional Map</w:t>
      </w:r>
    </w:p>
    <w:p w:rsidR="00D86A11" w:rsidRDefault="000B1863" w:rsidP="00D86A11">
      <w:r w:rsidRPr="006037BE">
        <w:rPr>
          <w:noProof/>
        </w:rPr>
        <w:drawing>
          <wp:anchor distT="0" distB="0" distL="114300" distR="114300" simplePos="0" relativeHeight="251857920" behindDoc="1" locked="0" layoutInCell="1" allowOverlap="1">
            <wp:simplePos x="0" y="0"/>
            <wp:positionH relativeFrom="column">
              <wp:posOffset>-278765</wp:posOffset>
            </wp:positionH>
            <wp:positionV relativeFrom="paragraph">
              <wp:posOffset>186055</wp:posOffset>
            </wp:positionV>
            <wp:extent cx="6146165" cy="4627880"/>
            <wp:effectExtent l="19050" t="0" r="6985" b="0"/>
            <wp:wrapSquare wrapText="bothSides"/>
            <wp:docPr id="350" name="Picture 2" descr="hhsa_regi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sa_regioin"/>
                    <pic:cNvPicPr>
                      <a:picLocks noChangeAspect="1" noChangeArrowheads="1"/>
                    </pic:cNvPicPr>
                  </pic:nvPicPr>
                  <pic:blipFill>
                    <a:blip r:embed="rId47" cstate="print"/>
                    <a:srcRect/>
                    <a:stretch>
                      <a:fillRect/>
                    </a:stretch>
                  </pic:blipFill>
                  <pic:spPr bwMode="auto">
                    <a:xfrm>
                      <a:off x="0" y="0"/>
                      <a:ext cx="6146165" cy="4627880"/>
                    </a:xfrm>
                    <a:prstGeom prst="rect">
                      <a:avLst/>
                    </a:prstGeom>
                    <a:noFill/>
                  </pic:spPr>
                </pic:pic>
              </a:graphicData>
            </a:graphic>
          </wp:anchor>
        </w:drawing>
      </w:r>
    </w:p>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Pr>
        <w:pStyle w:val="Heading2"/>
        <w:rPr>
          <w:rFonts w:ascii="Perpetua" w:hAnsi="Perpetua"/>
          <w:color w:val="013161"/>
          <w:sz w:val="28"/>
          <w:szCs w:val="32"/>
        </w:rPr>
      </w:pPr>
      <w:bookmarkStart w:id="4" w:name="_Appendix_X:_"/>
      <w:bookmarkEnd w:id="4"/>
      <w:r>
        <w:rPr>
          <w:rFonts w:ascii="Perpetua" w:hAnsi="Perpetua"/>
          <w:color w:val="013161"/>
          <w:sz w:val="28"/>
          <w:szCs w:val="32"/>
        </w:rPr>
        <w:t>Appendix C: County Self-Assessment Team</w:t>
      </w:r>
    </w:p>
    <w:p w:rsidR="00D86A11" w:rsidRDefault="00D86A11" w:rsidP="00D86A11"/>
    <w:tbl>
      <w:tblPr>
        <w:tblW w:w="9540" w:type="dxa"/>
        <w:tblInd w:w="18" w:type="dxa"/>
        <w:tblLook w:val="01E0" w:firstRow="1" w:lastRow="1" w:firstColumn="1" w:lastColumn="1" w:noHBand="0" w:noVBand="0"/>
      </w:tblPr>
      <w:tblGrid>
        <w:gridCol w:w="5490"/>
        <w:gridCol w:w="90"/>
        <w:gridCol w:w="3960"/>
      </w:tblGrid>
      <w:tr w:rsidR="00D86A11" w:rsidTr="006037BE">
        <w:trPr>
          <w:trHeight w:val="280"/>
          <w:tblHeader/>
        </w:trPr>
        <w:tc>
          <w:tcPr>
            <w:tcW w:w="5580" w:type="dxa"/>
            <w:gridSpan w:val="2"/>
            <w:tcBorders>
              <w:top w:val="single" w:sz="18" w:space="0" w:color="F6872B"/>
              <w:left w:val="nil"/>
              <w:bottom w:val="nil"/>
              <w:right w:val="nil"/>
            </w:tcBorders>
            <w:shd w:val="clear" w:color="auto" w:fill="013161"/>
          </w:tcPr>
          <w:p w:rsidR="00D86A11" w:rsidRDefault="00D86A11">
            <w:pPr>
              <w:spacing w:after="0" w:line="240" w:lineRule="auto"/>
              <w:rPr>
                <w:rFonts w:eastAsia="Calibri" w:cs="Arial"/>
                <w:b/>
                <w:bCs/>
                <w:color w:val="FFFFFF"/>
                <w:sz w:val="24"/>
                <w:szCs w:val="22"/>
              </w:rPr>
            </w:pPr>
            <w:r>
              <w:rPr>
                <w:rFonts w:eastAsia="Calibri" w:cs="Arial"/>
                <w:b/>
                <w:bCs/>
                <w:color w:val="FFFFFF"/>
                <w:sz w:val="24"/>
                <w:szCs w:val="22"/>
              </w:rPr>
              <w:lastRenderedPageBreak/>
              <w:t>Organization</w:t>
            </w:r>
          </w:p>
        </w:tc>
        <w:tc>
          <w:tcPr>
            <w:tcW w:w="3960" w:type="dxa"/>
            <w:tcBorders>
              <w:top w:val="single" w:sz="18" w:space="0" w:color="F6872B"/>
              <w:left w:val="nil"/>
              <w:bottom w:val="nil"/>
              <w:right w:val="nil"/>
            </w:tcBorders>
            <w:shd w:val="clear" w:color="auto" w:fill="013161"/>
          </w:tcPr>
          <w:p w:rsidR="00D86A11" w:rsidRDefault="00D86A11">
            <w:pPr>
              <w:spacing w:after="0" w:line="240" w:lineRule="auto"/>
              <w:rPr>
                <w:rFonts w:eastAsia="Calibri" w:cs="Arial"/>
                <w:b/>
                <w:bCs/>
                <w:color w:val="FFFFFF"/>
                <w:szCs w:val="22"/>
              </w:rPr>
            </w:pPr>
            <w:r>
              <w:rPr>
                <w:rFonts w:eastAsia="Calibri" w:cs="Arial"/>
                <w:b/>
                <w:bCs/>
                <w:color w:val="FFFFFF"/>
                <w:sz w:val="24"/>
                <w:szCs w:val="22"/>
              </w:rPr>
              <w:t>Name</w:t>
            </w:r>
          </w:p>
        </w:tc>
      </w:tr>
      <w:tr w:rsidR="00D86A11">
        <w:trPr>
          <w:trHeight w:val="267"/>
        </w:trPr>
        <w:tc>
          <w:tcPr>
            <w:tcW w:w="5490" w:type="dxa"/>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Child Welfare Services</w:t>
            </w:r>
          </w:p>
        </w:tc>
        <w:tc>
          <w:tcPr>
            <w:tcW w:w="4050" w:type="dxa"/>
            <w:gridSpan w:val="2"/>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Corey Kissel</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 xml:space="preserve">Kimberly Giardina </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Laura Krzywicki</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Kevin Hauck</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Elaine Higgs</w:t>
            </w:r>
          </w:p>
        </w:tc>
      </w:tr>
      <w:tr w:rsidR="00D86A11">
        <w:trPr>
          <w:trHeight w:val="267"/>
        </w:trPr>
        <w:tc>
          <w:tcPr>
            <w:tcW w:w="5490" w:type="dxa"/>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Probation</w:t>
            </w:r>
          </w:p>
        </w:tc>
        <w:tc>
          <w:tcPr>
            <w:tcW w:w="4050" w:type="dxa"/>
            <w:gridSpan w:val="2"/>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Lisa Sawin</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Delona King</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Frank Andrade</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Pablo Carrillo</w:t>
            </w:r>
          </w:p>
        </w:tc>
      </w:tr>
      <w:tr w:rsidR="00D86A11" w:rsidTr="006037BE">
        <w:trPr>
          <w:trHeight w:val="267"/>
        </w:trPr>
        <w:tc>
          <w:tcPr>
            <w:tcW w:w="5490" w:type="dxa"/>
            <w:tcBorders>
              <w:top w:val="nil"/>
              <w:left w:val="nil"/>
              <w:bottom w:val="single" w:sz="18" w:space="0" w:color="F6872B"/>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 xml:space="preserve">Harder+Company Community Research </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(facilitation, data collection, and report support)</w:t>
            </w:r>
          </w:p>
        </w:tc>
        <w:tc>
          <w:tcPr>
            <w:tcW w:w="4050" w:type="dxa"/>
            <w:gridSpan w:val="2"/>
            <w:tcBorders>
              <w:top w:val="nil"/>
              <w:left w:val="nil"/>
              <w:bottom w:val="single" w:sz="18" w:space="0" w:color="F6872B"/>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Jennifer James</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Cristina Magaña</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Kim Frink</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Casey Mackereth</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Taylor Shrum</w:t>
            </w:r>
          </w:p>
        </w:tc>
      </w:tr>
    </w:tbl>
    <w:p w:rsidR="00D86A11" w:rsidRDefault="00D86A11" w:rsidP="00D86A11"/>
    <w:p w:rsidR="00D86A11" w:rsidRDefault="00D86A11" w:rsidP="00D86A11">
      <w:pPr>
        <w:pStyle w:val="Heading2"/>
        <w:rPr>
          <w:rFonts w:ascii="Perpetua" w:hAnsi="Perpetua"/>
          <w:color w:val="013161"/>
          <w:sz w:val="28"/>
          <w:szCs w:val="32"/>
        </w:rPr>
      </w:pPr>
      <w:r>
        <w:rPr>
          <w:rFonts w:ascii="Perpetua" w:hAnsi="Perpetua"/>
          <w:color w:val="013161"/>
          <w:sz w:val="28"/>
          <w:szCs w:val="32"/>
        </w:rPr>
        <w:t>Appendix D: County Self-Assessment Stakeholder List</w:t>
      </w:r>
    </w:p>
    <w:p w:rsidR="00D86A11" w:rsidRDefault="00D86A11" w:rsidP="00D86A11">
      <w:pPr>
        <w:rPr>
          <w:sz w:val="2"/>
        </w:rPr>
      </w:pPr>
    </w:p>
    <w:tbl>
      <w:tblPr>
        <w:tblW w:w="0" w:type="auto"/>
        <w:tblBorders>
          <w:top w:val="single" w:sz="18" w:space="0" w:color="F6872B"/>
          <w:bottom w:val="single" w:sz="18" w:space="0" w:color="F6872B"/>
        </w:tblBorders>
        <w:tblLook w:val="04A0" w:firstRow="1" w:lastRow="0" w:firstColumn="1" w:lastColumn="0" w:noHBand="0" w:noVBand="1"/>
      </w:tblPr>
      <w:tblGrid>
        <w:gridCol w:w="4724"/>
        <w:gridCol w:w="4636"/>
      </w:tblGrid>
      <w:tr w:rsidR="00D86A11" w:rsidTr="006037BE">
        <w:tc>
          <w:tcPr>
            <w:tcW w:w="4770" w:type="dxa"/>
            <w:tcBorders>
              <w:top w:val="single" w:sz="18" w:space="0" w:color="F6872B"/>
              <w:left w:val="nil"/>
              <w:bottom w:val="nil"/>
              <w:right w:val="nil"/>
            </w:tcBorders>
            <w:shd w:val="clear" w:color="auto" w:fill="013161"/>
          </w:tcPr>
          <w:p w:rsidR="000B1863" w:rsidRDefault="00D86A11" w:rsidP="006037BE">
            <w:pPr>
              <w:pStyle w:val="ColorfulList-Accent11"/>
              <w:ind w:left="0"/>
              <w:jc w:val="center"/>
              <w:rPr>
                <w:b/>
                <w:sz w:val="24"/>
              </w:rPr>
            </w:pPr>
            <w:r>
              <w:rPr>
                <w:rFonts w:ascii="Perpetua" w:hAnsi="Perpetua" w:cs="Perpetua"/>
                <w:b/>
                <w:sz w:val="24"/>
                <w:szCs w:val="22"/>
              </w:rPr>
              <w:t>Organization</w:t>
            </w:r>
          </w:p>
        </w:tc>
        <w:tc>
          <w:tcPr>
            <w:tcW w:w="4680" w:type="dxa"/>
            <w:tcBorders>
              <w:top w:val="single" w:sz="18" w:space="0" w:color="F6872B"/>
              <w:left w:val="nil"/>
              <w:bottom w:val="nil"/>
              <w:right w:val="nil"/>
            </w:tcBorders>
            <w:shd w:val="clear" w:color="auto" w:fill="013161"/>
          </w:tcPr>
          <w:p w:rsidR="000B1863" w:rsidRDefault="00D86A11" w:rsidP="006037BE">
            <w:pPr>
              <w:pStyle w:val="ColorfulList-Accent11"/>
              <w:ind w:left="0"/>
              <w:jc w:val="center"/>
              <w:rPr>
                <w:b/>
                <w:sz w:val="24"/>
              </w:rPr>
            </w:pPr>
            <w:r>
              <w:rPr>
                <w:rFonts w:ascii="Perpetua" w:hAnsi="Perpetua" w:cs="Perpetua"/>
                <w:b/>
                <w:sz w:val="24"/>
                <w:szCs w:val="22"/>
              </w:rPr>
              <w:t>Name</w:t>
            </w:r>
          </w:p>
        </w:tc>
      </w:tr>
      <w:tr w:rsidR="00D86A11"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Behavioral Health Services</w:t>
            </w:r>
          </w:p>
        </w:tc>
        <w:tc>
          <w:tcPr>
            <w:tcW w:w="4680" w:type="dxa"/>
            <w:tcBorders>
              <w:top w:val="nil"/>
              <w:left w:val="nil"/>
              <w:bottom w:val="nil"/>
              <w:right w:val="nil"/>
            </w:tcBorders>
            <w:shd w:val="clear" w:color="auto" w:fill="DBE5F1"/>
          </w:tcPr>
          <w:p w:rsidR="000B1863" w:rsidRPr="006037BE" w:rsidRDefault="00D86A11" w:rsidP="006037BE">
            <w:pPr>
              <w:pStyle w:val="ColorfulList-Accent11"/>
              <w:ind w:left="0"/>
              <w:rPr>
                <w:rFonts w:eastAsia="Calibri"/>
                <w:b/>
                <w:color w:val="013161"/>
              </w:rPr>
            </w:pPr>
            <w:r>
              <w:rPr>
                <w:rFonts w:ascii="Perpetua" w:eastAsia="Calibri" w:hAnsi="Perpetua" w:cs="Arial"/>
                <w:b/>
                <w:bCs/>
                <w:color w:val="013161"/>
                <w:szCs w:val="22"/>
              </w:rPr>
              <w:t>Jean Avila</w:t>
            </w:r>
          </w:p>
          <w:p w:rsidR="000B1863" w:rsidRPr="006037BE" w:rsidRDefault="00D86A11" w:rsidP="006037BE">
            <w:pPr>
              <w:pStyle w:val="ColorfulList-Accent11"/>
              <w:ind w:left="0"/>
              <w:rPr>
                <w:rFonts w:eastAsia="Calibri"/>
                <w:b/>
                <w:color w:val="013161"/>
              </w:rPr>
            </w:pPr>
            <w:r>
              <w:rPr>
                <w:rFonts w:ascii="Perpetua" w:eastAsia="Calibri" w:hAnsi="Perpetua" w:cs="Arial"/>
                <w:b/>
                <w:bCs/>
                <w:color w:val="013161"/>
                <w:szCs w:val="22"/>
              </w:rPr>
              <w:t>Michael Miller</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California Border Patrol</w:t>
            </w:r>
          </w:p>
        </w:tc>
        <w:tc>
          <w:tcPr>
            <w:tcW w:w="4680" w:type="dxa"/>
            <w:tcBorders>
              <w:top w:val="nil"/>
              <w:left w:val="nil"/>
              <w:bottom w:val="nil"/>
              <w:right w:val="nil"/>
            </w:tcBorders>
          </w:tcPr>
          <w:p w:rsidR="000B1863" w:rsidRPr="006037BE" w:rsidRDefault="00D86A11" w:rsidP="006037BE">
            <w:pPr>
              <w:pStyle w:val="ColorfulList-Accent11"/>
              <w:ind w:left="0"/>
              <w:rPr>
                <w:rFonts w:eastAsia="Calibri"/>
                <w:b/>
                <w:color w:val="013161"/>
              </w:rPr>
            </w:pPr>
            <w:r>
              <w:rPr>
                <w:rFonts w:ascii="Perpetua" w:eastAsia="Calibri" w:hAnsi="Perpetua" w:cs="Arial"/>
                <w:b/>
                <w:bCs/>
                <w:color w:val="013161"/>
                <w:szCs w:val="22"/>
              </w:rPr>
              <w:t>Andrew Bolton</w:t>
            </w:r>
          </w:p>
          <w:p w:rsidR="000B1863" w:rsidRPr="006037BE" w:rsidRDefault="00D86A11" w:rsidP="006037BE">
            <w:pPr>
              <w:pStyle w:val="ColorfulList-Accent11"/>
              <w:ind w:left="0"/>
              <w:rPr>
                <w:rFonts w:eastAsia="Calibri"/>
                <w:b/>
                <w:color w:val="013161"/>
              </w:rPr>
            </w:pPr>
            <w:r>
              <w:rPr>
                <w:rFonts w:ascii="Perpetua" w:eastAsia="Calibri" w:hAnsi="Perpetua" w:cs="Arial"/>
                <w:b/>
                <w:bCs/>
                <w:color w:val="013161"/>
                <w:szCs w:val="22"/>
              </w:rPr>
              <w:t>Chris Carter</w:t>
            </w:r>
          </w:p>
        </w:tc>
      </w:tr>
      <w:tr w:rsidR="00D86A11"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California Department of Social Services (CDSS)</w:t>
            </w:r>
          </w:p>
        </w:tc>
        <w:tc>
          <w:tcPr>
            <w:tcW w:w="4680" w:type="dxa"/>
            <w:tcBorders>
              <w:top w:val="nil"/>
              <w:left w:val="nil"/>
              <w:bottom w:val="nil"/>
              <w:right w:val="nil"/>
            </w:tcBorders>
            <w:shd w:val="clear" w:color="auto" w:fill="DBE5F1"/>
          </w:tcPr>
          <w:p w:rsidR="000B1863" w:rsidRPr="006037BE" w:rsidRDefault="00D86A11" w:rsidP="006037BE">
            <w:pPr>
              <w:pStyle w:val="ColorfulList-Accent11"/>
              <w:ind w:left="0"/>
              <w:rPr>
                <w:rFonts w:eastAsia="Calibri"/>
                <w:b/>
                <w:color w:val="013161"/>
                <w:lang w:val="es-MX"/>
              </w:rPr>
            </w:pPr>
            <w:r>
              <w:rPr>
                <w:rFonts w:ascii="Perpetua" w:eastAsia="Calibri" w:hAnsi="Perpetua" w:cs="Arial"/>
                <w:b/>
                <w:bCs/>
                <w:color w:val="013161"/>
                <w:szCs w:val="22"/>
                <w:lang w:val="es-MX"/>
              </w:rPr>
              <w:t>Jacque Serrano</w:t>
            </w:r>
          </w:p>
          <w:p w:rsidR="000B1863" w:rsidRPr="006037BE" w:rsidRDefault="00D86A11" w:rsidP="006037BE">
            <w:pPr>
              <w:pStyle w:val="ColorfulList-Accent11"/>
              <w:ind w:left="0"/>
              <w:rPr>
                <w:rFonts w:eastAsia="Calibri"/>
                <w:b/>
                <w:color w:val="013161"/>
                <w:lang w:val="es-MX"/>
              </w:rPr>
            </w:pPr>
            <w:r>
              <w:rPr>
                <w:rFonts w:ascii="Perpetua" w:eastAsia="Calibri" w:hAnsi="Perpetua" w:cs="Arial"/>
                <w:b/>
                <w:bCs/>
                <w:color w:val="013161"/>
                <w:szCs w:val="22"/>
                <w:lang w:val="es-MX"/>
              </w:rPr>
              <w:t>Julie Cockerton</w:t>
            </w:r>
          </w:p>
          <w:p w:rsidR="000B1863" w:rsidRPr="006037BE" w:rsidRDefault="00D86A11" w:rsidP="006037BE">
            <w:pPr>
              <w:pStyle w:val="ColorfulList-Accent11"/>
              <w:ind w:left="0"/>
              <w:rPr>
                <w:rFonts w:eastAsia="Calibri"/>
                <w:b/>
                <w:color w:val="013161"/>
                <w:lang w:val="es-MX"/>
              </w:rPr>
            </w:pPr>
            <w:r>
              <w:rPr>
                <w:rFonts w:ascii="Perpetua" w:eastAsia="Calibri" w:hAnsi="Perpetua" w:cs="Arial"/>
                <w:b/>
                <w:bCs/>
                <w:color w:val="013161"/>
                <w:szCs w:val="22"/>
                <w:lang w:val="es-MX"/>
              </w:rPr>
              <w:t>Laura Smith</w:t>
            </w:r>
          </w:p>
          <w:p w:rsidR="000B1863" w:rsidRPr="006037BE" w:rsidRDefault="00D86A11" w:rsidP="006037BE">
            <w:pPr>
              <w:pStyle w:val="ColorfulList-Accent11"/>
              <w:ind w:left="0"/>
              <w:rPr>
                <w:rFonts w:eastAsia="Calibri"/>
                <w:b/>
                <w:color w:val="013161"/>
              </w:rPr>
            </w:pPr>
            <w:r>
              <w:rPr>
                <w:rFonts w:ascii="Perpetua" w:eastAsia="Calibri" w:hAnsi="Perpetua" w:cs="Arial"/>
                <w:b/>
                <w:bCs/>
                <w:color w:val="013161"/>
                <w:szCs w:val="22"/>
              </w:rPr>
              <w:t>Mary DeSouza</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Casey Family Programs</w:t>
            </w:r>
          </w:p>
        </w:tc>
        <w:tc>
          <w:tcPr>
            <w:tcW w:w="4680" w:type="dxa"/>
            <w:tcBorders>
              <w:top w:val="nil"/>
              <w:left w:val="nil"/>
              <w:bottom w:val="nil"/>
              <w:right w:val="nil"/>
            </w:tcBorders>
          </w:tcPr>
          <w:p w:rsidR="000B1863" w:rsidRPr="00A22BD8" w:rsidRDefault="00D86A11" w:rsidP="006037BE">
            <w:pPr>
              <w:pStyle w:val="ColorfulList-Accent11"/>
              <w:ind w:left="0"/>
              <w:rPr>
                <w:rFonts w:eastAsia="Calibri"/>
                <w:b/>
                <w:color w:val="013161"/>
              </w:rPr>
            </w:pPr>
            <w:r>
              <w:rPr>
                <w:rFonts w:ascii="Perpetua" w:eastAsia="Calibri" w:hAnsi="Perpetua" w:cs="Arial"/>
                <w:b/>
                <w:bCs/>
                <w:color w:val="013161"/>
                <w:szCs w:val="22"/>
              </w:rPr>
              <w:t>Jorge Cabrera</w:t>
            </w:r>
          </w:p>
          <w:p w:rsidR="000B1863" w:rsidRPr="00A22BD8" w:rsidRDefault="00D86A11" w:rsidP="006037BE">
            <w:pPr>
              <w:pStyle w:val="ColorfulList-Accent11"/>
              <w:ind w:left="0"/>
              <w:rPr>
                <w:rFonts w:eastAsia="Calibri"/>
                <w:b/>
                <w:color w:val="013161"/>
              </w:rPr>
            </w:pPr>
            <w:r>
              <w:rPr>
                <w:rFonts w:ascii="Perpetua" w:eastAsia="Calibri" w:hAnsi="Perpetua" w:cs="Arial"/>
                <w:b/>
                <w:bCs/>
                <w:color w:val="013161"/>
                <w:szCs w:val="22"/>
              </w:rPr>
              <w:t>Lisa Tange</w:t>
            </w:r>
          </w:p>
        </w:tc>
      </w:tr>
      <w:tr w:rsidR="00D86A11" w:rsidRPr="000A648C"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Child Welfare Services*</w:t>
            </w:r>
          </w:p>
        </w:tc>
        <w:tc>
          <w:tcPr>
            <w:tcW w:w="4680" w:type="dxa"/>
            <w:tcBorders>
              <w:top w:val="nil"/>
              <w:left w:val="nil"/>
              <w:bottom w:val="nil"/>
              <w:right w:val="nil"/>
            </w:tcBorders>
            <w:shd w:val="clear" w:color="auto" w:fill="DBE5F1"/>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Amanda Wyatt</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Ana Daugherty</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Belinda Christensen</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Carly Mahon</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Colleen Murray</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Corey Kissel</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Debra Zanders-Willis</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Diana Shreckengost</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Elaine Higgs</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Georgette Wilburn</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Jamaika King</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Jennifer Bransford-Koons</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Jessica Newmyer</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Joann Legaspi</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Johnna Ortiz-Gomez</w:t>
            </w:r>
          </w:p>
          <w:p w:rsidR="00D86A11" w:rsidRDefault="00D86A11">
            <w:pPr>
              <w:autoSpaceDE w:val="0"/>
              <w:autoSpaceDN w:val="0"/>
              <w:adjustRightInd w:val="0"/>
              <w:spacing w:after="0" w:line="240" w:lineRule="auto"/>
              <w:rPr>
                <w:rFonts w:eastAsia="Calibri" w:cs="Arial"/>
                <w:b/>
                <w:bCs/>
                <w:color w:val="013161"/>
                <w:sz w:val="20"/>
                <w:szCs w:val="22"/>
                <w:lang w:val="es-MX"/>
              </w:rPr>
            </w:pPr>
            <w:r>
              <w:rPr>
                <w:rFonts w:eastAsia="Calibri" w:cs="Arial"/>
                <w:b/>
                <w:bCs/>
                <w:color w:val="013161"/>
                <w:sz w:val="20"/>
                <w:szCs w:val="22"/>
                <w:lang w:val="es-MX"/>
              </w:rPr>
              <w:t>Jose Padilla</w:t>
            </w:r>
          </w:p>
          <w:p w:rsidR="00D86A11" w:rsidRDefault="00D86A11">
            <w:pPr>
              <w:autoSpaceDE w:val="0"/>
              <w:autoSpaceDN w:val="0"/>
              <w:adjustRightInd w:val="0"/>
              <w:spacing w:after="0" w:line="240" w:lineRule="auto"/>
              <w:rPr>
                <w:rFonts w:eastAsia="Calibri" w:cs="Arial"/>
                <w:b/>
                <w:bCs/>
                <w:color w:val="013161"/>
                <w:sz w:val="20"/>
                <w:szCs w:val="22"/>
                <w:lang w:val="es-MX"/>
              </w:rPr>
            </w:pPr>
            <w:r>
              <w:rPr>
                <w:rFonts w:eastAsia="Calibri" w:cs="Arial"/>
                <w:b/>
                <w:bCs/>
                <w:color w:val="013161"/>
                <w:sz w:val="20"/>
                <w:szCs w:val="22"/>
                <w:lang w:val="es-MX"/>
              </w:rPr>
              <w:t>Kevin Hauck</w:t>
            </w:r>
          </w:p>
          <w:p w:rsidR="00D86A11" w:rsidRDefault="00D86A11">
            <w:pPr>
              <w:autoSpaceDE w:val="0"/>
              <w:autoSpaceDN w:val="0"/>
              <w:adjustRightInd w:val="0"/>
              <w:spacing w:after="0" w:line="240" w:lineRule="auto"/>
              <w:rPr>
                <w:rFonts w:eastAsia="Calibri" w:cs="Arial"/>
                <w:b/>
                <w:bCs/>
                <w:color w:val="013161"/>
                <w:sz w:val="20"/>
                <w:szCs w:val="22"/>
                <w:lang w:val="es-MX"/>
              </w:rPr>
            </w:pPr>
            <w:r>
              <w:rPr>
                <w:rFonts w:eastAsia="Calibri" w:cs="Arial"/>
                <w:b/>
                <w:bCs/>
                <w:color w:val="013161"/>
                <w:sz w:val="20"/>
                <w:szCs w:val="22"/>
                <w:lang w:val="es-MX"/>
              </w:rPr>
              <w:t>Kim Giardina</w:t>
            </w:r>
          </w:p>
          <w:p w:rsidR="00D86A11" w:rsidRDefault="00D86A11">
            <w:pPr>
              <w:autoSpaceDE w:val="0"/>
              <w:autoSpaceDN w:val="0"/>
              <w:adjustRightInd w:val="0"/>
              <w:spacing w:after="0" w:line="240" w:lineRule="auto"/>
              <w:rPr>
                <w:rFonts w:eastAsia="Calibri" w:cs="Arial"/>
                <w:b/>
                <w:bCs/>
                <w:color w:val="013161"/>
                <w:sz w:val="20"/>
                <w:szCs w:val="22"/>
                <w:lang w:val="es-MX"/>
              </w:rPr>
            </w:pPr>
            <w:r>
              <w:rPr>
                <w:rFonts w:eastAsia="Calibri" w:cs="Arial"/>
                <w:b/>
                <w:bCs/>
                <w:color w:val="013161"/>
                <w:sz w:val="20"/>
                <w:szCs w:val="22"/>
                <w:lang w:val="es-MX"/>
              </w:rPr>
              <w:t>Kristin Niemann</w:t>
            </w:r>
          </w:p>
          <w:p w:rsidR="00D86A11" w:rsidRDefault="00D86A11">
            <w:pPr>
              <w:autoSpaceDE w:val="0"/>
              <w:autoSpaceDN w:val="0"/>
              <w:adjustRightInd w:val="0"/>
              <w:spacing w:after="0" w:line="240" w:lineRule="auto"/>
              <w:rPr>
                <w:rFonts w:eastAsia="Calibri" w:cs="Arial"/>
                <w:b/>
                <w:bCs/>
                <w:color w:val="013161"/>
                <w:sz w:val="20"/>
                <w:szCs w:val="22"/>
                <w:lang w:val="es-MX"/>
              </w:rPr>
            </w:pPr>
            <w:r>
              <w:rPr>
                <w:rFonts w:eastAsia="Calibri" w:cs="Arial"/>
                <w:b/>
                <w:bCs/>
                <w:color w:val="013161"/>
                <w:sz w:val="20"/>
                <w:szCs w:val="22"/>
                <w:lang w:val="es-MX"/>
              </w:rPr>
              <w:t>Lilian Nguyen</w:t>
            </w:r>
          </w:p>
          <w:p w:rsidR="00D86A11" w:rsidRDefault="00D86A11">
            <w:pPr>
              <w:autoSpaceDE w:val="0"/>
              <w:autoSpaceDN w:val="0"/>
              <w:adjustRightInd w:val="0"/>
              <w:spacing w:after="0" w:line="240" w:lineRule="auto"/>
              <w:rPr>
                <w:rFonts w:eastAsia="Calibri" w:cs="Arial"/>
                <w:b/>
                <w:bCs/>
                <w:color w:val="013161"/>
                <w:sz w:val="20"/>
                <w:szCs w:val="22"/>
                <w:lang w:val="es-MX"/>
              </w:rPr>
            </w:pPr>
            <w:r>
              <w:rPr>
                <w:rFonts w:eastAsia="Calibri" w:cs="Arial"/>
                <w:b/>
                <w:bCs/>
                <w:color w:val="013161"/>
                <w:sz w:val="20"/>
                <w:szCs w:val="22"/>
                <w:lang w:val="es-MX"/>
              </w:rPr>
              <w:t>Maria Szanto-Lindner</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Mary Winchester</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Mindy Neri</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Neda Rivera</w:t>
            </w:r>
          </w:p>
          <w:p w:rsidR="00D86A11" w:rsidRDefault="00D86A11">
            <w:pPr>
              <w:autoSpaceDE w:val="0"/>
              <w:autoSpaceDN w:val="0"/>
              <w:adjustRightInd w:val="0"/>
              <w:spacing w:after="0" w:line="240" w:lineRule="auto"/>
              <w:rPr>
                <w:rFonts w:eastAsia="Calibri" w:cs="Arial"/>
                <w:b/>
                <w:bCs/>
                <w:color w:val="013161"/>
                <w:sz w:val="20"/>
                <w:szCs w:val="22"/>
                <w:lang w:val="es-MX"/>
              </w:rPr>
            </w:pPr>
            <w:r>
              <w:rPr>
                <w:rFonts w:eastAsia="Calibri" w:cs="Arial"/>
                <w:b/>
                <w:bCs/>
                <w:color w:val="013161"/>
                <w:sz w:val="20"/>
                <w:szCs w:val="22"/>
                <w:lang w:val="es-MX"/>
              </w:rPr>
              <w:t>Sandra Moreno</w:t>
            </w:r>
          </w:p>
          <w:p w:rsidR="00D86A11" w:rsidRDefault="00D86A11">
            <w:pPr>
              <w:autoSpaceDE w:val="0"/>
              <w:autoSpaceDN w:val="0"/>
              <w:adjustRightInd w:val="0"/>
              <w:spacing w:after="0" w:line="240" w:lineRule="auto"/>
              <w:rPr>
                <w:rFonts w:eastAsia="Calibri" w:cs="Arial"/>
                <w:b/>
                <w:bCs/>
                <w:color w:val="013161"/>
                <w:sz w:val="20"/>
                <w:szCs w:val="22"/>
                <w:lang w:val="es-MX"/>
              </w:rPr>
            </w:pPr>
            <w:r>
              <w:rPr>
                <w:rFonts w:eastAsia="Calibri" w:cs="Arial"/>
                <w:b/>
                <w:bCs/>
                <w:color w:val="013161"/>
                <w:sz w:val="20"/>
                <w:szCs w:val="22"/>
                <w:lang w:val="es-MX"/>
              </w:rPr>
              <w:t>Suzanne Luangviseth</w:t>
            </w:r>
          </w:p>
          <w:p w:rsidR="00D86A11" w:rsidRDefault="00D86A11">
            <w:pPr>
              <w:autoSpaceDE w:val="0"/>
              <w:autoSpaceDN w:val="0"/>
              <w:adjustRightInd w:val="0"/>
              <w:spacing w:after="0" w:line="240" w:lineRule="auto"/>
              <w:rPr>
                <w:rFonts w:eastAsia="Calibri" w:cs="Arial"/>
                <w:b/>
                <w:bCs/>
                <w:color w:val="013161"/>
                <w:sz w:val="20"/>
                <w:szCs w:val="22"/>
                <w:lang w:val="es-MX"/>
              </w:rPr>
            </w:pPr>
            <w:r>
              <w:rPr>
                <w:rFonts w:eastAsia="Calibri" w:cs="Arial"/>
                <w:b/>
                <w:bCs/>
                <w:color w:val="013161"/>
                <w:sz w:val="20"/>
                <w:szCs w:val="22"/>
                <w:lang w:val="es-MX"/>
              </w:rPr>
              <w:lastRenderedPageBreak/>
              <w:t>Veronica Manglona</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Community Stakeholder</w:t>
            </w:r>
          </w:p>
        </w:tc>
        <w:tc>
          <w:tcPr>
            <w:tcW w:w="4680" w:type="dxa"/>
            <w:tcBorders>
              <w:top w:val="nil"/>
              <w:left w:val="nil"/>
              <w:bottom w:val="nil"/>
              <w:right w:val="nil"/>
            </w:tcBorders>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Pat Bevelyn</w:t>
            </w:r>
          </w:p>
        </w:tc>
      </w:tr>
      <w:tr w:rsidR="00D86A11"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County Counsel</w:t>
            </w:r>
          </w:p>
        </w:tc>
        <w:tc>
          <w:tcPr>
            <w:tcW w:w="4680" w:type="dxa"/>
            <w:tcBorders>
              <w:top w:val="nil"/>
              <w:left w:val="nil"/>
              <w:bottom w:val="nil"/>
              <w:right w:val="nil"/>
            </w:tcBorders>
            <w:shd w:val="clear" w:color="auto" w:fill="DBE5F1"/>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John Philips</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Cultural Brokers</w:t>
            </w:r>
          </w:p>
        </w:tc>
        <w:tc>
          <w:tcPr>
            <w:tcW w:w="4680" w:type="dxa"/>
            <w:tcBorders>
              <w:top w:val="nil"/>
              <w:left w:val="nil"/>
              <w:bottom w:val="nil"/>
              <w:right w:val="nil"/>
            </w:tcBorders>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Marilyn English</w:t>
            </w:r>
          </w:p>
        </w:tc>
      </w:tr>
      <w:tr w:rsidR="00D86A11"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Dependency Legal Group (DLG)</w:t>
            </w:r>
          </w:p>
        </w:tc>
        <w:tc>
          <w:tcPr>
            <w:tcW w:w="4680" w:type="dxa"/>
            <w:tcBorders>
              <w:top w:val="nil"/>
              <w:left w:val="nil"/>
              <w:bottom w:val="nil"/>
              <w:right w:val="nil"/>
            </w:tcBorders>
            <w:shd w:val="clear" w:color="auto" w:fill="DBE5F1"/>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Kevin Lemieux</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District Attorney’s Office</w:t>
            </w:r>
          </w:p>
        </w:tc>
        <w:tc>
          <w:tcPr>
            <w:tcW w:w="4680" w:type="dxa"/>
            <w:tcBorders>
              <w:top w:val="nil"/>
              <w:left w:val="nil"/>
              <w:bottom w:val="nil"/>
              <w:right w:val="nil"/>
            </w:tcBorders>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Lisa Weinreb</w:t>
            </w:r>
          </w:p>
        </w:tc>
      </w:tr>
      <w:tr w:rsidR="00D86A11"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Family and Youth Roundtable</w:t>
            </w:r>
          </w:p>
        </w:tc>
        <w:tc>
          <w:tcPr>
            <w:tcW w:w="4680" w:type="dxa"/>
            <w:tcBorders>
              <w:top w:val="nil"/>
              <w:left w:val="nil"/>
              <w:bottom w:val="nil"/>
              <w:right w:val="nil"/>
            </w:tcBorders>
            <w:shd w:val="clear" w:color="auto" w:fill="DBE5F1"/>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Donna Marto</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Home Start, Inc.</w:t>
            </w:r>
          </w:p>
        </w:tc>
        <w:tc>
          <w:tcPr>
            <w:tcW w:w="4680" w:type="dxa"/>
            <w:tcBorders>
              <w:top w:val="nil"/>
              <w:left w:val="nil"/>
              <w:bottom w:val="nil"/>
              <w:right w:val="nil"/>
            </w:tcBorders>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Helen Hollis</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Joyce Dickau</w:t>
            </w:r>
          </w:p>
        </w:tc>
      </w:tr>
      <w:tr w:rsidR="00D86A11"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Housing and Community Development</w:t>
            </w:r>
          </w:p>
        </w:tc>
        <w:tc>
          <w:tcPr>
            <w:tcW w:w="4680" w:type="dxa"/>
            <w:tcBorders>
              <w:top w:val="nil"/>
              <w:left w:val="nil"/>
              <w:bottom w:val="nil"/>
              <w:right w:val="nil"/>
            </w:tcBorders>
            <w:shd w:val="clear" w:color="auto" w:fill="DBE5F1"/>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Megan O’Dowd</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Juvenile Court</w:t>
            </w:r>
          </w:p>
        </w:tc>
        <w:tc>
          <w:tcPr>
            <w:tcW w:w="4680" w:type="dxa"/>
            <w:tcBorders>
              <w:top w:val="nil"/>
              <w:left w:val="nil"/>
              <w:bottom w:val="nil"/>
              <w:right w:val="nil"/>
            </w:tcBorders>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Beth Brown</w:t>
            </w:r>
          </w:p>
        </w:tc>
      </w:tr>
      <w:tr w:rsidR="00D86A11"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Juvenile Probation*</w:t>
            </w:r>
          </w:p>
        </w:tc>
        <w:tc>
          <w:tcPr>
            <w:tcW w:w="4680" w:type="dxa"/>
            <w:tcBorders>
              <w:top w:val="nil"/>
              <w:left w:val="nil"/>
              <w:bottom w:val="nil"/>
              <w:right w:val="nil"/>
            </w:tcBorders>
            <w:shd w:val="clear" w:color="auto" w:fill="DBE5F1"/>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Aimee Brant</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Frank Andrade</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Jessica Medina</w:t>
            </w:r>
          </w:p>
          <w:p w:rsidR="00D86A11" w:rsidRDefault="00D86A11">
            <w:pPr>
              <w:autoSpaceDE w:val="0"/>
              <w:autoSpaceDN w:val="0"/>
              <w:adjustRightInd w:val="0"/>
              <w:spacing w:after="0" w:line="240" w:lineRule="auto"/>
              <w:rPr>
                <w:rFonts w:eastAsia="Calibri" w:cs="Arial"/>
                <w:b/>
                <w:bCs/>
                <w:color w:val="013161"/>
                <w:sz w:val="20"/>
                <w:szCs w:val="22"/>
                <w:lang w:val="es-MX"/>
              </w:rPr>
            </w:pPr>
            <w:r>
              <w:rPr>
                <w:rFonts w:eastAsia="Calibri" w:cs="Arial"/>
                <w:b/>
                <w:bCs/>
                <w:color w:val="013161"/>
                <w:sz w:val="20"/>
                <w:szCs w:val="22"/>
                <w:lang w:val="es-MX"/>
              </w:rPr>
              <w:t>Jorge Aguilar</w:t>
            </w:r>
          </w:p>
          <w:p w:rsidR="00D86A11" w:rsidRDefault="00D86A11">
            <w:pPr>
              <w:autoSpaceDE w:val="0"/>
              <w:autoSpaceDN w:val="0"/>
              <w:adjustRightInd w:val="0"/>
              <w:spacing w:after="0" w:line="240" w:lineRule="auto"/>
              <w:rPr>
                <w:rFonts w:eastAsia="Calibri" w:cs="Arial"/>
                <w:b/>
                <w:bCs/>
                <w:color w:val="013161"/>
                <w:sz w:val="20"/>
                <w:szCs w:val="22"/>
                <w:lang w:val="es-MX"/>
              </w:rPr>
            </w:pPr>
            <w:r>
              <w:rPr>
                <w:rFonts w:eastAsia="Calibri" w:cs="Arial"/>
                <w:b/>
                <w:bCs/>
                <w:color w:val="013161"/>
                <w:sz w:val="20"/>
                <w:szCs w:val="22"/>
                <w:lang w:val="es-MX"/>
              </w:rPr>
              <w:t>Lisa Sawin</w:t>
            </w:r>
          </w:p>
          <w:p w:rsidR="00D86A11" w:rsidRDefault="00D86A11">
            <w:pPr>
              <w:autoSpaceDE w:val="0"/>
              <w:autoSpaceDN w:val="0"/>
              <w:adjustRightInd w:val="0"/>
              <w:spacing w:after="0" w:line="240" w:lineRule="auto"/>
              <w:rPr>
                <w:rFonts w:eastAsia="Calibri" w:cs="Arial"/>
                <w:b/>
                <w:bCs/>
                <w:color w:val="013161"/>
                <w:sz w:val="20"/>
                <w:szCs w:val="22"/>
                <w:lang w:val="es-MX"/>
              </w:rPr>
            </w:pPr>
            <w:r>
              <w:rPr>
                <w:rFonts w:eastAsia="Calibri" w:cs="Arial"/>
                <w:b/>
                <w:bCs/>
                <w:color w:val="013161"/>
                <w:sz w:val="20"/>
                <w:szCs w:val="22"/>
                <w:lang w:val="es-MX"/>
              </w:rPr>
              <w:t>Lorraine Fernandez</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Pablo Carrillo</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Yvette Klepin</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North County Lifeline</w:t>
            </w:r>
          </w:p>
        </w:tc>
        <w:tc>
          <w:tcPr>
            <w:tcW w:w="4680" w:type="dxa"/>
            <w:tcBorders>
              <w:top w:val="nil"/>
              <w:left w:val="nil"/>
              <w:bottom w:val="nil"/>
              <w:right w:val="nil"/>
            </w:tcBorders>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Claudia Martinez</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John Laidlaw</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Whitney Youde</w:t>
            </w:r>
          </w:p>
        </w:tc>
      </w:tr>
      <w:tr w:rsidR="00D86A11"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(POPS)</w:t>
            </w:r>
          </w:p>
        </w:tc>
        <w:tc>
          <w:tcPr>
            <w:tcW w:w="4680" w:type="dxa"/>
            <w:tcBorders>
              <w:top w:val="nil"/>
              <w:left w:val="nil"/>
              <w:bottom w:val="nil"/>
              <w:right w:val="nil"/>
            </w:tcBorders>
            <w:shd w:val="clear" w:color="auto" w:fill="DBE5F1"/>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Michael Huesca</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Public Defender’s Office</w:t>
            </w:r>
          </w:p>
        </w:tc>
        <w:tc>
          <w:tcPr>
            <w:tcW w:w="4680" w:type="dxa"/>
            <w:tcBorders>
              <w:top w:val="nil"/>
              <w:left w:val="nil"/>
              <w:bottom w:val="nil"/>
              <w:right w:val="nil"/>
            </w:tcBorders>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Jeanette Day</w:t>
            </w:r>
          </w:p>
        </w:tc>
      </w:tr>
      <w:tr w:rsidR="00D86A11"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Public Health Services</w:t>
            </w:r>
          </w:p>
        </w:tc>
        <w:tc>
          <w:tcPr>
            <w:tcW w:w="4680" w:type="dxa"/>
            <w:tcBorders>
              <w:top w:val="nil"/>
              <w:left w:val="nil"/>
              <w:bottom w:val="nil"/>
              <w:right w:val="nil"/>
            </w:tcBorders>
            <w:shd w:val="clear" w:color="auto" w:fill="DBE5F1"/>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Claire Lynch-Dwight</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Resource Family*</w:t>
            </w:r>
          </w:p>
        </w:tc>
        <w:tc>
          <w:tcPr>
            <w:tcW w:w="4680" w:type="dxa"/>
            <w:tcBorders>
              <w:top w:val="nil"/>
              <w:left w:val="nil"/>
              <w:bottom w:val="nil"/>
              <w:right w:val="nil"/>
            </w:tcBorders>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Briana Bearce</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Debbie Stolz</w:t>
            </w:r>
          </w:p>
        </w:tc>
      </w:tr>
      <w:tr w:rsidR="00D86A11"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San Diego County Office of Education</w:t>
            </w:r>
          </w:p>
        </w:tc>
        <w:tc>
          <w:tcPr>
            <w:tcW w:w="4680" w:type="dxa"/>
            <w:tcBorders>
              <w:top w:val="nil"/>
              <w:left w:val="nil"/>
              <w:bottom w:val="nil"/>
              <w:right w:val="nil"/>
            </w:tcBorders>
            <w:shd w:val="clear" w:color="auto" w:fill="DBE5F1"/>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Mindy Kukich</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Norma Chanudomchok</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San Diego Foster Family Association</w:t>
            </w:r>
          </w:p>
        </w:tc>
        <w:tc>
          <w:tcPr>
            <w:tcW w:w="4680" w:type="dxa"/>
            <w:tcBorders>
              <w:top w:val="nil"/>
              <w:left w:val="nil"/>
              <w:bottom w:val="nil"/>
              <w:right w:val="nil"/>
            </w:tcBorders>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Mary Ann Paschal</w:t>
            </w:r>
          </w:p>
        </w:tc>
      </w:tr>
      <w:tr w:rsidR="00D86A11"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San Diego Police Department</w:t>
            </w:r>
          </w:p>
        </w:tc>
        <w:tc>
          <w:tcPr>
            <w:tcW w:w="4680" w:type="dxa"/>
            <w:tcBorders>
              <w:top w:val="nil"/>
              <w:left w:val="nil"/>
              <w:bottom w:val="nil"/>
              <w:right w:val="nil"/>
            </w:tcBorders>
            <w:shd w:val="clear" w:color="auto" w:fill="DBE5F1"/>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Chris Cameron</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Tu Nguyen</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San Diego Regional Center</w:t>
            </w:r>
          </w:p>
        </w:tc>
        <w:tc>
          <w:tcPr>
            <w:tcW w:w="4680" w:type="dxa"/>
            <w:tcBorders>
              <w:top w:val="nil"/>
              <w:left w:val="nil"/>
              <w:bottom w:val="nil"/>
              <w:right w:val="nil"/>
            </w:tcBorders>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Joeann Randall</w:t>
            </w:r>
          </w:p>
        </w:tc>
      </w:tr>
      <w:tr w:rsidR="00D86A11"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San Diego Sheriff’s Department</w:t>
            </w:r>
          </w:p>
        </w:tc>
        <w:tc>
          <w:tcPr>
            <w:tcW w:w="4680" w:type="dxa"/>
            <w:tcBorders>
              <w:top w:val="nil"/>
              <w:left w:val="nil"/>
              <w:bottom w:val="nil"/>
              <w:right w:val="nil"/>
            </w:tcBorders>
            <w:shd w:val="clear" w:color="auto" w:fill="DBE5F1"/>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Christina Bavencoff</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Fred Magana</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San Diego Youth Services</w:t>
            </w:r>
          </w:p>
        </w:tc>
        <w:tc>
          <w:tcPr>
            <w:tcW w:w="4680" w:type="dxa"/>
            <w:tcBorders>
              <w:top w:val="nil"/>
              <w:left w:val="nil"/>
              <w:bottom w:val="nil"/>
              <w:right w:val="nil"/>
            </w:tcBorders>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Ilene Tibbitts</w:t>
            </w:r>
          </w:p>
        </w:tc>
      </w:tr>
      <w:tr w:rsidR="00D86A11"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Seventh Generation (Tribal group)*</w:t>
            </w:r>
          </w:p>
        </w:tc>
        <w:tc>
          <w:tcPr>
            <w:tcW w:w="4680" w:type="dxa"/>
            <w:tcBorders>
              <w:top w:val="nil"/>
              <w:left w:val="nil"/>
              <w:bottom w:val="nil"/>
              <w:right w:val="nil"/>
            </w:tcBorders>
            <w:shd w:val="clear" w:color="auto" w:fill="DBE5F1"/>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Karen Kolb (Indian Health Services)</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Season Brown (Pala)</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Social Advocates for Youth (SAY) San Diego</w:t>
            </w:r>
          </w:p>
        </w:tc>
        <w:tc>
          <w:tcPr>
            <w:tcW w:w="4680" w:type="dxa"/>
            <w:tcBorders>
              <w:top w:val="nil"/>
              <w:left w:val="nil"/>
              <w:bottom w:val="nil"/>
              <w:right w:val="nil"/>
            </w:tcBorders>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Diana Venegas</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Shannon Throop</w:t>
            </w:r>
          </w:p>
        </w:tc>
      </w:tr>
      <w:tr w:rsidR="00D86A11"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South Bay Community Services</w:t>
            </w:r>
          </w:p>
        </w:tc>
        <w:tc>
          <w:tcPr>
            <w:tcW w:w="4680" w:type="dxa"/>
            <w:tcBorders>
              <w:top w:val="nil"/>
              <w:left w:val="nil"/>
              <w:bottom w:val="nil"/>
              <w:right w:val="nil"/>
            </w:tcBorders>
            <w:shd w:val="clear" w:color="auto" w:fill="DBE5F1"/>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Marina Armas</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Valerie Brew</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Tribal Star/PCWTA</w:t>
            </w:r>
          </w:p>
        </w:tc>
        <w:tc>
          <w:tcPr>
            <w:tcW w:w="4680" w:type="dxa"/>
            <w:tcBorders>
              <w:top w:val="nil"/>
              <w:left w:val="nil"/>
              <w:bottom w:val="nil"/>
              <w:right w:val="nil"/>
            </w:tcBorders>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Tom Lidot</w:t>
            </w:r>
          </w:p>
        </w:tc>
      </w:tr>
      <w:tr w:rsidR="00D86A11" w:rsidTr="006037BE">
        <w:tc>
          <w:tcPr>
            <w:tcW w:w="4770" w:type="dxa"/>
            <w:tcBorders>
              <w:top w:val="nil"/>
              <w:left w:val="nil"/>
              <w:bottom w:val="nil"/>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Vista Hill Foundation</w:t>
            </w:r>
          </w:p>
        </w:tc>
        <w:tc>
          <w:tcPr>
            <w:tcW w:w="4680" w:type="dxa"/>
            <w:tcBorders>
              <w:top w:val="nil"/>
              <w:left w:val="nil"/>
              <w:bottom w:val="nil"/>
              <w:right w:val="nil"/>
            </w:tcBorders>
            <w:shd w:val="clear" w:color="auto" w:fill="DBE5F1"/>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Angela Rowe</w:t>
            </w:r>
          </w:p>
        </w:tc>
      </w:tr>
      <w:tr w:rsidR="00D86A11" w:rsidTr="006037BE">
        <w:tc>
          <w:tcPr>
            <w:tcW w:w="4770" w:type="dxa"/>
            <w:tcBorders>
              <w:top w:val="nil"/>
              <w:left w:val="nil"/>
              <w:bottom w:val="nil"/>
              <w:right w:val="nil"/>
            </w:tcBorders>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Voices for Children</w:t>
            </w:r>
          </w:p>
        </w:tc>
        <w:tc>
          <w:tcPr>
            <w:tcW w:w="4680" w:type="dxa"/>
            <w:tcBorders>
              <w:top w:val="nil"/>
              <w:left w:val="nil"/>
              <w:bottom w:val="nil"/>
              <w:right w:val="nil"/>
            </w:tcBorders>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Kristen Balelo</w:t>
            </w:r>
          </w:p>
        </w:tc>
      </w:tr>
      <w:tr w:rsidR="00D86A11" w:rsidTr="006037BE">
        <w:tc>
          <w:tcPr>
            <w:tcW w:w="4770" w:type="dxa"/>
            <w:tcBorders>
              <w:top w:val="nil"/>
              <w:left w:val="nil"/>
              <w:bottom w:val="single" w:sz="18" w:space="0" w:color="F6872B"/>
              <w:right w:val="nil"/>
            </w:tcBorders>
            <w:shd w:val="clear" w:color="auto" w:fill="DBE5F1"/>
            <w:vAlign w:val="center"/>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YMCA</w:t>
            </w:r>
          </w:p>
        </w:tc>
        <w:tc>
          <w:tcPr>
            <w:tcW w:w="4680" w:type="dxa"/>
            <w:tcBorders>
              <w:top w:val="nil"/>
              <w:left w:val="nil"/>
              <w:bottom w:val="single" w:sz="18" w:space="0" w:color="F6872B"/>
              <w:right w:val="nil"/>
            </w:tcBorders>
            <w:shd w:val="clear" w:color="auto" w:fill="DBE5F1"/>
          </w:tcPr>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Danielle Zuniga</w:t>
            </w:r>
          </w:p>
          <w:p w:rsidR="00D86A11" w:rsidRDefault="00D86A11">
            <w:pPr>
              <w:autoSpaceDE w:val="0"/>
              <w:autoSpaceDN w:val="0"/>
              <w:adjustRightInd w:val="0"/>
              <w:spacing w:after="0" w:line="240" w:lineRule="auto"/>
              <w:rPr>
                <w:rFonts w:eastAsia="Calibri" w:cs="Arial"/>
                <w:b/>
                <w:bCs/>
                <w:color w:val="013161"/>
                <w:sz w:val="20"/>
                <w:szCs w:val="22"/>
              </w:rPr>
            </w:pPr>
            <w:r>
              <w:rPr>
                <w:rFonts w:eastAsia="Calibri" w:cs="Arial"/>
                <w:b/>
                <w:bCs/>
                <w:color w:val="013161"/>
                <w:sz w:val="20"/>
                <w:szCs w:val="22"/>
              </w:rPr>
              <w:t>Kim Morgan</w:t>
            </w:r>
          </w:p>
        </w:tc>
      </w:tr>
    </w:tbl>
    <w:p w:rsidR="00D86A11" w:rsidRDefault="00D86A11" w:rsidP="00D86A11">
      <w:r>
        <w:t>* Indicates required stakeholders</w:t>
      </w:r>
    </w:p>
    <w:p w:rsidR="00D86A11" w:rsidRDefault="00D86A11" w:rsidP="00D86A11"/>
    <w:p w:rsidR="00D86A11" w:rsidRDefault="00D86A11" w:rsidP="00D86A11">
      <w:pPr>
        <w:pStyle w:val="Heading2"/>
        <w:rPr>
          <w:rFonts w:ascii="Perpetua" w:hAnsi="Perpetua"/>
          <w:color w:val="013161"/>
        </w:rPr>
      </w:pPr>
      <w:r>
        <w:rPr>
          <w:b w:val="0"/>
        </w:rPr>
        <w:br w:type="page"/>
      </w:r>
      <w:r>
        <w:rPr>
          <w:rFonts w:ascii="Perpetua" w:hAnsi="Perpetua"/>
          <w:color w:val="013161"/>
          <w:sz w:val="28"/>
          <w:szCs w:val="32"/>
        </w:rPr>
        <w:lastRenderedPageBreak/>
        <w:t>Appendix E: Stakeholder Survey</w:t>
      </w:r>
    </w:p>
    <w:p w:rsidR="00D86A11" w:rsidRDefault="00D86A11" w:rsidP="00D86A11"/>
    <w:p w:rsidR="00D86A11" w:rsidRDefault="00D86A11" w:rsidP="00D86A11">
      <w:pPr>
        <w:rPr>
          <w:b/>
          <w:sz w:val="28"/>
        </w:rPr>
      </w:pPr>
      <w:r>
        <w:rPr>
          <w:b/>
          <w:sz w:val="28"/>
        </w:rPr>
        <w:t>About you</w:t>
      </w:r>
    </w:p>
    <w:p w:rsidR="00D86A11" w:rsidRDefault="00D86A11" w:rsidP="00D86A11">
      <w:pPr>
        <w:pStyle w:val="BodyTextIndent3"/>
        <w:numPr>
          <w:ilvl w:val="0"/>
          <w:numId w:val="19"/>
        </w:numPr>
        <w:spacing w:after="0" w:line="240" w:lineRule="auto"/>
        <w:ind w:left="0" w:firstLine="0"/>
        <w:rPr>
          <w:b/>
          <w:bCs/>
          <w:sz w:val="22"/>
        </w:rPr>
      </w:pPr>
      <w:r>
        <w:rPr>
          <w:sz w:val="22"/>
        </w:rPr>
        <w:t>Please select a box below that best describes you?</w:t>
      </w:r>
    </w:p>
    <w:p w:rsidR="00D86A11" w:rsidRDefault="00D86A11" w:rsidP="00D86A11">
      <w:pPr>
        <w:spacing w:after="0" w:line="240" w:lineRule="auto"/>
        <w:ind w:firstLine="360"/>
      </w:pPr>
      <w:r>
        <w:sym w:font="Wingdings" w:char="F0A6"/>
      </w:r>
      <w:r>
        <w:t xml:space="preserve"> Community Based Agency </w:t>
      </w:r>
      <w:r>
        <w:tab/>
      </w:r>
      <w:r>
        <w:tab/>
      </w:r>
      <w:r>
        <w:sym w:font="Wingdings" w:char="F0A6"/>
      </w:r>
      <w:r>
        <w:t>Attorney (Parent or Child)</w:t>
      </w:r>
      <w:r>
        <w:tab/>
      </w:r>
    </w:p>
    <w:p w:rsidR="00D86A11" w:rsidRDefault="00D86A11" w:rsidP="00D86A11">
      <w:pPr>
        <w:spacing w:after="0" w:line="240" w:lineRule="auto"/>
        <w:ind w:firstLine="360"/>
      </w:pPr>
      <w:r>
        <w:sym w:font="Wingdings" w:char="F0A6"/>
      </w:r>
      <w:r>
        <w:t xml:space="preserve"> CWS Social Worker/Supervisor/Mgr</w:t>
      </w:r>
      <w:r>
        <w:tab/>
      </w:r>
      <w:r>
        <w:sym w:font="Wingdings" w:char="F0A6"/>
      </w:r>
      <w:r>
        <w:t xml:space="preserve"> Law Enforcement</w:t>
      </w:r>
    </w:p>
    <w:p w:rsidR="00D86A11" w:rsidRDefault="00D86A11" w:rsidP="00D86A11">
      <w:pPr>
        <w:spacing w:after="0" w:line="240" w:lineRule="auto"/>
        <w:ind w:firstLine="360"/>
      </w:pPr>
      <w:r>
        <w:sym w:font="Wingdings" w:char="F0A6"/>
      </w:r>
      <w:r>
        <w:t xml:space="preserve"> Probation Officer/Supervisor/Mgr</w:t>
      </w:r>
      <w:r>
        <w:tab/>
      </w:r>
      <w:r>
        <w:sym w:font="Wingdings" w:char="F0A6"/>
      </w:r>
      <w:r>
        <w:t xml:space="preserve"> Resource Family</w:t>
      </w:r>
      <w:r>
        <w:tab/>
      </w:r>
      <w:r>
        <w:tab/>
      </w:r>
    </w:p>
    <w:p w:rsidR="00D86A11" w:rsidRDefault="00D86A11" w:rsidP="00D86A11">
      <w:pPr>
        <w:spacing w:after="0" w:line="240" w:lineRule="auto"/>
        <w:ind w:firstLine="360"/>
      </w:pPr>
      <w:r>
        <w:sym w:font="Wingdings" w:char="F0A6"/>
      </w:r>
      <w:r>
        <w:t xml:space="preserve"> Juvenile Court Personnel</w:t>
      </w:r>
      <w:r>
        <w:tab/>
      </w:r>
      <w:r>
        <w:tab/>
      </w:r>
      <w:r>
        <w:tab/>
      </w:r>
      <w:r>
        <w:sym w:font="Wingdings" w:char="F0A6"/>
      </w:r>
      <w:r>
        <w:t xml:space="preserve"> County Counsel</w:t>
      </w:r>
    </w:p>
    <w:p w:rsidR="00D86A11" w:rsidRDefault="00D86A11" w:rsidP="00D86A11">
      <w:pPr>
        <w:spacing w:after="0" w:line="240" w:lineRule="auto"/>
        <w:ind w:firstLine="360"/>
      </w:pPr>
      <w:r>
        <w:sym w:font="Wingdings" w:char="F0A6"/>
      </w:r>
      <w:r>
        <w:t xml:space="preserve"> County Department</w:t>
      </w:r>
      <w:r>
        <w:tab/>
      </w:r>
      <w:r>
        <w:tab/>
      </w:r>
      <w:r>
        <w:tab/>
      </w:r>
      <w:r>
        <w:sym w:font="Wingdings" w:char="F0A6"/>
      </w:r>
      <w:r>
        <w:t xml:space="preserve"> Other: ______________________</w:t>
      </w:r>
    </w:p>
    <w:p w:rsidR="00D86A11" w:rsidRDefault="00D86A11" w:rsidP="00D86A11">
      <w:pPr>
        <w:spacing w:after="0" w:line="240" w:lineRule="auto"/>
        <w:ind w:firstLine="360"/>
      </w:pPr>
      <w:r>
        <w:sym w:font="Wingdings" w:char="F0A6"/>
      </w:r>
      <w:r>
        <w:t xml:space="preserve"> Education</w:t>
      </w:r>
    </w:p>
    <w:p w:rsidR="00D86A11" w:rsidRDefault="00D86A11" w:rsidP="00D86A11">
      <w:pPr>
        <w:spacing w:after="0" w:line="240" w:lineRule="auto"/>
      </w:pPr>
    </w:p>
    <w:p w:rsidR="00D86A11" w:rsidRDefault="00D86A11" w:rsidP="00D86A11">
      <w:pPr>
        <w:numPr>
          <w:ilvl w:val="0"/>
          <w:numId w:val="19"/>
        </w:numPr>
      </w:pPr>
      <w:r>
        <w:t>How long have you worked at your agency? ___ Years ____ Months</w:t>
      </w:r>
    </w:p>
    <w:p w:rsidR="00D86A11" w:rsidRDefault="00D86A11" w:rsidP="00D86A11">
      <w:pPr>
        <w:rPr>
          <w:b/>
          <w:sz w:val="28"/>
        </w:rPr>
      </w:pPr>
      <w:r>
        <w:rPr>
          <w:b/>
          <w:sz w:val="28"/>
        </w:rPr>
        <w:t>Overall Experience with Probation</w:t>
      </w:r>
    </w:p>
    <w:p w:rsidR="00D86A11" w:rsidRDefault="00D86A11" w:rsidP="00D86A11">
      <w:pPr>
        <w:numPr>
          <w:ilvl w:val="0"/>
          <w:numId w:val="19"/>
        </w:numPr>
        <w:spacing w:after="0" w:line="240" w:lineRule="auto"/>
      </w:pPr>
      <w:r>
        <w:t xml:space="preserve">If children do need to enter Probation foster care, what do you think are the </w:t>
      </w:r>
      <w:r>
        <w:rPr>
          <w:b/>
          <w:u w:val="single"/>
        </w:rPr>
        <w:t xml:space="preserve">3 most effective services </w:t>
      </w:r>
      <w:r>
        <w:t xml:space="preserve">that help families reunify within 12 month? (SELECT ONLY 3) </w:t>
      </w:r>
    </w:p>
    <w:p w:rsidR="00D86A11" w:rsidRDefault="00D86A11" w:rsidP="00D86A11">
      <w:pPr>
        <w:spacing w:after="0" w:line="240" w:lineRule="auto"/>
        <w:ind w:firstLine="360"/>
      </w:pPr>
      <w:r>
        <w:sym w:font="Wingdings" w:char="F0A6"/>
      </w:r>
      <w:r>
        <w:t xml:space="preserve"> In-home support/home visits </w:t>
      </w:r>
      <w:r>
        <w:tab/>
      </w:r>
      <w:r>
        <w:tab/>
      </w:r>
      <w:r>
        <w:sym w:font="Wingdings" w:char="F0A6"/>
      </w:r>
      <w:r>
        <w:t xml:space="preserve"> Probation case management practices</w:t>
      </w:r>
      <w:r>
        <w:tab/>
      </w:r>
    </w:p>
    <w:p w:rsidR="00D86A11" w:rsidRDefault="00D86A11" w:rsidP="00D86A11">
      <w:pPr>
        <w:spacing w:after="0" w:line="240" w:lineRule="auto"/>
        <w:ind w:firstLine="360"/>
      </w:pPr>
      <w:r>
        <w:sym w:font="Wingdings" w:char="F0A6"/>
      </w:r>
      <w:r>
        <w:t xml:space="preserve"> Parental education/support groups</w:t>
      </w:r>
      <w:r>
        <w:tab/>
      </w:r>
      <w:r>
        <w:sym w:font="Wingdings" w:char="F0A6"/>
      </w:r>
      <w:r>
        <w:t xml:space="preserve"> Job training &amp; assistance</w:t>
      </w:r>
    </w:p>
    <w:p w:rsidR="00D86A11" w:rsidRDefault="00D86A11" w:rsidP="00D86A11">
      <w:pPr>
        <w:spacing w:after="0" w:line="240" w:lineRule="auto"/>
        <w:ind w:firstLine="360"/>
      </w:pPr>
      <w:r>
        <w:sym w:font="Wingdings" w:char="F0A6"/>
      </w:r>
      <w:r>
        <w:t xml:space="preserve"> Wraparound services</w:t>
      </w:r>
      <w:r>
        <w:tab/>
      </w:r>
      <w:r>
        <w:tab/>
      </w:r>
      <w:r>
        <w:tab/>
      </w:r>
      <w:r>
        <w:sym w:font="Wingdings" w:char="F0A6"/>
      </w:r>
      <w:r>
        <w:t xml:space="preserve"> Assistance for stable housing</w:t>
      </w:r>
      <w:r>
        <w:tab/>
      </w:r>
      <w:r>
        <w:tab/>
      </w:r>
    </w:p>
    <w:p w:rsidR="00D86A11" w:rsidRDefault="00D86A11" w:rsidP="00D86A11">
      <w:pPr>
        <w:spacing w:after="0" w:line="240" w:lineRule="auto"/>
        <w:ind w:firstLine="360"/>
      </w:pPr>
      <w:r>
        <w:sym w:font="Wingdings" w:char="F0A6"/>
      </w:r>
      <w:r>
        <w:t xml:space="preserve"> Substance abuse programs/drug court</w:t>
      </w:r>
      <w:r>
        <w:tab/>
      </w:r>
      <w:r>
        <w:sym w:font="Wingdings" w:char="F0A6"/>
      </w:r>
      <w:r>
        <w:t xml:space="preserve"> Family Centered Meetings (e.g., TDM)</w:t>
      </w:r>
    </w:p>
    <w:p w:rsidR="00D86A11" w:rsidRDefault="00D86A11" w:rsidP="00D86A11">
      <w:pPr>
        <w:spacing w:after="0" w:line="240" w:lineRule="auto"/>
        <w:ind w:firstLine="360"/>
      </w:pPr>
      <w:r>
        <w:sym w:font="Wingdings" w:char="F0A6"/>
      </w:r>
      <w:r>
        <w:t xml:space="preserve"> Individual/family therapy/counseling</w:t>
      </w:r>
      <w:r>
        <w:tab/>
      </w:r>
      <w:r>
        <w:sym w:font="Wingdings" w:char="F0A6"/>
      </w:r>
      <w:r>
        <w:t xml:space="preserve"> Home passes/Trial period</w:t>
      </w:r>
    </w:p>
    <w:p w:rsidR="00D86A11" w:rsidRDefault="00D86A11" w:rsidP="00D86A11">
      <w:pPr>
        <w:spacing w:after="0" w:line="240" w:lineRule="auto"/>
        <w:ind w:firstLine="360"/>
      </w:pPr>
      <w:r>
        <w:sym w:font="Wingdings" w:char="F0A6"/>
      </w:r>
      <w:r>
        <w:t xml:space="preserve"> Parent child visitation</w:t>
      </w:r>
      <w:r>
        <w:tab/>
      </w:r>
      <w:r>
        <w:tab/>
      </w:r>
      <w:r>
        <w:tab/>
      </w:r>
      <w:r>
        <w:sym w:font="Wingdings" w:char="F0A6"/>
      </w:r>
      <w:r>
        <w:t xml:space="preserve"> Cool beds</w:t>
      </w:r>
    </w:p>
    <w:p w:rsidR="00D86A11" w:rsidRDefault="00D86A11" w:rsidP="00D86A11">
      <w:pPr>
        <w:spacing w:after="0" w:line="240" w:lineRule="auto"/>
        <w:ind w:firstLine="360"/>
      </w:pPr>
      <w:r>
        <w:sym w:font="Wingdings" w:char="F0A6"/>
      </w:r>
      <w:r>
        <w:t xml:space="preserve"> Domestic violence programs</w:t>
      </w:r>
      <w:r>
        <w:tab/>
      </w:r>
      <w:r>
        <w:tab/>
      </w:r>
      <w:r>
        <w:sym w:font="Wingdings" w:char="F0A6"/>
      </w:r>
      <w:r>
        <w:t xml:space="preserve"> Aftercare/Transitional Services</w:t>
      </w:r>
    </w:p>
    <w:p w:rsidR="00D86A11" w:rsidRDefault="00D86A11" w:rsidP="00D86A11">
      <w:pPr>
        <w:spacing w:after="0" w:line="240" w:lineRule="auto"/>
        <w:ind w:firstLine="360"/>
      </w:pPr>
      <w:r>
        <w:sym w:font="Wingdings" w:char="F0A6"/>
      </w:r>
      <w:r>
        <w:t xml:space="preserve"> School based programs</w:t>
      </w:r>
      <w:r>
        <w:tab/>
      </w:r>
      <w:r>
        <w:tab/>
      </w:r>
      <w:r>
        <w:tab/>
      </w:r>
      <w:r>
        <w:sym w:font="Wingdings" w:char="F0A6"/>
      </w:r>
      <w:r>
        <w:t xml:space="preserve"> No opinion</w:t>
      </w:r>
    </w:p>
    <w:p w:rsidR="00D86A11" w:rsidRDefault="00D86A11" w:rsidP="00D86A11">
      <w:pPr>
        <w:spacing w:after="0" w:line="240" w:lineRule="auto"/>
        <w:ind w:firstLine="360"/>
      </w:pPr>
      <w:r>
        <w:sym w:font="Wingdings" w:char="F0A6"/>
      </w:r>
      <w:r>
        <w:t xml:space="preserve"> Other (please specify): __________________________</w:t>
      </w:r>
    </w:p>
    <w:p w:rsidR="00D86A11" w:rsidRDefault="00D86A11" w:rsidP="00D86A11">
      <w:pPr>
        <w:spacing w:after="0" w:line="240" w:lineRule="auto"/>
      </w:pPr>
    </w:p>
    <w:p w:rsidR="00D86A11" w:rsidRDefault="00D86A11" w:rsidP="00D86A11">
      <w:pPr>
        <w:numPr>
          <w:ilvl w:val="0"/>
          <w:numId w:val="19"/>
        </w:numPr>
        <w:spacing w:after="0" w:line="240" w:lineRule="auto"/>
      </w:pPr>
      <w:r>
        <w:t>Which of the following do you think are the biggest barriers that delay permanency for children in probation? (SELECT UP TO 3)</w:t>
      </w:r>
    </w:p>
    <w:p w:rsidR="00D86A11" w:rsidRDefault="00D86A11" w:rsidP="00D86A11">
      <w:pPr>
        <w:spacing w:after="0" w:line="240" w:lineRule="auto"/>
        <w:ind w:firstLine="360"/>
      </w:pPr>
      <w:r>
        <w:sym w:font="Wingdings" w:char="F0A6"/>
      </w:r>
      <w:r>
        <w:t xml:space="preserve"> Excessive or ineffective case plan goals</w:t>
      </w:r>
      <w:r>
        <w:tab/>
      </w:r>
      <w:r>
        <w:sym w:font="Wingdings" w:char="F0A6"/>
      </w:r>
      <w:r>
        <w:t xml:space="preserve"> Wait list for services </w:t>
      </w:r>
      <w:r>
        <w:tab/>
      </w:r>
    </w:p>
    <w:p w:rsidR="00D86A11" w:rsidRDefault="00D86A11" w:rsidP="00D86A11">
      <w:pPr>
        <w:spacing w:after="0" w:line="240" w:lineRule="auto"/>
        <w:ind w:firstLine="360"/>
      </w:pPr>
      <w:r>
        <w:sym w:font="Wingdings" w:char="F0A6"/>
      </w:r>
      <w:r>
        <w:t xml:space="preserve"> Lack of parent engagement</w:t>
      </w:r>
      <w:r>
        <w:tab/>
      </w:r>
      <w:r>
        <w:tab/>
      </w:r>
      <w:r>
        <w:sym w:font="Wingdings" w:char="F0A6"/>
      </w:r>
      <w:r>
        <w:t xml:space="preserve"> Lack of financial resources</w:t>
      </w:r>
    </w:p>
    <w:p w:rsidR="00D86A11" w:rsidRDefault="00D86A11" w:rsidP="00D86A11">
      <w:pPr>
        <w:spacing w:after="0" w:line="240" w:lineRule="auto"/>
        <w:ind w:firstLine="360"/>
      </w:pPr>
      <w:r>
        <w:sym w:font="Wingdings" w:char="F0A6"/>
      </w:r>
      <w:r>
        <w:t xml:space="preserve"> Court process</w:t>
      </w:r>
      <w:r>
        <w:tab/>
      </w:r>
      <w:r>
        <w:tab/>
      </w:r>
      <w:r>
        <w:tab/>
      </w:r>
      <w:r>
        <w:tab/>
      </w:r>
      <w:r>
        <w:sym w:font="Wingdings" w:char="F0A6"/>
      </w:r>
      <w:r>
        <w:t xml:space="preserve"> Lack of social/family support</w:t>
      </w:r>
      <w:r>
        <w:tab/>
      </w:r>
    </w:p>
    <w:p w:rsidR="00D86A11" w:rsidRDefault="00D86A11" w:rsidP="00D86A11">
      <w:pPr>
        <w:spacing w:after="0" w:line="240" w:lineRule="auto"/>
        <w:ind w:firstLine="360"/>
      </w:pPr>
      <w:r>
        <w:sym w:font="Wingdings" w:char="F0A6"/>
      </w:r>
      <w:r>
        <w:t xml:space="preserve"> Probation case management practices</w:t>
      </w:r>
      <w:r>
        <w:tab/>
      </w:r>
      <w:r>
        <w:sym w:font="Wingdings" w:char="F0A6"/>
      </w:r>
      <w:r>
        <w:t xml:space="preserve"> Lack of understanding the system</w:t>
      </w:r>
    </w:p>
    <w:p w:rsidR="00D86A11" w:rsidRDefault="00D86A11" w:rsidP="00D86A11">
      <w:pPr>
        <w:spacing w:after="0" w:line="240" w:lineRule="auto"/>
        <w:ind w:firstLine="360"/>
      </w:pPr>
      <w:r>
        <w:sym w:font="Wingdings" w:char="F0A6"/>
      </w:r>
      <w:r>
        <w:t xml:space="preserve"> Parent’s limitations</w:t>
      </w:r>
      <w:r>
        <w:tab/>
      </w:r>
      <w:r>
        <w:tab/>
      </w:r>
      <w:r>
        <w:tab/>
      </w:r>
      <w:r>
        <w:sym w:font="Wingdings" w:char="F0A6"/>
      </w:r>
      <w:r>
        <w:t xml:space="preserve"> Lack of transportation</w:t>
      </w:r>
    </w:p>
    <w:p w:rsidR="00D86A11" w:rsidRDefault="00D86A11" w:rsidP="00D86A11">
      <w:pPr>
        <w:spacing w:after="0" w:line="240" w:lineRule="auto"/>
        <w:ind w:firstLine="360"/>
      </w:pPr>
      <w:r>
        <w:sym w:font="Wingdings" w:char="F0A6"/>
      </w:r>
      <w:r>
        <w:t xml:space="preserve"> Insufficient housing</w:t>
      </w:r>
      <w:r>
        <w:tab/>
      </w:r>
      <w:r>
        <w:tab/>
      </w:r>
      <w:r>
        <w:tab/>
      </w:r>
      <w:r>
        <w:sym w:font="Wingdings" w:char="F0A6"/>
      </w:r>
      <w:r>
        <w:t xml:space="preserve"> No opinion</w:t>
      </w:r>
    </w:p>
    <w:p w:rsidR="00D86A11" w:rsidRDefault="00D86A11" w:rsidP="00D86A11">
      <w:pPr>
        <w:spacing w:after="0" w:line="240" w:lineRule="auto"/>
        <w:ind w:firstLine="360"/>
      </w:pPr>
      <w:r>
        <w:sym w:font="Wingdings" w:char="F0A6"/>
      </w:r>
      <w:r>
        <w:t xml:space="preserve"> Other (please specify): __________________________</w:t>
      </w:r>
    </w:p>
    <w:p w:rsidR="00D86A11" w:rsidRDefault="00D86A11" w:rsidP="00D86A11">
      <w:pPr>
        <w:spacing w:after="0" w:line="240" w:lineRule="auto"/>
      </w:pPr>
    </w:p>
    <w:p w:rsidR="00D86A11" w:rsidRDefault="00D86A11" w:rsidP="00D86A11">
      <w:pPr>
        <w:numPr>
          <w:ilvl w:val="0"/>
          <w:numId w:val="19"/>
        </w:numPr>
        <w:spacing w:after="0" w:line="240" w:lineRule="auto"/>
      </w:pPr>
      <w:r>
        <w:t xml:space="preserve">Which do you think are the </w:t>
      </w:r>
      <w:r>
        <w:rPr>
          <w:b/>
          <w:u w:val="single"/>
        </w:rPr>
        <w:t>3 most effective services</w:t>
      </w:r>
      <w:r>
        <w:t xml:space="preserve"> that help children safely remain home with their families and not re-enter probation foster care? (SELECT ONLY 3)</w:t>
      </w:r>
    </w:p>
    <w:p w:rsidR="00D86A11" w:rsidRDefault="00D86A11" w:rsidP="00D86A11">
      <w:pPr>
        <w:spacing w:after="0" w:line="240" w:lineRule="auto"/>
        <w:ind w:firstLine="360"/>
      </w:pPr>
      <w:r>
        <w:sym w:font="Wingdings" w:char="F0A6"/>
      </w:r>
      <w:r>
        <w:t xml:space="preserve"> In-home support</w:t>
      </w:r>
      <w:r>
        <w:tab/>
      </w:r>
      <w:r>
        <w:tab/>
      </w:r>
      <w:r>
        <w:tab/>
      </w:r>
      <w:r>
        <w:tab/>
      </w:r>
      <w:r>
        <w:sym w:font="Wingdings" w:char="F0A6"/>
      </w:r>
      <w:r>
        <w:t xml:space="preserve"> Behavioral/mental health services</w:t>
      </w:r>
    </w:p>
    <w:p w:rsidR="00D86A11" w:rsidRDefault="00D86A11" w:rsidP="00D86A11">
      <w:pPr>
        <w:spacing w:after="0" w:line="240" w:lineRule="auto"/>
        <w:ind w:firstLine="360"/>
      </w:pPr>
      <w:r>
        <w:sym w:font="Wingdings" w:char="F0A6"/>
      </w:r>
      <w:r>
        <w:t xml:space="preserve"> Wraparound services</w:t>
      </w:r>
      <w:r>
        <w:tab/>
      </w:r>
      <w:r>
        <w:tab/>
      </w:r>
      <w:r>
        <w:tab/>
      </w:r>
      <w:r>
        <w:sym w:font="Wingdings" w:char="F0A6"/>
      </w:r>
      <w:r>
        <w:t xml:space="preserve"> Supportive educational setting</w:t>
      </w:r>
    </w:p>
    <w:p w:rsidR="00D86A11" w:rsidRDefault="00D86A11" w:rsidP="00D86A11">
      <w:pPr>
        <w:spacing w:after="0" w:line="240" w:lineRule="auto"/>
        <w:ind w:firstLine="360"/>
      </w:pPr>
      <w:r>
        <w:sym w:font="Wingdings" w:char="F0A6"/>
      </w:r>
      <w:r>
        <w:t xml:space="preserve"> Child Care</w:t>
      </w:r>
      <w:r>
        <w:tab/>
      </w:r>
      <w:r>
        <w:tab/>
      </w:r>
      <w:r>
        <w:tab/>
      </w:r>
      <w:r>
        <w:tab/>
      </w:r>
      <w:r>
        <w:sym w:font="Wingdings" w:char="F0A6"/>
      </w:r>
      <w:r>
        <w:t xml:space="preserve"> Financial Resources</w:t>
      </w:r>
      <w:r>
        <w:tab/>
      </w:r>
    </w:p>
    <w:p w:rsidR="00D86A11" w:rsidRDefault="00D86A11" w:rsidP="00D86A11">
      <w:pPr>
        <w:spacing w:after="0" w:line="240" w:lineRule="auto"/>
        <w:ind w:firstLine="360"/>
      </w:pPr>
      <w:r>
        <w:sym w:font="Wingdings" w:char="F0A6"/>
      </w:r>
      <w:r>
        <w:t xml:space="preserve"> Recreational activities</w:t>
      </w:r>
      <w:r>
        <w:tab/>
      </w:r>
      <w:r>
        <w:tab/>
      </w:r>
      <w:r>
        <w:tab/>
      </w:r>
      <w:r>
        <w:sym w:font="Wingdings" w:char="F0A6"/>
      </w:r>
      <w:r>
        <w:t xml:space="preserve"> No opinion</w:t>
      </w:r>
    </w:p>
    <w:p w:rsidR="00D86A11" w:rsidRDefault="00D86A11" w:rsidP="00D86A11">
      <w:pPr>
        <w:spacing w:after="0" w:line="240" w:lineRule="auto"/>
        <w:ind w:firstLine="360"/>
      </w:pPr>
      <w:r>
        <w:sym w:font="Wingdings" w:char="F0A6"/>
      </w:r>
      <w:r>
        <w:t xml:space="preserve"> Other (please specify): __________________________</w:t>
      </w:r>
    </w:p>
    <w:p w:rsidR="00D86A11" w:rsidRDefault="00D86A11" w:rsidP="00D86A11">
      <w:pPr>
        <w:spacing w:after="0" w:line="240" w:lineRule="auto"/>
      </w:pPr>
    </w:p>
    <w:p w:rsidR="00D86A11" w:rsidRDefault="00D86A11" w:rsidP="00D86A11">
      <w:pPr>
        <w:numPr>
          <w:ilvl w:val="0"/>
          <w:numId w:val="19"/>
        </w:numPr>
        <w:spacing w:after="0" w:line="240" w:lineRule="auto"/>
      </w:pPr>
      <w:r>
        <w:t>How often do you feel your input regarding the juvenile probation system is solicited by the County of San Diego?</w:t>
      </w:r>
    </w:p>
    <w:p w:rsidR="00D86A11" w:rsidRDefault="00D86A11" w:rsidP="00D86A11">
      <w:pPr>
        <w:spacing w:after="0" w:line="240" w:lineRule="auto"/>
        <w:ind w:firstLine="360"/>
      </w:pPr>
      <w:r>
        <w:sym w:font="Wingdings" w:char="F0A6"/>
      </w:r>
      <w:r>
        <w:t xml:space="preserve"> Always</w:t>
      </w:r>
      <w:r>
        <w:tab/>
      </w:r>
      <w:r>
        <w:tab/>
      </w:r>
      <w:r>
        <w:tab/>
      </w:r>
      <w:r>
        <w:sym w:font="Wingdings" w:char="F0A6"/>
      </w:r>
      <w:r>
        <w:t xml:space="preserve"> Most of the time</w:t>
      </w:r>
    </w:p>
    <w:p w:rsidR="00D86A11" w:rsidRDefault="00D86A11" w:rsidP="00D86A11">
      <w:pPr>
        <w:spacing w:after="0" w:line="240" w:lineRule="auto"/>
        <w:ind w:firstLine="360"/>
      </w:pPr>
      <w:r>
        <w:lastRenderedPageBreak/>
        <w:sym w:font="Wingdings" w:char="F0A6"/>
      </w:r>
      <w:r>
        <w:t xml:space="preserve"> Sometimes</w:t>
      </w:r>
      <w:r>
        <w:tab/>
      </w:r>
      <w:r>
        <w:tab/>
      </w:r>
      <w:r>
        <w:sym w:font="Wingdings" w:char="F0A6"/>
      </w:r>
      <w:r>
        <w:t xml:space="preserve"> Never</w:t>
      </w:r>
    </w:p>
    <w:p w:rsidR="00D86A11" w:rsidRDefault="00D86A11" w:rsidP="00D86A11">
      <w:pPr>
        <w:spacing w:after="0" w:line="240" w:lineRule="auto"/>
      </w:pPr>
    </w:p>
    <w:p w:rsidR="00D86A11" w:rsidRDefault="00D86A11" w:rsidP="00D86A11">
      <w:pPr>
        <w:numPr>
          <w:ilvl w:val="0"/>
          <w:numId w:val="19"/>
        </w:numPr>
        <w:spacing w:after="0" w:line="240" w:lineRule="auto"/>
      </w:pPr>
      <w:r>
        <w:t>Do you think your input regarding the juvenile probation system is heard by the County of San Diego?</w:t>
      </w:r>
    </w:p>
    <w:p w:rsidR="00D86A11" w:rsidRDefault="00D86A11" w:rsidP="00D86A11">
      <w:pPr>
        <w:spacing w:after="0" w:line="240" w:lineRule="auto"/>
        <w:ind w:firstLine="360"/>
      </w:pPr>
      <w:r>
        <w:sym w:font="Wingdings" w:char="F0A6"/>
      </w:r>
      <w:r>
        <w:t xml:space="preserve"> Always</w:t>
      </w:r>
      <w:r>
        <w:tab/>
      </w:r>
      <w:r>
        <w:tab/>
      </w:r>
      <w:r>
        <w:tab/>
      </w:r>
      <w:r>
        <w:sym w:font="Wingdings" w:char="F0A6"/>
      </w:r>
      <w:r>
        <w:t xml:space="preserve"> Most of the time</w:t>
      </w:r>
    </w:p>
    <w:p w:rsidR="00D86A11" w:rsidRDefault="00D86A11" w:rsidP="00D86A11">
      <w:pPr>
        <w:spacing w:after="0" w:line="240" w:lineRule="auto"/>
        <w:ind w:firstLine="360"/>
      </w:pPr>
      <w:r>
        <w:sym w:font="Wingdings" w:char="F0A6"/>
      </w:r>
      <w:r>
        <w:t xml:space="preserve"> Sometimes</w:t>
      </w:r>
      <w:r>
        <w:tab/>
      </w:r>
      <w:r>
        <w:tab/>
      </w:r>
      <w:r>
        <w:sym w:font="Wingdings" w:char="F0A6"/>
      </w:r>
      <w:r>
        <w:t xml:space="preserve"> Never</w:t>
      </w:r>
    </w:p>
    <w:p w:rsidR="000B1863" w:rsidRDefault="000B1863" w:rsidP="00A22BD8">
      <w:pPr>
        <w:pStyle w:val="ColorfulList-Accent11"/>
        <w:ind w:left="0"/>
      </w:pPr>
    </w:p>
    <w:p w:rsidR="00D86A11" w:rsidRDefault="00D86A11" w:rsidP="00D86A11">
      <w:pPr>
        <w:numPr>
          <w:ilvl w:val="0"/>
          <w:numId w:val="19"/>
        </w:numPr>
        <w:spacing w:after="0" w:line="240" w:lineRule="auto"/>
      </w:pPr>
      <w:r>
        <w:t>If you have opinions, ideas, or concerns regarding your local juvenile probation department, do you know who to contact?</w:t>
      </w:r>
    </w:p>
    <w:p w:rsidR="00D86A11" w:rsidRDefault="00D86A11" w:rsidP="00D86A11">
      <w:pPr>
        <w:spacing w:after="0" w:line="240" w:lineRule="auto"/>
        <w:ind w:firstLine="360"/>
      </w:pPr>
      <w:r>
        <w:sym w:font="Wingdings" w:char="F0A6"/>
      </w:r>
      <w:r>
        <w:t xml:space="preserve"> Yes</w:t>
      </w:r>
      <w:r>
        <w:tab/>
      </w:r>
      <w:r>
        <w:tab/>
      </w:r>
      <w:r>
        <w:sym w:font="Wingdings" w:char="F0A6"/>
      </w:r>
      <w:r>
        <w:t xml:space="preserve"> No</w:t>
      </w:r>
    </w:p>
    <w:p w:rsidR="00D86A11" w:rsidRDefault="00D86A11" w:rsidP="00D86A11">
      <w:pPr>
        <w:spacing w:after="0" w:line="240" w:lineRule="auto"/>
      </w:pPr>
    </w:p>
    <w:p w:rsidR="00D86A11" w:rsidRDefault="00D86A11" w:rsidP="00D86A11">
      <w:pPr>
        <w:numPr>
          <w:ilvl w:val="0"/>
          <w:numId w:val="19"/>
        </w:numPr>
        <w:spacing w:after="0" w:line="240" w:lineRule="auto"/>
      </w:pPr>
      <w:r>
        <w:t xml:space="preserve">What do you see as the </w:t>
      </w:r>
      <w:r>
        <w:rPr>
          <w:b/>
          <w:u w:val="single"/>
        </w:rPr>
        <w:t>three most critical systemic factors</w:t>
      </w:r>
      <w:r>
        <w:t xml:space="preserve"> related to probation for the County Self-Assessment (CSA) to address over the next five years (SELECT ONLY 3)</w:t>
      </w:r>
    </w:p>
    <w:p w:rsidR="00D86A11" w:rsidRDefault="00D86A11" w:rsidP="00D86A11">
      <w:pPr>
        <w:spacing w:after="0" w:line="240" w:lineRule="auto"/>
        <w:ind w:firstLine="360"/>
      </w:pPr>
      <w:r>
        <w:sym w:font="Wingdings" w:char="F0A6"/>
      </w:r>
      <w:r>
        <w:t xml:space="preserve"> Agency Collaboration</w:t>
      </w:r>
      <w:r>
        <w:tab/>
      </w:r>
      <w:r>
        <w:tab/>
      </w:r>
      <w:r>
        <w:tab/>
      </w:r>
      <w:r>
        <w:sym w:font="Wingdings" w:char="F0A6"/>
      </w:r>
      <w:r>
        <w:t xml:space="preserve"> Case Review System</w:t>
      </w:r>
    </w:p>
    <w:p w:rsidR="00D86A11" w:rsidRDefault="00D86A11" w:rsidP="00D86A11">
      <w:pPr>
        <w:spacing w:after="0" w:line="240" w:lineRule="auto"/>
        <w:ind w:firstLine="360"/>
      </w:pPr>
      <w:r>
        <w:sym w:font="Wingdings" w:char="F0A6"/>
      </w:r>
      <w:r>
        <w:t xml:space="preserve"> Foster/Adoptive Parent Licensing</w:t>
      </w:r>
      <w:r>
        <w:tab/>
      </w:r>
      <w:r>
        <w:tab/>
      </w:r>
      <w:r>
        <w:sym w:font="Wingdings" w:char="F0A6"/>
      </w:r>
      <w:r>
        <w:t xml:space="preserve"> Continuous Quality Improvement Training</w:t>
      </w:r>
    </w:p>
    <w:p w:rsidR="00D86A11" w:rsidRDefault="00D86A11" w:rsidP="00D86A11">
      <w:pPr>
        <w:spacing w:after="0" w:line="240" w:lineRule="auto"/>
        <w:ind w:firstLine="360"/>
      </w:pPr>
      <w:r>
        <w:sym w:font="Wingdings" w:char="F0A6"/>
      </w:r>
      <w:r>
        <w:t xml:space="preserve"> Service Array</w:t>
      </w:r>
      <w:r>
        <w:tab/>
      </w:r>
      <w:r>
        <w:tab/>
      </w:r>
      <w:r>
        <w:tab/>
      </w:r>
      <w:r>
        <w:tab/>
      </w:r>
      <w:r>
        <w:sym w:font="Wingdings" w:char="F0A6"/>
      </w:r>
      <w:r>
        <w:t xml:space="preserve"> No opinion</w:t>
      </w:r>
    </w:p>
    <w:p w:rsidR="00D86A11" w:rsidRDefault="00D86A11" w:rsidP="00D86A11">
      <w:pPr>
        <w:ind w:firstLine="360"/>
      </w:pPr>
      <w:r>
        <w:sym w:font="Wingdings" w:char="F0A6"/>
      </w:r>
      <w:r>
        <w:t xml:space="preserve"> Management Information Systems (MIS)</w:t>
      </w:r>
      <w:r>
        <w:tab/>
      </w:r>
      <w:r>
        <w:sym w:font="Wingdings" w:char="F0A6"/>
      </w:r>
      <w:r>
        <w:t xml:space="preserve"> Other (please specify): _______________________</w:t>
      </w:r>
    </w:p>
    <w:p w:rsidR="00D86A11" w:rsidRDefault="00D86A11" w:rsidP="00D86A11">
      <w:pPr>
        <w:rPr>
          <w:b/>
          <w:sz w:val="28"/>
        </w:rPr>
      </w:pPr>
      <w:r>
        <w:rPr>
          <w:b/>
          <w:sz w:val="28"/>
        </w:rPr>
        <w:t>Overall Experience with CWS</w:t>
      </w:r>
    </w:p>
    <w:p w:rsidR="00D86A11" w:rsidRDefault="00D86A11" w:rsidP="00D86A11">
      <w:pPr>
        <w:numPr>
          <w:ilvl w:val="0"/>
          <w:numId w:val="19"/>
        </w:numPr>
      </w:pPr>
      <w:r>
        <w:t xml:space="preserve">What do you see as the </w:t>
      </w:r>
      <w:r>
        <w:rPr>
          <w:b/>
          <w:u w:val="single"/>
        </w:rPr>
        <w:t>3 most effective services</w:t>
      </w:r>
      <w:r>
        <w:t xml:space="preserve"> to strengthen families and prevent children from being abused and neglected? (SELECT ONLY 3)</w:t>
      </w:r>
    </w:p>
    <w:p w:rsidR="00D86A11" w:rsidRDefault="00D86A11" w:rsidP="00D86A11">
      <w:pPr>
        <w:spacing w:after="0" w:line="240" w:lineRule="auto"/>
        <w:ind w:firstLine="360"/>
      </w:pPr>
      <w:r>
        <w:sym w:font="Wingdings" w:char="F0A6"/>
      </w:r>
      <w:r>
        <w:t xml:space="preserve"> In-home support/home visits </w:t>
      </w:r>
      <w:r>
        <w:tab/>
      </w:r>
      <w:r>
        <w:tab/>
      </w:r>
      <w:r>
        <w:sym w:font="Wingdings" w:char="F0A6"/>
      </w:r>
      <w:r>
        <w:t xml:space="preserve"> Job training &amp; assistance</w:t>
      </w:r>
      <w:r>
        <w:tab/>
      </w:r>
    </w:p>
    <w:p w:rsidR="00D86A11" w:rsidRDefault="00D86A11" w:rsidP="00D86A11">
      <w:pPr>
        <w:spacing w:after="0" w:line="240" w:lineRule="auto"/>
        <w:ind w:firstLine="360"/>
      </w:pPr>
      <w:r>
        <w:sym w:font="Wingdings" w:char="F0A6"/>
      </w:r>
      <w:r>
        <w:t xml:space="preserve"> Parental education/support groups</w:t>
      </w:r>
      <w:r>
        <w:tab/>
      </w:r>
      <w:r>
        <w:sym w:font="Wingdings" w:char="F0A6"/>
      </w:r>
      <w:r>
        <w:t xml:space="preserve"> Assistance for stable housing</w:t>
      </w:r>
      <w:r>
        <w:tab/>
      </w:r>
    </w:p>
    <w:p w:rsidR="00D86A11" w:rsidRDefault="00D86A11" w:rsidP="00D86A11">
      <w:pPr>
        <w:spacing w:after="0" w:line="240" w:lineRule="auto"/>
        <w:ind w:firstLine="360"/>
      </w:pPr>
      <w:r>
        <w:sym w:font="Wingdings" w:char="F0A6"/>
      </w:r>
      <w:r>
        <w:t xml:space="preserve"> Wraparound services</w:t>
      </w:r>
      <w:r>
        <w:tab/>
      </w:r>
      <w:r>
        <w:tab/>
      </w:r>
      <w:r>
        <w:tab/>
      </w:r>
      <w:r>
        <w:sym w:font="Wingdings" w:char="F0A6"/>
      </w:r>
      <w:r>
        <w:t xml:space="preserve"> Family Centered Meetings (e.g., TDM)</w:t>
      </w:r>
      <w:r>
        <w:tab/>
      </w:r>
    </w:p>
    <w:p w:rsidR="00D86A11" w:rsidRDefault="00D86A11" w:rsidP="00D86A11">
      <w:pPr>
        <w:spacing w:after="0" w:line="240" w:lineRule="auto"/>
        <w:ind w:firstLine="360"/>
      </w:pPr>
      <w:r>
        <w:sym w:font="Wingdings" w:char="F0A6"/>
      </w:r>
      <w:r>
        <w:t xml:space="preserve"> Substance abuse programs/drug court</w:t>
      </w:r>
      <w:r>
        <w:tab/>
      </w:r>
      <w:r>
        <w:sym w:font="Wingdings" w:char="F0A6"/>
      </w:r>
      <w:r>
        <w:t xml:space="preserve"> School based programs</w:t>
      </w:r>
    </w:p>
    <w:p w:rsidR="00D86A11" w:rsidRDefault="00D86A11" w:rsidP="00D86A11">
      <w:pPr>
        <w:spacing w:after="0" w:line="240" w:lineRule="auto"/>
        <w:ind w:firstLine="360"/>
      </w:pPr>
      <w:r>
        <w:sym w:font="Wingdings" w:char="F0A6"/>
      </w:r>
      <w:r>
        <w:t xml:space="preserve"> Individual/family therapy/counseling</w:t>
      </w:r>
      <w:r>
        <w:tab/>
      </w:r>
      <w:r>
        <w:sym w:font="Wingdings" w:char="F0A6"/>
      </w:r>
      <w:r>
        <w:t xml:space="preserve"> No opinion</w:t>
      </w:r>
    </w:p>
    <w:p w:rsidR="00D86A11" w:rsidRDefault="00D86A11" w:rsidP="00D86A11">
      <w:pPr>
        <w:spacing w:after="0" w:line="240" w:lineRule="auto"/>
        <w:ind w:firstLine="360"/>
      </w:pPr>
      <w:r>
        <w:sym w:font="Wingdings" w:char="F0A6"/>
      </w:r>
      <w:r>
        <w:t xml:space="preserve"> Recreational programs</w:t>
      </w:r>
      <w:r>
        <w:tab/>
      </w:r>
      <w:r>
        <w:tab/>
      </w:r>
      <w:r>
        <w:tab/>
      </w:r>
      <w:r>
        <w:sym w:font="Wingdings" w:char="F0A6"/>
      </w:r>
      <w:r>
        <w:t xml:space="preserve"> Other (please specify): ________________________</w:t>
      </w:r>
    </w:p>
    <w:p w:rsidR="00D86A11" w:rsidRDefault="00D86A11" w:rsidP="00D86A11">
      <w:pPr>
        <w:spacing w:after="0" w:line="240" w:lineRule="auto"/>
      </w:pPr>
    </w:p>
    <w:p w:rsidR="00D86A11" w:rsidRDefault="00D86A11" w:rsidP="00D86A11">
      <w:pPr>
        <w:numPr>
          <w:ilvl w:val="0"/>
          <w:numId w:val="19"/>
        </w:numPr>
        <w:spacing w:after="0" w:line="240" w:lineRule="auto"/>
      </w:pPr>
      <w:r>
        <w:t xml:space="preserve">If children need to enter CWS, what do you think are the </w:t>
      </w:r>
      <w:r>
        <w:rPr>
          <w:b/>
          <w:u w:val="single"/>
        </w:rPr>
        <w:t>3 most effective services</w:t>
      </w:r>
      <w:r>
        <w:t xml:space="preserve"> that help families reunify within 12 months? (SELECT ONLY 3)</w:t>
      </w:r>
    </w:p>
    <w:p w:rsidR="00D86A11" w:rsidRDefault="00D86A11" w:rsidP="00D86A11">
      <w:pPr>
        <w:spacing w:after="0" w:line="240" w:lineRule="auto"/>
        <w:ind w:firstLine="360"/>
      </w:pPr>
      <w:r>
        <w:sym w:font="Wingdings" w:char="F0A6"/>
      </w:r>
      <w:r>
        <w:t xml:space="preserve"> In-home support/home visits </w:t>
      </w:r>
      <w:r>
        <w:tab/>
      </w:r>
      <w:r>
        <w:tab/>
      </w:r>
      <w:r>
        <w:sym w:font="Wingdings" w:char="F0A6"/>
      </w:r>
      <w:r>
        <w:t xml:space="preserve"> Job training &amp; assistance</w:t>
      </w:r>
      <w:r>
        <w:tab/>
      </w:r>
    </w:p>
    <w:p w:rsidR="00D86A11" w:rsidRDefault="00D86A11" w:rsidP="00D86A11">
      <w:pPr>
        <w:spacing w:after="0" w:line="240" w:lineRule="auto"/>
        <w:ind w:firstLine="360"/>
      </w:pPr>
      <w:r>
        <w:sym w:font="Wingdings" w:char="F0A6"/>
      </w:r>
      <w:r>
        <w:t xml:space="preserve"> Parental education/support groups</w:t>
      </w:r>
      <w:r>
        <w:tab/>
      </w:r>
      <w:r>
        <w:sym w:font="Wingdings" w:char="F0A6"/>
      </w:r>
      <w:r>
        <w:t xml:space="preserve"> Assistance for stable housing</w:t>
      </w:r>
      <w:r>
        <w:tab/>
      </w:r>
    </w:p>
    <w:p w:rsidR="00D86A11" w:rsidRDefault="00D86A11" w:rsidP="00D86A11">
      <w:pPr>
        <w:spacing w:after="0" w:line="240" w:lineRule="auto"/>
        <w:ind w:firstLine="360"/>
      </w:pPr>
      <w:r>
        <w:sym w:font="Wingdings" w:char="F0A6"/>
      </w:r>
      <w:r>
        <w:t xml:space="preserve"> Wraparound services</w:t>
      </w:r>
      <w:r>
        <w:tab/>
      </w:r>
      <w:r>
        <w:tab/>
      </w:r>
      <w:r>
        <w:tab/>
      </w:r>
      <w:r>
        <w:sym w:font="Wingdings" w:char="F0A6"/>
      </w:r>
      <w:r>
        <w:t xml:space="preserve"> Family Centered Meetings (e.g., TDM)</w:t>
      </w:r>
      <w:r>
        <w:tab/>
      </w:r>
    </w:p>
    <w:p w:rsidR="00D86A11" w:rsidRDefault="00D86A11" w:rsidP="00D86A11">
      <w:pPr>
        <w:spacing w:after="0" w:line="240" w:lineRule="auto"/>
        <w:ind w:firstLine="360"/>
      </w:pPr>
      <w:r>
        <w:sym w:font="Wingdings" w:char="F0A6"/>
      </w:r>
      <w:r>
        <w:t xml:space="preserve"> Substance abuse programs/drug court</w:t>
      </w:r>
      <w:r>
        <w:tab/>
      </w:r>
      <w:r>
        <w:sym w:font="Wingdings" w:char="F0A6"/>
      </w:r>
      <w:r>
        <w:t xml:space="preserve"> Home passes/Trial period</w:t>
      </w:r>
    </w:p>
    <w:p w:rsidR="00D86A11" w:rsidRDefault="00D86A11" w:rsidP="00D86A11">
      <w:pPr>
        <w:spacing w:after="0" w:line="240" w:lineRule="auto"/>
        <w:ind w:firstLine="360"/>
      </w:pPr>
      <w:r>
        <w:sym w:font="Wingdings" w:char="F0A6"/>
      </w:r>
      <w:r>
        <w:t xml:space="preserve"> Individual/family therapy/counseling</w:t>
      </w:r>
      <w:r>
        <w:tab/>
      </w:r>
      <w:r>
        <w:sym w:font="Wingdings" w:char="F0A6"/>
      </w:r>
      <w:r>
        <w:t xml:space="preserve"> Cool beds</w:t>
      </w:r>
    </w:p>
    <w:p w:rsidR="00D86A11" w:rsidRDefault="00D86A11" w:rsidP="00D86A11">
      <w:pPr>
        <w:spacing w:after="0" w:line="240" w:lineRule="auto"/>
        <w:ind w:firstLine="360"/>
      </w:pPr>
      <w:r>
        <w:sym w:font="Wingdings" w:char="F0A6"/>
      </w:r>
      <w:r>
        <w:t xml:space="preserve"> Parent child visitation</w:t>
      </w:r>
      <w:r>
        <w:tab/>
      </w:r>
      <w:r>
        <w:tab/>
      </w:r>
      <w:r>
        <w:tab/>
      </w:r>
      <w:r>
        <w:sym w:font="Wingdings" w:char="F0A6"/>
      </w:r>
      <w:r>
        <w:t xml:space="preserve"> Aftercare/Transitional Services</w:t>
      </w:r>
    </w:p>
    <w:p w:rsidR="00D86A11" w:rsidRDefault="00D86A11" w:rsidP="00D86A11">
      <w:pPr>
        <w:spacing w:after="0" w:line="240" w:lineRule="auto"/>
        <w:ind w:firstLine="360"/>
      </w:pPr>
      <w:r>
        <w:sym w:font="Wingdings" w:char="F0A6"/>
      </w:r>
      <w:r>
        <w:t xml:space="preserve"> Domestic violence programs</w:t>
      </w:r>
      <w:r>
        <w:tab/>
      </w:r>
      <w:r>
        <w:tab/>
      </w:r>
      <w:r>
        <w:sym w:font="Wingdings" w:char="F0A6"/>
      </w:r>
      <w:r>
        <w:t xml:space="preserve"> No opinion</w:t>
      </w:r>
    </w:p>
    <w:p w:rsidR="00D86A11" w:rsidRDefault="00D86A11" w:rsidP="00D86A11">
      <w:pPr>
        <w:spacing w:after="0" w:line="240" w:lineRule="auto"/>
        <w:ind w:firstLine="360"/>
      </w:pPr>
      <w:r>
        <w:sym w:font="Wingdings" w:char="F0A6"/>
      </w:r>
      <w:r>
        <w:t xml:space="preserve"> School based programs</w:t>
      </w:r>
      <w:r>
        <w:tab/>
      </w:r>
      <w:r>
        <w:tab/>
      </w:r>
      <w:r>
        <w:tab/>
      </w:r>
      <w:r>
        <w:sym w:font="Wingdings" w:char="F0A6"/>
      </w:r>
      <w:r>
        <w:t xml:space="preserve"> Other (please specify): ________________________</w:t>
      </w:r>
    </w:p>
    <w:p w:rsidR="00D86A11" w:rsidRDefault="00D86A11" w:rsidP="00D86A11">
      <w:pPr>
        <w:spacing w:after="0" w:line="240" w:lineRule="auto"/>
      </w:pPr>
    </w:p>
    <w:p w:rsidR="00D86A11" w:rsidRDefault="00D86A11" w:rsidP="00D86A11">
      <w:pPr>
        <w:numPr>
          <w:ilvl w:val="0"/>
          <w:numId w:val="19"/>
        </w:numPr>
        <w:spacing w:after="0" w:line="240" w:lineRule="auto"/>
      </w:pPr>
      <w:r>
        <w:t>Which of the following do you think are the biggest barriers that delay permanency for children in CWS? (SELECT UP TO 3)</w:t>
      </w:r>
    </w:p>
    <w:p w:rsidR="00D86A11" w:rsidRDefault="00D86A11" w:rsidP="00D86A11">
      <w:pPr>
        <w:spacing w:after="0" w:line="240" w:lineRule="auto"/>
        <w:ind w:firstLine="360"/>
      </w:pPr>
      <w:r>
        <w:sym w:font="Wingdings" w:char="F0A6"/>
      </w:r>
      <w:r>
        <w:t xml:space="preserve"> Excessive or ineffective case plan goals</w:t>
      </w:r>
      <w:r>
        <w:tab/>
      </w:r>
      <w:r>
        <w:sym w:font="Wingdings" w:char="F0A6"/>
      </w:r>
      <w:r>
        <w:t xml:space="preserve"> Wait list for services </w:t>
      </w:r>
      <w:r>
        <w:tab/>
      </w:r>
    </w:p>
    <w:p w:rsidR="00D86A11" w:rsidRDefault="00D86A11" w:rsidP="00D86A11">
      <w:pPr>
        <w:spacing w:after="0" w:line="240" w:lineRule="auto"/>
        <w:ind w:firstLine="360"/>
      </w:pPr>
      <w:r>
        <w:sym w:font="Wingdings" w:char="F0A6"/>
      </w:r>
      <w:r>
        <w:t xml:space="preserve"> Lack of parent engagement</w:t>
      </w:r>
      <w:r>
        <w:tab/>
      </w:r>
      <w:r>
        <w:tab/>
      </w:r>
      <w:r>
        <w:sym w:font="Wingdings" w:char="F0A6"/>
      </w:r>
      <w:r>
        <w:t xml:space="preserve"> Lack of financial resources</w:t>
      </w:r>
    </w:p>
    <w:p w:rsidR="00D86A11" w:rsidRDefault="00D86A11" w:rsidP="00D86A11">
      <w:pPr>
        <w:spacing w:after="0" w:line="240" w:lineRule="auto"/>
        <w:ind w:firstLine="360"/>
      </w:pPr>
      <w:r>
        <w:sym w:font="Wingdings" w:char="F0A6"/>
      </w:r>
      <w:r>
        <w:t xml:space="preserve"> Court process</w:t>
      </w:r>
      <w:r>
        <w:tab/>
      </w:r>
      <w:r>
        <w:tab/>
      </w:r>
      <w:r>
        <w:tab/>
      </w:r>
      <w:r>
        <w:tab/>
      </w:r>
      <w:r>
        <w:sym w:font="Wingdings" w:char="F0A6"/>
      </w:r>
      <w:r>
        <w:t xml:space="preserve"> Lack of social/family support</w:t>
      </w:r>
      <w:r>
        <w:tab/>
      </w:r>
    </w:p>
    <w:p w:rsidR="00D86A11" w:rsidRDefault="00D86A11" w:rsidP="00D86A11">
      <w:pPr>
        <w:spacing w:after="0" w:line="240" w:lineRule="auto"/>
        <w:ind w:firstLine="360"/>
      </w:pPr>
      <w:r>
        <w:sym w:font="Wingdings" w:char="F0A6"/>
      </w:r>
      <w:r>
        <w:t xml:space="preserve"> Social worker practices</w:t>
      </w:r>
      <w:r>
        <w:tab/>
      </w:r>
      <w:r>
        <w:tab/>
      </w:r>
      <w:r>
        <w:tab/>
      </w:r>
      <w:r>
        <w:sym w:font="Wingdings" w:char="F0A6"/>
      </w:r>
      <w:r>
        <w:t xml:space="preserve"> Lack of understanding the system</w:t>
      </w:r>
    </w:p>
    <w:p w:rsidR="00D86A11" w:rsidRDefault="00D86A11" w:rsidP="00D86A11">
      <w:pPr>
        <w:spacing w:after="0" w:line="240" w:lineRule="auto"/>
        <w:ind w:left="360"/>
      </w:pPr>
      <w:r>
        <w:sym w:font="Wingdings" w:char="F0A6"/>
      </w:r>
      <w:r>
        <w:t xml:space="preserve"> Parent’s limitations</w:t>
      </w:r>
      <w:r>
        <w:tab/>
      </w:r>
      <w:r>
        <w:tab/>
      </w:r>
      <w:r>
        <w:tab/>
      </w:r>
      <w:r>
        <w:sym w:font="Wingdings" w:char="F0A6"/>
      </w:r>
      <w:r>
        <w:t xml:space="preserve"> Lack of transportation</w:t>
      </w:r>
    </w:p>
    <w:p w:rsidR="00D86A11" w:rsidRDefault="00D86A11" w:rsidP="00D86A11">
      <w:pPr>
        <w:spacing w:after="0" w:line="240" w:lineRule="auto"/>
        <w:ind w:firstLine="360"/>
      </w:pPr>
      <w:r>
        <w:sym w:font="Wingdings" w:char="F0A6"/>
      </w:r>
      <w:r>
        <w:t xml:space="preserve"> Insufficient housing</w:t>
      </w:r>
      <w:r>
        <w:tab/>
      </w:r>
      <w:r>
        <w:tab/>
      </w:r>
      <w:r>
        <w:tab/>
      </w:r>
      <w:r>
        <w:sym w:font="Wingdings" w:char="F0A6"/>
      </w:r>
      <w:r>
        <w:t xml:space="preserve"> No opinion</w:t>
      </w:r>
    </w:p>
    <w:p w:rsidR="00D86A11" w:rsidRDefault="00D86A11" w:rsidP="00D86A11">
      <w:pPr>
        <w:spacing w:after="0" w:line="240" w:lineRule="auto"/>
        <w:ind w:firstLine="360"/>
      </w:pPr>
      <w:r>
        <w:sym w:font="Wingdings" w:char="F0A6"/>
      </w:r>
      <w:r>
        <w:t xml:space="preserve"> Other (please specify): __________________________</w:t>
      </w:r>
    </w:p>
    <w:p w:rsidR="00D86A11" w:rsidRDefault="00D86A11" w:rsidP="00D86A11">
      <w:pPr>
        <w:spacing w:after="0" w:line="240" w:lineRule="auto"/>
        <w:ind w:left="360"/>
      </w:pPr>
    </w:p>
    <w:p w:rsidR="00D86A11" w:rsidRDefault="00D86A11" w:rsidP="00D86A11">
      <w:pPr>
        <w:numPr>
          <w:ilvl w:val="0"/>
          <w:numId w:val="19"/>
        </w:numPr>
        <w:spacing w:after="0" w:line="240" w:lineRule="auto"/>
      </w:pPr>
      <w:r>
        <w:lastRenderedPageBreak/>
        <w:t xml:space="preserve">Which do you think are the </w:t>
      </w:r>
      <w:r>
        <w:rPr>
          <w:b/>
          <w:u w:val="single"/>
        </w:rPr>
        <w:t>3 most effective services</w:t>
      </w:r>
      <w:r>
        <w:t xml:space="preserve"> that help strengthen families so that children safely remain home with their families and no re-enter CWS foster care? (SELECT UP TO 3)</w:t>
      </w:r>
    </w:p>
    <w:p w:rsidR="00D86A11" w:rsidRDefault="00D86A11" w:rsidP="00D86A11">
      <w:pPr>
        <w:spacing w:after="0" w:line="240" w:lineRule="auto"/>
        <w:ind w:firstLine="360"/>
      </w:pPr>
      <w:r>
        <w:sym w:font="Wingdings" w:char="F0A6"/>
      </w:r>
      <w:r>
        <w:t xml:space="preserve"> In-home support</w:t>
      </w:r>
      <w:r>
        <w:tab/>
      </w:r>
      <w:r>
        <w:tab/>
      </w:r>
      <w:r>
        <w:sym w:font="Wingdings" w:char="F0A6"/>
      </w:r>
      <w:r>
        <w:t xml:space="preserve"> Behavioral/mental health services</w:t>
      </w:r>
    </w:p>
    <w:p w:rsidR="00D86A11" w:rsidRDefault="00D86A11" w:rsidP="00D86A11">
      <w:pPr>
        <w:spacing w:after="0" w:line="240" w:lineRule="auto"/>
        <w:ind w:firstLine="360"/>
      </w:pPr>
      <w:r>
        <w:sym w:font="Wingdings" w:char="F0A6"/>
      </w:r>
      <w:r>
        <w:t xml:space="preserve"> Wraparound services</w:t>
      </w:r>
      <w:r>
        <w:tab/>
      </w:r>
      <w:r>
        <w:sym w:font="Wingdings" w:char="F0A6"/>
      </w:r>
      <w:r>
        <w:t xml:space="preserve"> Supportive educational setting</w:t>
      </w:r>
    </w:p>
    <w:p w:rsidR="00D86A11" w:rsidRDefault="00D86A11" w:rsidP="00D86A11">
      <w:pPr>
        <w:spacing w:after="0" w:line="240" w:lineRule="auto"/>
        <w:ind w:firstLine="360"/>
      </w:pPr>
      <w:r>
        <w:sym w:font="Wingdings" w:char="F0A6"/>
      </w:r>
      <w:r>
        <w:t xml:space="preserve"> Child Care</w:t>
      </w:r>
      <w:r>
        <w:tab/>
      </w:r>
      <w:r>
        <w:tab/>
      </w:r>
      <w:r>
        <w:sym w:font="Wingdings" w:char="F0A6"/>
      </w:r>
      <w:r>
        <w:t xml:space="preserve"> Financial Resources</w:t>
      </w:r>
      <w:r>
        <w:tab/>
      </w:r>
    </w:p>
    <w:p w:rsidR="00D86A11" w:rsidRDefault="00D86A11" w:rsidP="00D86A11">
      <w:pPr>
        <w:spacing w:after="0" w:line="240" w:lineRule="auto"/>
        <w:ind w:firstLine="360"/>
      </w:pPr>
      <w:r>
        <w:sym w:font="Wingdings" w:char="F0A6"/>
      </w:r>
      <w:r>
        <w:t xml:space="preserve"> Recreational activities</w:t>
      </w:r>
      <w:r>
        <w:tab/>
      </w:r>
      <w:r>
        <w:sym w:font="Wingdings" w:char="F0A6"/>
      </w:r>
      <w:r>
        <w:t xml:space="preserve"> No opinion</w:t>
      </w:r>
    </w:p>
    <w:p w:rsidR="00D86A11" w:rsidRDefault="00D86A11" w:rsidP="00D86A11">
      <w:pPr>
        <w:spacing w:after="0" w:line="240" w:lineRule="auto"/>
        <w:ind w:firstLine="360"/>
      </w:pPr>
      <w:r>
        <w:sym w:font="Wingdings" w:char="F0A6"/>
      </w:r>
      <w:r>
        <w:t xml:space="preserve"> Other (please specify): __________________________</w:t>
      </w:r>
    </w:p>
    <w:p w:rsidR="00D86A11" w:rsidRDefault="00D86A11" w:rsidP="00D86A11">
      <w:pPr>
        <w:spacing w:after="0" w:line="240" w:lineRule="auto"/>
        <w:ind w:left="360"/>
      </w:pPr>
    </w:p>
    <w:p w:rsidR="00D86A11" w:rsidRDefault="00D86A11" w:rsidP="00D86A11">
      <w:pPr>
        <w:numPr>
          <w:ilvl w:val="0"/>
          <w:numId w:val="19"/>
        </w:numPr>
        <w:spacing w:after="0" w:line="240" w:lineRule="auto"/>
      </w:pPr>
      <w:r>
        <w:t>How often do you feel your input regarding CWS is solicited by the County of San Diego?</w:t>
      </w:r>
    </w:p>
    <w:p w:rsidR="00D86A11" w:rsidRDefault="00D86A11" w:rsidP="00D86A11">
      <w:pPr>
        <w:spacing w:after="0" w:line="240" w:lineRule="auto"/>
        <w:ind w:firstLine="360"/>
      </w:pPr>
      <w:r>
        <w:sym w:font="Wingdings" w:char="F0A6"/>
      </w:r>
      <w:r>
        <w:t xml:space="preserve"> Always</w:t>
      </w:r>
      <w:r>
        <w:tab/>
      </w:r>
      <w:r>
        <w:tab/>
      </w:r>
      <w:r>
        <w:tab/>
      </w:r>
      <w:r>
        <w:sym w:font="Wingdings" w:char="F0A6"/>
      </w:r>
      <w:r>
        <w:t xml:space="preserve"> Most of the time</w:t>
      </w:r>
    </w:p>
    <w:p w:rsidR="00D86A11" w:rsidRDefault="00D86A11" w:rsidP="00D86A11">
      <w:pPr>
        <w:spacing w:after="0" w:line="240" w:lineRule="auto"/>
        <w:ind w:firstLine="360"/>
      </w:pPr>
      <w:r>
        <w:sym w:font="Wingdings" w:char="F0A6"/>
      </w:r>
      <w:r>
        <w:t xml:space="preserve"> Sometimes</w:t>
      </w:r>
      <w:r>
        <w:tab/>
      </w:r>
      <w:r>
        <w:tab/>
      </w:r>
      <w:r>
        <w:sym w:font="Wingdings" w:char="F0A6"/>
      </w:r>
      <w:r>
        <w:t xml:space="preserve"> Never</w:t>
      </w:r>
    </w:p>
    <w:p w:rsidR="00D86A11" w:rsidRDefault="00D86A11" w:rsidP="00D86A11">
      <w:pPr>
        <w:spacing w:after="0" w:line="240" w:lineRule="auto"/>
      </w:pPr>
    </w:p>
    <w:p w:rsidR="00D86A11" w:rsidRDefault="00D86A11" w:rsidP="00D86A11">
      <w:pPr>
        <w:numPr>
          <w:ilvl w:val="0"/>
          <w:numId w:val="19"/>
        </w:numPr>
        <w:spacing w:after="0" w:line="240" w:lineRule="auto"/>
      </w:pPr>
      <w:r>
        <w:t>Do you think your input regarding CWS is heard by the County of San Diego?</w:t>
      </w:r>
    </w:p>
    <w:p w:rsidR="00D86A11" w:rsidRDefault="00D86A11" w:rsidP="00D86A11">
      <w:pPr>
        <w:spacing w:after="0" w:line="240" w:lineRule="auto"/>
        <w:ind w:firstLine="360"/>
      </w:pPr>
      <w:r>
        <w:sym w:font="Wingdings" w:char="F0A6"/>
      </w:r>
      <w:r>
        <w:t xml:space="preserve"> Always</w:t>
      </w:r>
      <w:r>
        <w:tab/>
      </w:r>
      <w:r>
        <w:tab/>
      </w:r>
      <w:r>
        <w:tab/>
      </w:r>
      <w:r>
        <w:sym w:font="Wingdings" w:char="F0A6"/>
      </w:r>
      <w:r>
        <w:t xml:space="preserve"> Most of the time</w:t>
      </w:r>
    </w:p>
    <w:p w:rsidR="00D86A11" w:rsidRDefault="00D86A11" w:rsidP="00D86A11">
      <w:pPr>
        <w:spacing w:after="0" w:line="240" w:lineRule="auto"/>
        <w:ind w:firstLine="360"/>
      </w:pPr>
      <w:r>
        <w:sym w:font="Wingdings" w:char="F0A6"/>
      </w:r>
      <w:r>
        <w:t xml:space="preserve"> Sometimes</w:t>
      </w:r>
      <w:r>
        <w:tab/>
      </w:r>
      <w:r>
        <w:tab/>
      </w:r>
      <w:r>
        <w:sym w:font="Wingdings" w:char="F0A6"/>
      </w:r>
      <w:r>
        <w:t xml:space="preserve"> Never</w:t>
      </w:r>
    </w:p>
    <w:p w:rsidR="000B1863" w:rsidRDefault="000B1863" w:rsidP="00A22BD8">
      <w:pPr>
        <w:pStyle w:val="ColorfulList-Accent11"/>
      </w:pPr>
    </w:p>
    <w:p w:rsidR="00D86A11" w:rsidRDefault="00D86A11" w:rsidP="00D86A11">
      <w:pPr>
        <w:numPr>
          <w:ilvl w:val="0"/>
          <w:numId w:val="19"/>
        </w:numPr>
        <w:spacing w:after="0" w:line="240" w:lineRule="auto"/>
      </w:pPr>
      <w:r>
        <w:t>If you have opinions, ideas, or concerns regarding your local CWS department, do you know who to contact?</w:t>
      </w:r>
    </w:p>
    <w:p w:rsidR="00D86A11" w:rsidRDefault="00D86A11" w:rsidP="00D86A11">
      <w:pPr>
        <w:spacing w:after="0" w:line="240" w:lineRule="auto"/>
        <w:ind w:firstLine="360"/>
      </w:pPr>
      <w:r>
        <w:sym w:font="Wingdings" w:char="F0A6"/>
      </w:r>
      <w:r>
        <w:t xml:space="preserve"> Yes</w:t>
      </w:r>
      <w:r>
        <w:tab/>
      </w:r>
      <w:r>
        <w:tab/>
      </w:r>
      <w:r>
        <w:sym w:font="Wingdings" w:char="F0A6"/>
      </w:r>
      <w:r>
        <w:t xml:space="preserve"> No</w:t>
      </w:r>
    </w:p>
    <w:p w:rsidR="00D86A11" w:rsidRDefault="00D86A11" w:rsidP="00D86A11">
      <w:pPr>
        <w:spacing w:after="0" w:line="240" w:lineRule="auto"/>
      </w:pPr>
    </w:p>
    <w:p w:rsidR="00D86A11" w:rsidRDefault="00D86A11" w:rsidP="00D86A11">
      <w:pPr>
        <w:numPr>
          <w:ilvl w:val="0"/>
          <w:numId w:val="19"/>
        </w:numPr>
        <w:spacing w:after="0" w:line="240" w:lineRule="auto"/>
      </w:pPr>
      <w:r>
        <w:t xml:space="preserve">What do you see as the </w:t>
      </w:r>
      <w:r>
        <w:rPr>
          <w:b/>
          <w:u w:val="single"/>
        </w:rPr>
        <w:t>three most critical systemic factors</w:t>
      </w:r>
      <w:r>
        <w:t xml:space="preserve"> related to CWS for the County Self-Assessment (CSA) to address over the next five years (SELECT ONLY 3)</w:t>
      </w:r>
    </w:p>
    <w:p w:rsidR="00D86A11" w:rsidRDefault="00D86A11" w:rsidP="00D86A11">
      <w:pPr>
        <w:spacing w:after="0" w:line="240" w:lineRule="auto"/>
        <w:ind w:firstLine="360"/>
      </w:pPr>
      <w:r>
        <w:sym w:font="Wingdings" w:char="F0A6"/>
      </w:r>
      <w:r>
        <w:t xml:space="preserve"> Agency Collaboration</w:t>
      </w:r>
      <w:r>
        <w:tab/>
      </w:r>
      <w:r>
        <w:tab/>
      </w:r>
      <w:r>
        <w:tab/>
      </w:r>
      <w:r>
        <w:sym w:font="Wingdings" w:char="F0A6"/>
      </w:r>
      <w:r>
        <w:t xml:space="preserve"> Case Review System</w:t>
      </w:r>
    </w:p>
    <w:p w:rsidR="00D86A11" w:rsidRDefault="00D86A11" w:rsidP="00D86A11">
      <w:pPr>
        <w:spacing w:after="0" w:line="240" w:lineRule="auto"/>
        <w:ind w:firstLine="360"/>
      </w:pPr>
      <w:r>
        <w:sym w:font="Wingdings" w:char="F0A6"/>
      </w:r>
      <w:r>
        <w:t xml:space="preserve"> Foster/Adoptive Parent Licensing</w:t>
      </w:r>
      <w:r>
        <w:tab/>
      </w:r>
      <w:r>
        <w:tab/>
      </w:r>
      <w:r>
        <w:sym w:font="Wingdings" w:char="F0A6"/>
      </w:r>
      <w:r>
        <w:t xml:space="preserve"> Continuous Quality Improvement Training</w:t>
      </w:r>
    </w:p>
    <w:p w:rsidR="00D86A11" w:rsidRDefault="00D86A11" w:rsidP="00D86A11">
      <w:pPr>
        <w:spacing w:after="0" w:line="240" w:lineRule="auto"/>
        <w:ind w:firstLine="360"/>
      </w:pPr>
      <w:r>
        <w:sym w:font="Wingdings" w:char="F0A6"/>
      </w:r>
      <w:r>
        <w:t xml:space="preserve"> Service Array</w:t>
      </w:r>
      <w:r>
        <w:tab/>
      </w:r>
      <w:r>
        <w:tab/>
      </w:r>
      <w:r>
        <w:tab/>
      </w:r>
      <w:r>
        <w:tab/>
      </w:r>
      <w:r>
        <w:sym w:font="Wingdings" w:char="F0A6"/>
      </w:r>
      <w:r>
        <w:t xml:space="preserve"> No opinion</w:t>
      </w:r>
    </w:p>
    <w:p w:rsidR="00D86A11" w:rsidRDefault="00D86A11" w:rsidP="00D86A11">
      <w:pPr>
        <w:ind w:firstLine="360"/>
      </w:pPr>
      <w:r>
        <w:sym w:font="Wingdings" w:char="F0A6"/>
      </w:r>
      <w:r>
        <w:t xml:space="preserve"> Management Information Systems (MIS)</w:t>
      </w:r>
      <w:r>
        <w:tab/>
      </w:r>
      <w:r>
        <w:sym w:font="Wingdings" w:char="F0A6"/>
      </w:r>
      <w:r>
        <w:t xml:space="preserve"> Other (please specify): _______________________</w:t>
      </w:r>
    </w:p>
    <w:p w:rsidR="00D86A11" w:rsidRDefault="00D86A11" w:rsidP="00D86A11">
      <w:pPr>
        <w:numPr>
          <w:ilvl w:val="0"/>
          <w:numId w:val="19"/>
        </w:numPr>
      </w:pPr>
      <w:r>
        <w:t>Have you observed improvements in how CWS functions overall?</w:t>
      </w:r>
    </w:p>
    <w:p w:rsidR="00D86A11" w:rsidRDefault="00D86A11" w:rsidP="00D86A11">
      <w:pPr>
        <w:ind w:left="360"/>
      </w:pPr>
      <w:r>
        <w:sym w:font="Wingdings" w:char="F0A6"/>
      </w:r>
      <w:r>
        <w:t xml:space="preserve"> NA</w:t>
      </w:r>
      <w:r>
        <w:tab/>
      </w:r>
      <w:r>
        <w:tab/>
      </w:r>
      <w:r>
        <w:sym w:font="Wingdings" w:char="F0A6"/>
      </w:r>
      <w:r>
        <w:t xml:space="preserve"> Not at all </w:t>
      </w:r>
    </w:p>
    <w:p w:rsidR="00D86A11" w:rsidRDefault="00D86A11" w:rsidP="00D86A11">
      <w:pPr>
        <w:ind w:left="360"/>
      </w:pPr>
      <w:r>
        <w:sym w:font="Wingdings" w:char="F0A6"/>
      </w:r>
      <w:r>
        <w:t xml:space="preserve"> Only a little </w:t>
      </w:r>
      <w:r>
        <w:tab/>
      </w:r>
      <w:r>
        <w:sym w:font="Wingdings" w:char="F0A6"/>
      </w:r>
      <w:r>
        <w:t xml:space="preserve"> Somewhat</w:t>
      </w:r>
    </w:p>
    <w:p w:rsidR="00D86A11" w:rsidRDefault="00D86A11" w:rsidP="00D86A11">
      <w:pPr>
        <w:ind w:left="360"/>
      </w:pPr>
      <w:r>
        <w:sym w:font="Wingdings" w:char="F0A6"/>
      </w:r>
      <w:r>
        <w:t xml:space="preserve"> Very much</w:t>
      </w:r>
    </w:p>
    <w:p w:rsidR="00D86A11" w:rsidRDefault="00D86A11" w:rsidP="00D86A11">
      <w:pPr>
        <w:numPr>
          <w:ilvl w:val="0"/>
          <w:numId w:val="19"/>
        </w:numPr>
        <w:spacing w:after="0" w:line="240" w:lineRule="auto"/>
      </w:pPr>
      <w:r>
        <w:br w:type="page"/>
      </w:r>
      <w:r>
        <w:lastRenderedPageBreak/>
        <w:t>These questions are about your interaction with CWS over the past 12 months</w:t>
      </w:r>
    </w:p>
    <w:p w:rsidR="00D86A11" w:rsidRDefault="00D86A11" w:rsidP="00D86A11">
      <w:pPr>
        <w:spacing w:after="0" w:line="240" w:lineRule="auto"/>
      </w:pPr>
    </w:p>
    <w:p w:rsidR="00D86A11" w:rsidRDefault="00D86A11" w:rsidP="00D86A11">
      <w:pPr>
        <w:spacing w:after="0" w:line="240" w:lineRule="auto"/>
      </w:pPr>
      <w:r>
        <w:t>Over the past year, CWS staff……………………..</w:t>
      </w:r>
    </w:p>
    <w:tbl>
      <w:tblPr>
        <w:tblpPr w:leftFromText="180" w:rightFromText="180" w:vertAnchor="text" w:horzAnchor="margin" w:tblpXSpec="center" w:tblpY="76"/>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990"/>
        <w:gridCol w:w="1064"/>
        <w:gridCol w:w="1234"/>
        <w:gridCol w:w="1192"/>
        <w:gridCol w:w="992"/>
      </w:tblGrid>
      <w:tr w:rsidR="00D86A11">
        <w:trPr>
          <w:trHeight w:val="69"/>
        </w:trPr>
        <w:tc>
          <w:tcPr>
            <w:tcW w:w="4248"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i/>
                <w:color w:val="333333"/>
                <w:shd w:val="clear" w:color="auto" w:fill="558ED5"/>
              </w:rPr>
            </w:pPr>
          </w:p>
        </w:tc>
        <w:tc>
          <w:tcPr>
            <w:tcW w:w="990" w:type="dxa"/>
            <w:tcBorders>
              <w:top w:val="single" w:sz="4" w:space="0" w:color="000000"/>
              <w:left w:val="single" w:sz="4" w:space="0" w:color="000000"/>
              <w:bottom w:val="single" w:sz="4" w:space="0" w:color="000000"/>
              <w:right w:val="single" w:sz="4" w:space="0" w:color="000000"/>
            </w:tcBorders>
          </w:tcPr>
          <w:p w:rsidR="00D86A11" w:rsidRDefault="00D86A11">
            <w:pPr>
              <w:jc w:val="center"/>
              <w:rPr>
                <w:rFonts w:cs="Arial"/>
                <w:b/>
                <w:i/>
                <w:color w:val="333333"/>
              </w:rPr>
            </w:pPr>
            <w:r>
              <w:rPr>
                <w:rFonts w:cs="Arial"/>
                <w:b/>
                <w:i/>
                <w:color w:val="333333"/>
              </w:rPr>
              <w:t>N/A</w:t>
            </w:r>
          </w:p>
        </w:tc>
        <w:tc>
          <w:tcPr>
            <w:tcW w:w="1064" w:type="dxa"/>
            <w:tcBorders>
              <w:top w:val="single" w:sz="4" w:space="0" w:color="000000"/>
              <w:left w:val="single" w:sz="4" w:space="0" w:color="000000"/>
              <w:bottom w:val="single" w:sz="4" w:space="0" w:color="000000"/>
              <w:right w:val="single" w:sz="4" w:space="0" w:color="000000"/>
            </w:tcBorders>
          </w:tcPr>
          <w:p w:rsidR="00D86A11" w:rsidRDefault="00D86A11">
            <w:pPr>
              <w:jc w:val="center"/>
              <w:rPr>
                <w:rFonts w:cs="Arial"/>
                <w:b/>
                <w:i/>
                <w:color w:val="333333"/>
              </w:rPr>
            </w:pPr>
            <w:r>
              <w:rPr>
                <w:rFonts w:cs="Arial"/>
                <w:b/>
                <w:i/>
                <w:color w:val="333333"/>
              </w:rPr>
              <w:t>Not at all</w:t>
            </w:r>
          </w:p>
        </w:tc>
        <w:tc>
          <w:tcPr>
            <w:tcW w:w="1234" w:type="dxa"/>
            <w:tcBorders>
              <w:top w:val="single" w:sz="4" w:space="0" w:color="000000"/>
              <w:left w:val="single" w:sz="4" w:space="0" w:color="000000"/>
              <w:bottom w:val="single" w:sz="4" w:space="0" w:color="000000"/>
              <w:right w:val="single" w:sz="4" w:space="0" w:color="000000"/>
            </w:tcBorders>
          </w:tcPr>
          <w:p w:rsidR="00D86A11" w:rsidRDefault="00D86A11">
            <w:pPr>
              <w:jc w:val="center"/>
              <w:rPr>
                <w:rFonts w:cs="Arial"/>
                <w:b/>
                <w:i/>
                <w:color w:val="333333"/>
              </w:rPr>
            </w:pPr>
            <w:r>
              <w:rPr>
                <w:rFonts w:cs="Arial"/>
                <w:b/>
                <w:i/>
                <w:color w:val="333333"/>
              </w:rPr>
              <w:t>Only a little</w:t>
            </w:r>
          </w:p>
        </w:tc>
        <w:tc>
          <w:tcPr>
            <w:tcW w:w="1192" w:type="dxa"/>
            <w:tcBorders>
              <w:top w:val="single" w:sz="4" w:space="0" w:color="000000"/>
              <w:left w:val="single" w:sz="4" w:space="0" w:color="000000"/>
              <w:bottom w:val="single" w:sz="4" w:space="0" w:color="000000"/>
              <w:right w:val="single" w:sz="4" w:space="0" w:color="000000"/>
            </w:tcBorders>
          </w:tcPr>
          <w:p w:rsidR="00D86A11" w:rsidRDefault="00D86A11">
            <w:pPr>
              <w:jc w:val="center"/>
              <w:rPr>
                <w:rFonts w:cs="Arial"/>
                <w:b/>
                <w:i/>
                <w:color w:val="333333"/>
              </w:rPr>
            </w:pPr>
            <w:r>
              <w:rPr>
                <w:rFonts w:cs="Arial"/>
                <w:b/>
                <w:i/>
                <w:color w:val="333333"/>
              </w:rPr>
              <w:t>Somewhat</w:t>
            </w:r>
          </w:p>
        </w:tc>
        <w:tc>
          <w:tcPr>
            <w:tcW w:w="992" w:type="dxa"/>
            <w:tcBorders>
              <w:top w:val="single" w:sz="4" w:space="0" w:color="000000"/>
              <w:left w:val="single" w:sz="4" w:space="0" w:color="000000"/>
              <w:bottom w:val="single" w:sz="4" w:space="0" w:color="000000"/>
              <w:right w:val="single" w:sz="4" w:space="0" w:color="000000"/>
            </w:tcBorders>
          </w:tcPr>
          <w:p w:rsidR="00D86A11" w:rsidRDefault="00D86A11">
            <w:pPr>
              <w:jc w:val="center"/>
              <w:rPr>
                <w:rFonts w:cs="Arial"/>
                <w:b/>
                <w:i/>
                <w:color w:val="333333"/>
              </w:rPr>
            </w:pPr>
            <w:r>
              <w:rPr>
                <w:rFonts w:cs="Arial"/>
                <w:b/>
                <w:i/>
                <w:color w:val="333333"/>
              </w:rPr>
              <w:t>Very much</w:t>
            </w:r>
          </w:p>
        </w:tc>
      </w:tr>
      <w:tr w:rsidR="00D86A11">
        <w:trPr>
          <w:trHeight w:val="318"/>
        </w:trPr>
        <w:tc>
          <w:tcPr>
            <w:tcW w:w="4248"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i/>
                <w:color w:val="333333"/>
                <w:sz w:val="20"/>
              </w:rPr>
            </w:pPr>
            <w:r>
              <w:rPr>
                <w:rFonts w:cs="Arial"/>
                <w:color w:val="333333"/>
                <w:sz w:val="20"/>
              </w:rPr>
              <w:t>Utilized open and clear communication when engaging with families</w:t>
            </w:r>
            <w:r>
              <w:rPr>
                <w:rFonts w:cs="Arial"/>
                <w:i/>
                <w:color w:val="333333"/>
                <w:sz w:val="20"/>
              </w:rPr>
              <w:t>.</w:t>
            </w:r>
          </w:p>
        </w:tc>
        <w:tc>
          <w:tcPr>
            <w:tcW w:w="990"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06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23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1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9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r>
      <w:tr w:rsidR="00D86A11">
        <w:trPr>
          <w:trHeight w:val="310"/>
        </w:trPr>
        <w:tc>
          <w:tcPr>
            <w:tcW w:w="4248"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i/>
                <w:color w:val="333333"/>
                <w:sz w:val="20"/>
              </w:rPr>
            </w:pPr>
            <w:r>
              <w:rPr>
                <w:rFonts w:cs="Arial"/>
                <w:color w:val="333333"/>
                <w:sz w:val="20"/>
              </w:rPr>
              <w:t xml:space="preserve">Recognized and appreciated family culture. </w:t>
            </w:r>
          </w:p>
        </w:tc>
        <w:tc>
          <w:tcPr>
            <w:tcW w:w="990"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06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23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1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9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r>
      <w:tr w:rsidR="00D86A11">
        <w:trPr>
          <w:trHeight w:val="296"/>
        </w:trPr>
        <w:tc>
          <w:tcPr>
            <w:tcW w:w="4248"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i/>
                <w:color w:val="333333"/>
                <w:sz w:val="20"/>
              </w:rPr>
            </w:pPr>
            <w:r>
              <w:rPr>
                <w:rFonts w:cs="Arial"/>
                <w:color w:val="333333"/>
                <w:sz w:val="20"/>
              </w:rPr>
              <w:t xml:space="preserve">Incorporated the child/youth's voice at meetings to inform key decisions. </w:t>
            </w:r>
          </w:p>
        </w:tc>
        <w:tc>
          <w:tcPr>
            <w:tcW w:w="990"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06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23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1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9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r>
      <w:tr w:rsidR="00D86A11">
        <w:trPr>
          <w:trHeight w:val="468"/>
        </w:trPr>
        <w:tc>
          <w:tcPr>
            <w:tcW w:w="4248"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i/>
                <w:color w:val="333333"/>
                <w:sz w:val="20"/>
              </w:rPr>
            </w:pPr>
            <w:r>
              <w:rPr>
                <w:rFonts w:cs="Arial"/>
                <w:color w:val="333333"/>
                <w:sz w:val="20"/>
              </w:rPr>
              <w:t xml:space="preserve">Utilized a Safety-Organized Practice (SOP) approach for engagement and assessment. </w:t>
            </w:r>
          </w:p>
        </w:tc>
        <w:tc>
          <w:tcPr>
            <w:tcW w:w="990"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06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23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1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9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r>
      <w:tr w:rsidR="00D86A11">
        <w:trPr>
          <w:trHeight w:val="339"/>
        </w:trPr>
        <w:tc>
          <w:tcPr>
            <w:tcW w:w="4248"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i/>
                <w:color w:val="333333"/>
                <w:sz w:val="20"/>
              </w:rPr>
            </w:pPr>
            <w:r>
              <w:rPr>
                <w:rFonts w:cs="Arial"/>
                <w:color w:val="333333"/>
                <w:sz w:val="20"/>
              </w:rPr>
              <w:t xml:space="preserve">Partnered with families when creating case plans. </w:t>
            </w:r>
          </w:p>
        </w:tc>
        <w:tc>
          <w:tcPr>
            <w:tcW w:w="990"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06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23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1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9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r>
      <w:tr w:rsidR="00D86A11">
        <w:trPr>
          <w:trHeight w:val="339"/>
        </w:trPr>
        <w:tc>
          <w:tcPr>
            <w:tcW w:w="4248"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i/>
                <w:color w:val="333333"/>
                <w:sz w:val="20"/>
              </w:rPr>
            </w:pPr>
            <w:r>
              <w:rPr>
                <w:rFonts w:cs="Arial"/>
                <w:color w:val="333333"/>
                <w:sz w:val="20"/>
              </w:rPr>
              <w:t xml:space="preserve">Developed behaviorally based case plan with families. </w:t>
            </w:r>
          </w:p>
        </w:tc>
        <w:tc>
          <w:tcPr>
            <w:tcW w:w="990"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06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23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1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9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r>
      <w:tr w:rsidR="00D86A11">
        <w:trPr>
          <w:trHeight w:val="425"/>
        </w:trPr>
        <w:tc>
          <w:tcPr>
            <w:tcW w:w="4248"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i/>
                <w:color w:val="333333"/>
                <w:sz w:val="20"/>
              </w:rPr>
            </w:pPr>
            <w:r>
              <w:rPr>
                <w:rFonts w:cs="Arial"/>
                <w:color w:val="333333"/>
                <w:sz w:val="20"/>
              </w:rPr>
              <w:t xml:space="preserve">Identified/maintained a support system/safety network to strengthen families. </w:t>
            </w:r>
          </w:p>
        </w:tc>
        <w:tc>
          <w:tcPr>
            <w:tcW w:w="990"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06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23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1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9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r>
      <w:tr w:rsidR="00D86A11">
        <w:trPr>
          <w:trHeight w:val="598"/>
        </w:trPr>
        <w:tc>
          <w:tcPr>
            <w:tcW w:w="4248"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color w:val="333333"/>
                <w:sz w:val="20"/>
              </w:rPr>
            </w:pPr>
            <w:r>
              <w:rPr>
                <w:rFonts w:cs="Arial"/>
                <w:color w:val="333333"/>
                <w:sz w:val="20"/>
              </w:rPr>
              <w:t xml:space="preserve">Established or maintained collaboration with schools, public health, public safety and other community partners (or solicited input of community partners). </w:t>
            </w:r>
          </w:p>
        </w:tc>
        <w:tc>
          <w:tcPr>
            <w:tcW w:w="990"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06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23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1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9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r>
      <w:tr w:rsidR="00D86A11">
        <w:trPr>
          <w:trHeight w:val="438"/>
        </w:trPr>
        <w:tc>
          <w:tcPr>
            <w:tcW w:w="4248"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i/>
                <w:color w:val="333333"/>
                <w:sz w:val="20"/>
              </w:rPr>
            </w:pPr>
            <w:r>
              <w:rPr>
                <w:rFonts w:cs="Arial"/>
                <w:color w:val="333333"/>
                <w:sz w:val="20"/>
              </w:rPr>
              <w:t xml:space="preserve">Worked to maintain children's connections to siblings, family, school and community of origin. </w:t>
            </w:r>
          </w:p>
        </w:tc>
        <w:tc>
          <w:tcPr>
            <w:tcW w:w="990"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06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23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1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9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r>
      <w:tr w:rsidR="00D86A11">
        <w:trPr>
          <w:trHeight w:val="339"/>
        </w:trPr>
        <w:tc>
          <w:tcPr>
            <w:tcW w:w="4248"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i/>
                <w:color w:val="333333"/>
                <w:sz w:val="20"/>
              </w:rPr>
            </w:pPr>
            <w:r>
              <w:rPr>
                <w:rFonts w:cs="Arial"/>
                <w:color w:val="333333"/>
                <w:sz w:val="20"/>
              </w:rPr>
              <w:t xml:space="preserve">Utilized Family-Centered Meetings at key decision points. </w:t>
            </w:r>
          </w:p>
        </w:tc>
        <w:tc>
          <w:tcPr>
            <w:tcW w:w="990"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06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23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1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9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r>
      <w:tr w:rsidR="00D86A11">
        <w:trPr>
          <w:trHeight w:val="296"/>
        </w:trPr>
        <w:tc>
          <w:tcPr>
            <w:tcW w:w="4248"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i/>
                <w:color w:val="333333"/>
                <w:sz w:val="20"/>
              </w:rPr>
            </w:pPr>
            <w:r>
              <w:rPr>
                <w:rFonts w:cs="Arial"/>
                <w:color w:val="333333"/>
                <w:sz w:val="20"/>
              </w:rPr>
              <w:t xml:space="preserve">Included kinship/resource families in Family Centered Meetings </w:t>
            </w:r>
          </w:p>
        </w:tc>
        <w:tc>
          <w:tcPr>
            <w:tcW w:w="990"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06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23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1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9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r>
      <w:tr w:rsidR="00D86A11">
        <w:trPr>
          <w:trHeight w:val="425"/>
        </w:trPr>
        <w:tc>
          <w:tcPr>
            <w:tcW w:w="4248"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i/>
                <w:color w:val="333333"/>
                <w:sz w:val="20"/>
              </w:rPr>
            </w:pPr>
            <w:r>
              <w:rPr>
                <w:rFonts w:cs="Arial"/>
                <w:color w:val="333333"/>
                <w:sz w:val="20"/>
              </w:rPr>
              <w:t xml:space="preserve">Identified family support systems using eco-maps, genograms, Circles of Safety and Support. </w:t>
            </w:r>
          </w:p>
        </w:tc>
        <w:tc>
          <w:tcPr>
            <w:tcW w:w="990"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06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23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1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9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r>
      <w:tr w:rsidR="00D86A11">
        <w:trPr>
          <w:trHeight w:val="395"/>
        </w:trPr>
        <w:tc>
          <w:tcPr>
            <w:tcW w:w="4248"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i/>
                <w:color w:val="333333"/>
                <w:sz w:val="20"/>
              </w:rPr>
            </w:pPr>
            <w:r>
              <w:rPr>
                <w:rFonts w:cs="Arial"/>
                <w:color w:val="333333"/>
                <w:sz w:val="20"/>
              </w:rPr>
              <w:t xml:space="preserve">Established aftercare plans with children, youth and families to provide support after case or referral closure. </w:t>
            </w:r>
          </w:p>
        </w:tc>
        <w:tc>
          <w:tcPr>
            <w:tcW w:w="990"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06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234"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11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c>
          <w:tcPr>
            <w:tcW w:w="992" w:type="dxa"/>
            <w:tcBorders>
              <w:top w:val="single" w:sz="4" w:space="0" w:color="000000"/>
              <w:left w:val="single" w:sz="4" w:space="0" w:color="000000"/>
              <w:bottom w:val="single" w:sz="4" w:space="0" w:color="000000"/>
              <w:right w:val="single" w:sz="4" w:space="0" w:color="000000"/>
            </w:tcBorders>
            <w:vAlign w:val="center"/>
          </w:tcPr>
          <w:p w:rsidR="007D4F45" w:rsidRDefault="00D86A11">
            <w:pPr>
              <w:jc w:val="center"/>
              <w:rPr>
                <w:rFonts w:cs="Perpetua"/>
              </w:rPr>
            </w:pPr>
            <w:r>
              <w:rPr>
                <w:rFonts w:cs="Perpetua"/>
              </w:rPr>
              <w:sym w:font="Wingdings" w:char="F0A6"/>
            </w:r>
          </w:p>
        </w:tc>
      </w:tr>
    </w:tbl>
    <w:p w:rsidR="00D86A11" w:rsidRDefault="00D86A11" w:rsidP="00D86A11">
      <w:pPr>
        <w:rPr>
          <w:b/>
          <w:color w:val="013161"/>
          <w:spacing w:val="20"/>
          <w:sz w:val="24"/>
          <w:szCs w:val="28"/>
        </w:rPr>
      </w:pPr>
    </w:p>
    <w:p w:rsidR="00D86A11" w:rsidRDefault="00D86A11" w:rsidP="00D86A11">
      <w:pPr>
        <w:rPr>
          <w:color w:val="013161"/>
          <w:sz w:val="28"/>
          <w:szCs w:val="32"/>
        </w:rPr>
      </w:pPr>
    </w:p>
    <w:p w:rsidR="00D86A11" w:rsidRDefault="00D86A11" w:rsidP="00D86A11">
      <w:pPr>
        <w:pStyle w:val="Heading2"/>
        <w:rPr>
          <w:rFonts w:ascii="Perpetua" w:hAnsi="Perpetua"/>
          <w:color w:val="013161"/>
          <w:sz w:val="28"/>
        </w:rPr>
      </w:pPr>
      <w:r>
        <w:rPr>
          <w:b w:val="0"/>
          <w:color w:val="013161"/>
          <w:sz w:val="28"/>
          <w:szCs w:val="32"/>
        </w:rPr>
        <w:br w:type="page"/>
      </w:r>
      <w:r w:rsidR="00763E81">
        <w:rPr>
          <w:noProof/>
        </w:rPr>
        <w:lastRenderedPageBreak/>
        <mc:AlternateContent>
          <mc:Choice Requires="wps">
            <w:drawing>
              <wp:anchor distT="0" distB="0" distL="91440" distR="91440" simplePos="0" relativeHeight="251676672" behindDoc="0" locked="0" layoutInCell="1" allowOverlap="1">
                <wp:simplePos x="0" y="0"/>
                <wp:positionH relativeFrom="margin">
                  <wp:posOffset>16510</wp:posOffset>
                </wp:positionH>
                <wp:positionV relativeFrom="line">
                  <wp:posOffset>-5629275</wp:posOffset>
                </wp:positionV>
                <wp:extent cx="5647055" cy="1057910"/>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055" cy="1057910"/>
                        </a:xfrm>
                        <a:prstGeom prst="rect">
                          <a:avLst/>
                        </a:prstGeom>
                        <a:noFill/>
                        <a:ln w="6350">
                          <a:noFill/>
                        </a:ln>
                        <a:effectLst/>
                      </wps:spPr>
                      <wps:txbx>
                        <w:txbxContent>
                          <w:p w:rsidR="009103E6" w:rsidRDefault="009103E6">
                            <w:pPr>
                              <w:pStyle w:val="ColorfulGrid-Accent11"/>
                              <w:pBdr>
                                <w:top w:val="single" w:sz="48" w:space="1" w:color="013161"/>
                                <w:bottom w:val="single" w:sz="48" w:space="1" w:color="013161"/>
                              </w:pBdr>
                              <w:spacing w:line="300" w:lineRule="auto"/>
                              <w:jc w:val="center"/>
                              <w:rPr>
                                <w:rFonts w:ascii="Myriad Pro" w:hAnsi="Myriad Pro"/>
                                <w:b/>
                                <w:color w:val="2E7029"/>
                                <w:kern w:val="24"/>
                                <w:sz w:val="2"/>
                              </w:rPr>
                            </w:pPr>
                          </w:p>
                          <w:p w:rsidR="009103E6" w:rsidRDefault="009103E6">
                            <w:pPr>
                              <w:pStyle w:val="ColorfulGrid-Accent11"/>
                              <w:pBdr>
                                <w:top w:val="single" w:sz="48" w:space="1" w:color="013161"/>
                                <w:bottom w:val="single" w:sz="48" w:space="1" w:color="013161"/>
                              </w:pBdr>
                              <w:spacing w:line="300" w:lineRule="auto"/>
                              <w:jc w:val="center"/>
                              <w:rPr>
                                <w:rFonts w:eastAsia="Calibri"/>
                                <w:color w:val="2E7029"/>
                                <w:sz w:val="21"/>
                              </w:rPr>
                            </w:pPr>
                            <w:r>
                              <w:rPr>
                                <w:b/>
                                <w:color w:val="2E7029"/>
                                <w:kern w:val="24"/>
                                <w:sz w:val="28"/>
                              </w:rPr>
                              <w:t>San Diego County Child Welfare Services and Juvenile Probation Stakeholder Survey Summary</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1.3pt;margin-top:-443.25pt;width:444.65pt;height:83.3pt;z-index:25167667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" filled="f" stroked="f" strokeweight=".5pt">
                <v:path arrowok="t"/>
                <v:textbox inset="0,7.2pt,0,7.2pt">
                  <w:txbxContent>
                    <w:p w:rsidR="009103E6" w:rsidRDefault="009103E6">
                      <w:pPr>
                        <w:pStyle w:val="ColorfulGrid-Accent11"/>
                        <w:pBdr>
                          <w:top w:val="single" w:sz="48" w:space="1" w:color="013161"/>
                          <w:bottom w:val="single" w:sz="48" w:space="1" w:color="013161"/>
                        </w:pBdr>
                        <w:spacing w:line="300" w:lineRule="auto"/>
                        <w:jc w:val="center"/>
                        <w:rPr>
                          <w:rFonts w:ascii="Myriad Pro" w:hAnsi="Myriad Pro"/>
                          <w:b/>
                          <w:color w:val="2E7029"/>
                          <w:kern w:val="24"/>
                          <w:sz w:val="2"/>
                        </w:rPr>
                      </w:pPr>
                    </w:p>
                    <w:p w:rsidR="009103E6" w:rsidRDefault="009103E6">
                      <w:pPr>
                        <w:pStyle w:val="ColorfulGrid-Accent11"/>
                        <w:pBdr>
                          <w:top w:val="single" w:sz="48" w:space="1" w:color="013161"/>
                          <w:bottom w:val="single" w:sz="48" w:space="1" w:color="013161"/>
                        </w:pBdr>
                        <w:spacing w:line="300" w:lineRule="auto"/>
                        <w:jc w:val="center"/>
                        <w:rPr>
                          <w:rFonts w:eastAsia="Calibri"/>
                          <w:color w:val="2E7029"/>
                          <w:sz w:val="21"/>
                        </w:rPr>
                      </w:pPr>
                      <w:r>
                        <w:rPr>
                          <w:b/>
                          <w:color w:val="2E7029"/>
                          <w:kern w:val="24"/>
                          <w:sz w:val="28"/>
                        </w:rPr>
                        <w:t>San Diego County Child Welfare Services and Juvenile Probation Stakeholder Survey Summary</w:t>
                      </w:r>
                    </w:p>
                  </w:txbxContent>
                </v:textbox>
                <w10:wrap type="square" anchorx="margin" anchory="line"/>
              </v:shape>
            </w:pict>
          </mc:Fallback>
        </mc:AlternateContent>
      </w:r>
      <w:r>
        <w:rPr>
          <w:rFonts w:ascii="Perpetua" w:hAnsi="Perpetua"/>
          <w:color w:val="013161"/>
          <w:sz w:val="28"/>
          <w:szCs w:val="32"/>
        </w:rPr>
        <w:t>Appendix F: Stakeholder Survey Results</w:t>
      </w:r>
    </w:p>
    <w:p w:rsidR="00D86A11" w:rsidRDefault="00763E81" w:rsidP="00D86A11">
      <w:r>
        <w:rPr>
          <w:noProof/>
        </w:rPr>
        <mc:AlternateContent>
          <mc:Choice Requires="wps">
            <w:drawing>
              <wp:anchor distT="0" distB="0" distL="91440" distR="91440" simplePos="0" relativeHeight="251693056" behindDoc="0" locked="0" layoutInCell="1" allowOverlap="1">
                <wp:simplePos x="0" y="0"/>
                <wp:positionH relativeFrom="margin">
                  <wp:posOffset>140335</wp:posOffset>
                </wp:positionH>
                <wp:positionV relativeFrom="line">
                  <wp:posOffset>127000</wp:posOffset>
                </wp:positionV>
                <wp:extent cx="5647055" cy="1057910"/>
                <wp:effectExtent l="0" t="0" r="0" b="0"/>
                <wp:wrapSquare wrapText="bothSides"/>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055" cy="1057910"/>
                        </a:xfrm>
                        <a:prstGeom prst="rect">
                          <a:avLst/>
                        </a:prstGeom>
                        <a:noFill/>
                        <a:ln w="6350">
                          <a:noFill/>
                        </a:ln>
                        <a:effectLst/>
                      </wps:spPr>
                      <wps:txbx>
                        <w:txbxContent>
                          <w:p w:rsidR="009103E6" w:rsidRDefault="009103E6">
                            <w:pPr>
                              <w:pStyle w:val="ColorfulGrid-Accent11"/>
                              <w:pBdr>
                                <w:top w:val="single" w:sz="48" w:space="1" w:color="013161"/>
                                <w:bottom w:val="single" w:sz="48" w:space="1" w:color="013161"/>
                              </w:pBdr>
                              <w:spacing w:line="300" w:lineRule="auto"/>
                              <w:jc w:val="center"/>
                              <w:rPr>
                                <w:rFonts w:ascii="Myriad Pro" w:hAnsi="Myriad Pro"/>
                                <w:b/>
                                <w:color w:val="2E7029"/>
                                <w:kern w:val="24"/>
                                <w:sz w:val="2"/>
                              </w:rPr>
                            </w:pPr>
                          </w:p>
                          <w:p w:rsidR="009103E6" w:rsidRDefault="009103E6">
                            <w:pPr>
                              <w:pStyle w:val="ColorfulGrid-Accent11"/>
                              <w:pBdr>
                                <w:top w:val="single" w:sz="48" w:space="1" w:color="013161"/>
                                <w:bottom w:val="single" w:sz="48" w:space="1" w:color="013161"/>
                              </w:pBdr>
                              <w:spacing w:line="300" w:lineRule="auto"/>
                              <w:jc w:val="center"/>
                              <w:rPr>
                                <w:rFonts w:eastAsia="Calibri"/>
                                <w:color w:val="2E7029"/>
                                <w:sz w:val="21"/>
                              </w:rPr>
                            </w:pPr>
                            <w:r>
                              <w:rPr>
                                <w:b/>
                                <w:color w:val="2E7029"/>
                                <w:kern w:val="24"/>
                                <w:sz w:val="28"/>
                              </w:rPr>
                              <w:t>San Diego County Child Welfare Services and Juvenile Probation Stakeholder Survey Summary</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11.05pt;margin-top:10pt;width:444.65pt;height:83.3pt;z-index:25169305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" filled="f" stroked="f" strokeweight=".5pt">
                <v:path arrowok="t"/>
                <v:textbox inset="0,7.2pt,0,7.2pt">
                  <w:txbxContent>
                    <w:p w:rsidR="009103E6" w:rsidRDefault="009103E6">
                      <w:pPr>
                        <w:pStyle w:val="ColorfulGrid-Accent11"/>
                        <w:pBdr>
                          <w:top w:val="single" w:sz="48" w:space="1" w:color="013161"/>
                          <w:bottom w:val="single" w:sz="48" w:space="1" w:color="013161"/>
                        </w:pBdr>
                        <w:spacing w:line="300" w:lineRule="auto"/>
                        <w:jc w:val="center"/>
                        <w:rPr>
                          <w:rFonts w:ascii="Myriad Pro" w:hAnsi="Myriad Pro"/>
                          <w:b/>
                          <w:color w:val="2E7029"/>
                          <w:kern w:val="24"/>
                          <w:sz w:val="2"/>
                        </w:rPr>
                      </w:pPr>
                    </w:p>
                    <w:p w:rsidR="009103E6" w:rsidRDefault="009103E6">
                      <w:pPr>
                        <w:pStyle w:val="ColorfulGrid-Accent11"/>
                        <w:pBdr>
                          <w:top w:val="single" w:sz="48" w:space="1" w:color="013161"/>
                          <w:bottom w:val="single" w:sz="48" w:space="1" w:color="013161"/>
                        </w:pBdr>
                        <w:spacing w:line="300" w:lineRule="auto"/>
                        <w:jc w:val="center"/>
                        <w:rPr>
                          <w:rFonts w:eastAsia="Calibri"/>
                          <w:color w:val="2E7029"/>
                          <w:sz w:val="21"/>
                        </w:rPr>
                      </w:pPr>
                      <w:r>
                        <w:rPr>
                          <w:b/>
                          <w:color w:val="2E7029"/>
                          <w:kern w:val="24"/>
                          <w:sz w:val="28"/>
                        </w:rPr>
                        <w:t>San Diego County Child Welfare Services and Juvenile Probation Stakeholder Survey Summary</w:t>
                      </w:r>
                    </w:p>
                  </w:txbxContent>
                </v:textbox>
                <w10:wrap type="square" anchorx="margin" anchory="line"/>
              </v:shape>
            </w:pict>
          </mc:Fallback>
        </mc:AlternateContent>
      </w:r>
    </w:p>
    <w:p w:rsidR="00D86A11" w:rsidRDefault="00D86A11" w:rsidP="00D86A11">
      <w:pPr>
        <w:rPr>
          <w:sz w:val="24"/>
        </w:rPr>
      </w:pPr>
      <w:r>
        <w:t xml:space="preserve">This summary reflects responses provided by stakeholders to an online survey released March 15, 2016 by San Diego County Child Welfare Services (CWS) and Juvenile Probation as part of the County Self-Assessment (CSA) stakeholder input process.  The survey gathered stakeholder perceptions regarding the most effective services to prevent children from re-entering the foster care system and to help children achieve timely permanency, either through reunification, guardianship, or adoption. The email invitation was sent out to stakeholders invited to attend the CSA forums of </w:t>
      </w:r>
      <w:r w:rsidR="00A56CE5">
        <w:t>which</w:t>
      </w:r>
      <w:r>
        <w:t xml:space="preserve"> 48</w:t>
      </w:r>
      <w:r>
        <w:rPr>
          <w:rStyle w:val="FootnoteReference"/>
        </w:rPr>
        <w:footnoteReference w:id="8"/>
      </w:r>
      <w:r>
        <w:t xml:space="preserve"> completed the survey</w:t>
      </w:r>
      <w:r>
        <w:rPr>
          <w:sz w:val="24"/>
        </w:rPr>
        <w:t xml:space="preserve">. </w:t>
      </w:r>
    </w:p>
    <w:p w:rsidR="00D86A11" w:rsidRDefault="000B1863" w:rsidP="00D86A11">
      <w:pPr>
        <w:spacing w:before="240"/>
        <w:jc w:val="center"/>
        <w:rPr>
          <w:b/>
          <w:i/>
        </w:rPr>
      </w:pPr>
      <w:r w:rsidRPr="00A22BD8">
        <w:rPr>
          <w:noProof/>
        </w:rPr>
        <w:drawing>
          <wp:anchor distT="0" distB="0" distL="114300" distR="114300" simplePos="0" relativeHeight="251859968" behindDoc="1" locked="0" layoutInCell="1" allowOverlap="1">
            <wp:simplePos x="0" y="0"/>
            <wp:positionH relativeFrom="column">
              <wp:posOffset>875030</wp:posOffset>
            </wp:positionH>
            <wp:positionV relativeFrom="paragraph">
              <wp:posOffset>187960</wp:posOffset>
            </wp:positionV>
            <wp:extent cx="4554855" cy="2446655"/>
            <wp:effectExtent l="0" t="0" r="0" b="0"/>
            <wp:wrapTight wrapText="bothSides">
              <wp:wrapPolygon edited="0">
                <wp:start x="136" y="420"/>
                <wp:lineTo x="136" y="21011"/>
                <wp:lineTo x="21374" y="21011"/>
                <wp:lineTo x="21374" y="420"/>
                <wp:lineTo x="136" y="420"/>
              </wp:wrapPolygon>
            </wp:wrapTight>
            <wp:docPr id="359"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C17026">
        <w:rPr>
          <w:noProof/>
        </w:rPr>
        <w:drawing>
          <wp:anchor distT="0" distB="0" distL="114300" distR="114300" simplePos="0" relativeHeight="251677696" behindDoc="1" locked="0" layoutInCell="1" allowOverlap="1">
            <wp:simplePos x="0" y="0"/>
            <wp:positionH relativeFrom="column">
              <wp:posOffset>875030</wp:posOffset>
            </wp:positionH>
            <wp:positionV relativeFrom="paragraph">
              <wp:posOffset>187960</wp:posOffset>
            </wp:positionV>
            <wp:extent cx="4554855" cy="2446655"/>
            <wp:effectExtent l="0" t="0" r="0" b="3810"/>
            <wp:wrapTight wrapText="bothSides">
              <wp:wrapPolygon edited="0">
                <wp:start x="136" y="420"/>
                <wp:lineTo x="136" y="21011"/>
                <wp:lineTo x="21374" y="21011"/>
                <wp:lineTo x="21374" y="420"/>
                <wp:lineTo x="136" y="420"/>
              </wp:wrapPolygon>
            </wp:wrapTight>
            <wp:docPr id="46"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D86A11">
        <w:rPr>
          <w:b/>
        </w:rPr>
        <w:t xml:space="preserve">Exhibit 1. Stakeholder Affiliation: </w:t>
      </w:r>
      <w:r w:rsidR="00D86A11">
        <w:rPr>
          <w:color w:val="808080"/>
        </w:rPr>
        <w:t>(</w:t>
      </w:r>
      <w:r w:rsidR="00D86A11">
        <w:rPr>
          <w:i/>
          <w:color w:val="808080"/>
        </w:rPr>
        <w:t>n=48)</w:t>
      </w:r>
    </w:p>
    <w:p w:rsidR="00D86A11" w:rsidRDefault="00D86A11" w:rsidP="00D86A11">
      <w:pPr>
        <w:jc w:val="center"/>
        <w:rPr>
          <w:b/>
          <w:i/>
          <w:sz w:val="28"/>
        </w:rPr>
      </w:pPr>
    </w:p>
    <w:p w:rsidR="00D86A11" w:rsidRDefault="00D86A11" w:rsidP="00D86A11">
      <w:pPr>
        <w:jc w:val="center"/>
        <w:rPr>
          <w:b/>
        </w:rPr>
      </w:pPr>
    </w:p>
    <w:p w:rsidR="00D86A11" w:rsidRDefault="00D86A11" w:rsidP="00D86A11">
      <w:pPr>
        <w:jc w:val="center"/>
        <w:rPr>
          <w:b/>
        </w:rPr>
      </w:pPr>
    </w:p>
    <w:p w:rsidR="00D86A11" w:rsidRDefault="00D86A11" w:rsidP="00D86A11">
      <w:pPr>
        <w:jc w:val="center"/>
        <w:rPr>
          <w:b/>
        </w:rPr>
      </w:pPr>
    </w:p>
    <w:p w:rsidR="00D86A11" w:rsidRDefault="00D86A11" w:rsidP="00D86A11">
      <w:pPr>
        <w:jc w:val="center"/>
        <w:rPr>
          <w:b/>
        </w:rPr>
      </w:pPr>
    </w:p>
    <w:p w:rsidR="00D86A11" w:rsidRDefault="00D86A11" w:rsidP="00D86A11">
      <w:pPr>
        <w:jc w:val="center"/>
        <w:rPr>
          <w:b/>
        </w:rPr>
      </w:pPr>
    </w:p>
    <w:p w:rsidR="00D86A11" w:rsidRDefault="00D86A11" w:rsidP="00D86A11">
      <w:pPr>
        <w:jc w:val="center"/>
        <w:rPr>
          <w:b/>
        </w:rPr>
      </w:pPr>
    </w:p>
    <w:p w:rsidR="00D86A11" w:rsidRDefault="00D86A11" w:rsidP="00D86A11">
      <w:pPr>
        <w:jc w:val="center"/>
        <w:rPr>
          <w:b/>
        </w:rPr>
      </w:pPr>
    </w:p>
    <w:p w:rsidR="00D86A11" w:rsidRDefault="00D86A11" w:rsidP="00D86A11">
      <w:pPr>
        <w:rPr>
          <w:b/>
        </w:rPr>
      </w:pPr>
    </w:p>
    <w:p w:rsidR="00D86A11" w:rsidRDefault="00D86A11" w:rsidP="00D86A11">
      <w:pPr>
        <w:jc w:val="center"/>
      </w:pPr>
      <w:r>
        <w:rPr>
          <w:b/>
        </w:rPr>
        <w:t>Exhibit 2. Longevity at the Agency</w:t>
      </w:r>
      <w:r>
        <w:t xml:space="preserve"> </w:t>
      </w:r>
      <w:r>
        <w:rPr>
          <w:i/>
          <w:color w:val="808080"/>
        </w:rPr>
        <w:t>(n=46)</w:t>
      </w:r>
    </w:p>
    <w:p w:rsidR="00D86A11" w:rsidRDefault="000B1863" w:rsidP="00D86A11">
      <w:pPr>
        <w:rPr>
          <w:sz w:val="24"/>
        </w:rPr>
      </w:pPr>
      <w:r w:rsidRPr="000A648C">
        <w:rPr>
          <w:noProof/>
        </w:rPr>
        <w:lastRenderedPageBreak/>
        <w:drawing>
          <wp:anchor distT="0" distB="0" distL="114300" distR="114300" simplePos="0" relativeHeight="251862016" behindDoc="1" locked="0" layoutInCell="1" allowOverlap="1">
            <wp:simplePos x="0" y="0"/>
            <wp:positionH relativeFrom="margin">
              <wp:posOffset>20320</wp:posOffset>
            </wp:positionH>
            <wp:positionV relativeFrom="paragraph">
              <wp:posOffset>51435</wp:posOffset>
            </wp:positionV>
            <wp:extent cx="6137275" cy="1662430"/>
            <wp:effectExtent l="0" t="0" r="0" b="635"/>
            <wp:wrapTight wrapText="bothSides">
              <wp:wrapPolygon edited="0">
                <wp:start x="1676" y="2591"/>
                <wp:lineTo x="536" y="3581"/>
                <wp:lineTo x="469" y="3705"/>
                <wp:lineTo x="469" y="14067"/>
                <wp:lineTo x="1542" y="14686"/>
                <wp:lineTo x="1509" y="15800"/>
                <wp:lineTo x="2081" y="16171"/>
                <wp:lineTo x="19957" y="16171"/>
                <wp:lineTo x="20795" y="15676"/>
                <wp:lineTo x="20628" y="14810"/>
                <wp:lineTo x="21131" y="14067"/>
                <wp:lineTo x="21131" y="3705"/>
                <wp:lineTo x="20594" y="3457"/>
                <wp:lineTo x="12980" y="2591"/>
                <wp:lineTo x="1676" y="2591"/>
              </wp:wrapPolygon>
            </wp:wrapTight>
            <wp:docPr id="360"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D86A11" w:rsidRDefault="00D86A11" w:rsidP="00D86A11">
      <w:pPr>
        <w:rPr>
          <w:sz w:val="24"/>
        </w:rPr>
      </w:pPr>
    </w:p>
    <w:p w:rsidR="00D86A11" w:rsidRDefault="00D86A11" w:rsidP="00D86A11">
      <w:pPr>
        <w:pStyle w:val="Heading1"/>
        <w:rPr>
          <w:rFonts w:ascii="Perpetua" w:hAnsi="Perpetua"/>
          <w:b w:val="0"/>
          <w:color w:val="auto"/>
          <w:sz w:val="21"/>
        </w:rPr>
      </w:pPr>
    </w:p>
    <w:p w:rsidR="00D86A11" w:rsidRDefault="00763E81" w:rsidP="00D86A11">
      <w:pPr>
        <w:pStyle w:val="Heading1"/>
        <w:rPr>
          <w:rFonts w:ascii="Perpetua" w:hAnsi="Perpetua"/>
          <w:color w:val="2E7029"/>
          <w:sz w:val="52"/>
        </w:rPr>
      </w:pPr>
      <w:r>
        <w:rPr>
          <w:noProof/>
        </w:rPr>
        <mc:AlternateContent>
          <mc:Choice Requires="wps">
            <w:drawing>
              <wp:anchor distT="4294967294" distB="4294967294" distL="114300" distR="114300" simplePos="0" relativeHeight="251689984" behindDoc="0" locked="0" layoutInCell="1" allowOverlap="1">
                <wp:simplePos x="0" y="0"/>
                <wp:positionH relativeFrom="column">
                  <wp:posOffset>-137160</wp:posOffset>
                </wp:positionH>
                <wp:positionV relativeFrom="paragraph">
                  <wp:posOffset>-40006</wp:posOffset>
                </wp:positionV>
                <wp:extent cx="6315710" cy="0"/>
                <wp:effectExtent l="0" t="19050" r="27940" b="19050"/>
                <wp:wrapNone/>
                <wp:docPr id="26"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5710" cy="0"/>
                        </a:xfrm>
                        <a:prstGeom prst="line">
                          <a:avLst/>
                        </a:prstGeom>
                        <a:noFill/>
                        <a:ln w="57150" cap="flat" cmpd="sng" algn="ctr">
                          <a:solidFill>
                            <a:srgbClr val="01316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C073F62" id="Straight Connector 24"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pt,-3.15pt" to="486.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" strokecolor="#013161" strokeweight="4.5pt">
                <o:lock v:ext="edit" shapetype="f"/>
              </v:line>
            </w:pict>
          </mc:Fallback>
        </mc:AlternateContent>
      </w:r>
      <w:r w:rsidR="00D86A11">
        <w:rPr>
          <w:rFonts w:ascii="Perpetua" w:hAnsi="Perpetua"/>
          <w:color w:val="2E7029"/>
          <w:sz w:val="52"/>
        </w:rPr>
        <w:t>Probation Services</w:t>
      </w:r>
    </w:p>
    <w:p w:rsidR="000B1863" w:rsidRDefault="000B1863" w:rsidP="000A648C">
      <w:pPr>
        <w:pStyle w:val="MediumGrid21"/>
      </w:pPr>
    </w:p>
    <w:p w:rsidR="00D86A11" w:rsidRDefault="000B1863" w:rsidP="00D86A11">
      <w:pPr>
        <w:jc w:val="center"/>
        <w:rPr>
          <w:rFonts w:cs="Arial"/>
          <w:b/>
          <w:color w:val="333333"/>
          <w:szCs w:val="30"/>
        </w:rPr>
      </w:pPr>
      <w:r w:rsidRPr="000A648C">
        <w:rPr>
          <w:noProof/>
        </w:rPr>
        <w:drawing>
          <wp:anchor distT="0" distB="0" distL="114300" distR="114300" simplePos="0" relativeHeight="251864064" behindDoc="1" locked="0" layoutInCell="1" allowOverlap="1">
            <wp:simplePos x="0" y="0"/>
            <wp:positionH relativeFrom="column">
              <wp:posOffset>16510</wp:posOffset>
            </wp:positionH>
            <wp:positionV relativeFrom="paragraph">
              <wp:posOffset>315595</wp:posOffset>
            </wp:positionV>
            <wp:extent cx="5909310" cy="3183255"/>
            <wp:effectExtent l="0" t="0" r="0" b="0"/>
            <wp:wrapSquare wrapText="bothSides"/>
            <wp:docPr id="361"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C17026">
        <w:rPr>
          <w:noProof/>
        </w:rPr>
        <w:drawing>
          <wp:anchor distT="0" distB="0" distL="114300" distR="114300" simplePos="0" relativeHeight="251679744" behindDoc="1" locked="0" layoutInCell="1" allowOverlap="1">
            <wp:simplePos x="0" y="0"/>
            <wp:positionH relativeFrom="column">
              <wp:posOffset>16510</wp:posOffset>
            </wp:positionH>
            <wp:positionV relativeFrom="paragraph">
              <wp:posOffset>315595</wp:posOffset>
            </wp:positionV>
            <wp:extent cx="5909310" cy="3183255"/>
            <wp:effectExtent l="0" t="1270" r="0" b="0"/>
            <wp:wrapSquare wrapText="bothSides"/>
            <wp:docPr id="48"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D86A11">
        <w:rPr>
          <w:rFonts w:cs="Arial"/>
          <w:b/>
          <w:color w:val="333333"/>
          <w:szCs w:val="30"/>
        </w:rPr>
        <w:t xml:space="preserve">Exhibit 3.  What are the 3 most effective services that help families reunify within 12 months? </w:t>
      </w:r>
      <w:r w:rsidR="00D86A11">
        <w:rPr>
          <w:rFonts w:cs="Arial"/>
          <w:b/>
          <w:i/>
          <w:color w:val="808080"/>
          <w:szCs w:val="30"/>
        </w:rPr>
        <w:t>(n=48)</w:t>
      </w:r>
    </w:p>
    <w:p w:rsidR="00AD793C" w:rsidRDefault="00D86A11" w:rsidP="00AD793C">
      <w:pPr>
        <w:rPr>
          <w:rFonts w:cs="Arial"/>
          <w:b/>
          <w:bCs/>
          <w:sz w:val="20"/>
          <w:shd w:val="clear" w:color="auto" w:fill="FFFFFF"/>
        </w:rPr>
      </w:pPr>
      <w:r>
        <w:rPr>
          <w:rFonts w:cs="Arial"/>
          <w:b/>
          <w:bCs/>
          <w:sz w:val="20"/>
          <w:shd w:val="clear" w:color="auto" w:fill="FFFFFF"/>
        </w:rPr>
        <w:t xml:space="preserve"> </w:t>
      </w:r>
    </w:p>
    <w:p w:rsidR="00D86A11" w:rsidRDefault="00D86A11" w:rsidP="00AD793C">
      <w:pPr>
        <w:rPr>
          <w:rFonts w:cs="Arial"/>
          <w:b/>
          <w:color w:val="333333"/>
          <w:szCs w:val="30"/>
        </w:rPr>
      </w:pPr>
      <w:r>
        <w:rPr>
          <w:rFonts w:cs="Arial"/>
          <w:b/>
          <w:color w:val="333333"/>
          <w:szCs w:val="30"/>
        </w:rPr>
        <w:t xml:space="preserve">Exhibit 4. What are the biggest barriers that delay permanency for children in probation? </w:t>
      </w:r>
      <w:r>
        <w:rPr>
          <w:rFonts w:cs="Arial"/>
          <w:b/>
          <w:i/>
          <w:color w:val="808080"/>
          <w:szCs w:val="30"/>
        </w:rPr>
        <w:t>(n=48)</w:t>
      </w:r>
    </w:p>
    <w:p w:rsidR="00D86A11" w:rsidRDefault="000B1863" w:rsidP="00D86A11">
      <w:pPr>
        <w:rPr>
          <w:rFonts w:cs="Arial"/>
          <w:b/>
          <w:color w:val="333333"/>
          <w:szCs w:val="30"/>
        </w:rPr>
      </w:pPr>
      <w:r w:rsidRPr="000A648C">
        <w:rPr>
          <w:noProof/>
        </w:rPr>
        <w:lastRenderedPageBreak/>
        <w:drawing>
          <wp:anchor distT="0" distB="0" distL="114300" distR="114300" simplePos="0" relativeHeight="251866112" behindDoc="1" locked="0" layoutInCell="1" allowOverlap="1">
            <wp:simplePos x="0" y="0"/>
            <wp:positionH relativeFrom="column">
              <wp:posOffset>-50800</wp:posOffset>
            </wp:positionH>
            <wp:positionV relativeFrom="paragraph">
              <wp:posOffset>42545</wp:posOffset>
            </wp:positionV>
            <wp:extent cx="6766560" cy="3218815"/>
            <wp:effectExtent l="0" t="0" r="0" b="0"/>
            <wp:wrapSquare wrapText="bothSides"/>
            <wp:docPr id="362"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C17026">
        <w:rPr>
          <w:noProof/>
        </w:rPr>
        <w:drawing>
          <wp:anchor distT="0" distB="0" distL="114300" distR="114300" simplePos="0" relativeHeight="251680768" behindDoc="1" locked="0" layoutInCell="1" allowOverlap="1">
            <wp:simplePos x="0" y="0"/>
            <wp:positionH relativeFrom="column">
              <wp:posOffset>-50800</wp:posOffset>
            </wp:positionH>
            <wp:positionV relativeFrom="paragraph">
              <wp:posOffset>42545</wp:posOffset>
            </wp:positionV>
            <wp:extent cx="6766560" cy="3218815"/>
            <wp:effectExtent l="0" t="4445" r="0" b="0"/>
            <wp:wrapSquare wrapText="bothSides"/>
            <wp:docPr id="49"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D86A11">
        <w:rPr>
          <w:rFonts w:cs="Arial"/>
          <w:b/>
          <w:color w:val="333333"/>
          <w:szCs w:val="30"/>
        </w:rPr>
        <w:br w:type="page"/>
      </w:r>
    </w:p>
    <w:p w:rsidR="00D86A11" w:rsidRDefault="00D86A11" w:rsidP="00D86A11">
      <w:pPr>
        <w:jc w:val="center"/>
        <w:rPr>
          <w:rFonts w:cs="Arial"/>
          <w:i/>
          <w:color w:val="808080"/>
          <w:szCs w:val="30"/>
        </w:rPr>
      </w:pPr>
      <w:r>
        <w:rPr>
          <w:rFonts w:cs="Arial"/>
          <w:b/>
          <w:color w:val="333333"/>
          <w:szCs w:val="30"/>
        </w:rPr>
        <w:lastRenderedPageBreak/>
        <w:t xml:space="preserve">Exhibit 5. What are the 3 most effective services that help children safely </w:t>
      </w:r>
      <w:r>
        <w:rPr>
          <w:rFonts w:cs="Arial"/>
          <w:b/>
          <w:color w:val="333333"/>
          <w:szCs w:val="30"/>
          <w:u w:val="single"/>
        </w:rPr>
        <w:t>remain home with their families and not re-enter</w:t>
      </w:r>
      <w:r>
        <w:rPr>
          <w:rFonts w:cs="Arial"/>
          <w:b/>
          <w:color w:val="333333"/>
          <w:szCs w:val="30"/>
        </w:rPr>
        <w:t xml:space="preserve"> probation foster care?</w:t>
      </w:r>
      <w:r>
        <w:rPr>
          <w:rFonts w:cs="Arial"/>
          <w:color w:val="333333"/>
          <w:szCs w:val="30"/>
        </w:rPr>
        <w:t xml:space="preserve"> </w:t>
      </w:r>
      <w:r>
        <w:rPr>
          <w:rFonts w:cs="Arial"/>
          <w:b/>
          <w:i/>
          <w:color w:val="808080"/>
          <w:szCs w:val="30"/>
        </w:rPr>
        <w:t>(n=48)</w:t>
      </w:r>
      <w:r>
        <w:rPr>
          <w:rFonts w:cs="Arial"/>
          <w:b/>
          <w:bCs/>
          <w:noProof/>
          <w:color w:val="2E7029"/>
          <w:shd w:val="clear" w:color="auto" w:fill="FFFFFF"/>
        </w:rPr>
        <w:t xml:space="preserve"> </w:t>
      </w:r>
      <w:r w:rsidR="000B1863" w:rsidRPr="000A648C">
        <w:rPr>
          <w:b/>
          <w:noProof/>
          <w:shd w:val="clear" w:color="auto" w:fill="FFFFFF"/>
        </w:rPr>
        <w:drawing>
          <wp:inline distT="0" distB="0" distL="0" distR="0">
            <wp:extent cx="6394450" cy="1905000"/>
            <wp:effectExtent l="0" t="0" r="0" b="0"/>
            <wp:docPr id="7"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86A11" w:rsidRDefault="000B1863" w:rsidP="00D86A11">
      <w:pPr>
        <w:spacing w:before="240"/>
        <w:jc w:val="center"/>
        <w:rPr>
          <w:rFonts w:cs="Arial"/>
          <w:b/>
          <w:color w:val="333333"/>
          <w:szCs w:val="30"/>
        </w:rPr>
      </w:pPr>
      <w:r w:rsidRPr="000A648C">
        <w:rPr>
          <w:noProof/>
        </w:rPr>
        <w:drawing>
          <wp:anchor distT="0" distB="0" distL="114300" distR="114300" simplePos="0" relativeHeight="251868160" behindDoc="1" locked="0" layoutInCell="1" allowOverlap="1">
            <wp:simplePos x="0" y="0"/>
            <wp:positionH relativeFrom="column">
              <wp:posOffset>883920</wp:posOffset>
            </wp:positionH>
            <wp:positionV relativeFrom="paragraph">
              <wp:posOffset>399415</wp:posOffset>
            </wp:positionV>
            <wp:extent cx="3742690" cy="1464310"/>
            <wp:effectExtent l="0" t="0" r="0" b="635"/>
            <wp:wrapTight wrapText="bothSides">
              <wp:wrapPolygon edited="0">
                <wp:start x="165" y="703"/>
                <wp:lineTo x="165" y="20616"/>
                <wp:lineTo x="21325" y="20616"/>
                <wp:lineTo x="21325" y="703"/>
                <wp:lineTo x="165" y="703"/>
              </wp:wrapPolygon>
            </wp:wrapTight>
            <wp:docPr id="349"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C17026">
        <w:rPr>
          <w:noProof/>
        </w:rPr>
        <w:drawing>
          <wp:anchor distT="0" distB="0" distL="114300" distR="114300" simplePos="0" relativeHeight="251667456" behindDoc="1" locked="0" layoutInCell="1" allowOverlap="1">
            <wp:simplePos x="0" y="0"/>
            <wp:positionH relativeFrom="column">
              <wp:posOffset>883920</wp:posOffset>
            </wp:positionH>
            <wp:positionV relativeFrom="paragraph">
              <wp:posOffset>399415</wp:posOffset>
            </wp:positionV>
            <wp:extent cx="3742690" cy="1464310"/>
            <wp:effectExtent l="0" t="0" r="2540" b="3175"/>
            <wp:wrapTight wrapText="bothSides">
              <wp:wrapPolygon edited="0">
                <wp:start x="165" y="703"/>
                <wp:lineTo x="165" y="20616"/>
                <wp:lineTo x="21325" y="20616"/>
                <wp:lineTo x="21325" y="703"/>
                <wp:lineTo x="165" y="703"/>
              </wp:wrapPolygon>
            </wp:wrapTight>
            <wp:docPr id="36"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D86A11">
        <w:rPr>
          <w:rFonts w:cs="Arial"/>
          <w:b/>
          <w:color w:val="333333"/>
          <w:szCs w:val="30"/>
        </w:rPr>
        <w:t xml:space="preserve">Exhibit 6. How often do you feel your input regarding the juvenile probation system is solicited by the County of San Diego? </w:t>
      </w:r>
      <w:r w:rsidR="00D86A11">
        <w:rPr>
          <w:rFonts w:cs="Arial"/>
          <w:b/>
          <w:i/>
          <w:color w:val="808080"/>
          <w:szCs w:val="30"/>
        </w:rPr>
        <w:t>(n=48)</w:t>
      </w:r>
    </w:p>
    <w:p w:rsidR="00D86A11" w:rsidRDefault="00D86A11" w:rsidP="00D86A11">
      <w:pPr>
        <w:rPr>
          <w:rFonts w:cs="Arial"/>
          <w:color w:val="333333"/>
          <w:sz w:val="20"/>
          <w:shd w:val="clear" w:color="auto" w:fill="FFFFFF"/>
        </w:rPr>
      </w:pPr>
      <w:r>
        <w:rPr>
          <w:rFonts w:cs="Arial"/>
          <w:color w:val="333333"/>
          <w:sz w:val="20"/>
          <w:shd w:val="clear" w:color="auto" w:fill="FFFFFF"/>
        </w:rPr>
        <w:t xml:space="preserve"> </w:t>
      </w: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 w:rsidR="00D86A11" w:rsidRDefault="000B1863" w:rsidP="00D86A11">
      <w:pPr>
        <w:spacing w:before="240"/>
        <w:jc w:val="center"/>
        <w:rPr>
          <w:rFonts w:cs="Arial"/>
          <w:b/>
          <w:color w:val="333333"/>
          <w:szCs w:val="30"/>
        </w:rPr>
      </w:pPr>
      <w:r w:rsidRPr="000A648C">
        <w:rPr>
          <w:noProof/>
        </w:rPr>
        <w:drawing>
          <wp:anchor distT="0" distB="0" distL="114300" distR="114300" simplePos="0" relativeHeight="251870208" behindDoc="1" locked="0" layoutInCell="1" allowOverlap="1">
            <wp:simplePos x="0" y="0"/>
            <wp:positionH relativeFrom="column">
              <wp:posOffset>539750</wp:posOffset>
            </wp:positionH>
            <wp:positionV relativeFrom="paragraph">
              <wp:posOffset>455930</wp:posOffset>
            </wp:positionV>
            <wp:extent cx="4523105" cy="1270000"/>
            <wp:effectExtent l="0" t="0" r="635" b="0"/>
            <wp:wrapTight wrapText="bothSides">
              <wp:wrapPolygon edited="0">
                <wp:start x="136" y="810"/>
                <wp:lineTo x="136" y="20466"/>
                <wp:lineTo x="21373" y="20466"/>
                <wp:lineTo x="21373" y="810"/>
                <wp:lineTo x="136" y="810"/>
              </wp:wrapPolygon>
            </wp:wrapTight>
            <wp:docPr id="353" name="Char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r w:rsidR="00C17026">
        <w:rPr>
          <w:noProof/>
        </w:rPr>
        <w:drawing>
          <wp:anchor distT="0" distB="0" distL="114300" distR="114300" simplePos="0" relativeHeight="251671552" behindDoc="1" locked="0" layoutInCell="1" allowOverlap="1">
            <wp:simplePos x="0" y="0"/>
            <wp:positionH relativeFrom="column">
              <wp:posOffset>539750</wp:posOffset>
            </wp:positionH>
            <wp:positionV relativeFrom="paragraph">
              <wp:posOffset>455930</wp:posOffset>
            </wp:positionV>
            <wp:extent cx="4523105" cy="1270000"/>
            <wp:effectExtent l="0" t="0" r="4445" b="0"/>
            <wp:wrapTight wrapText="bothSides">
              <wp:wrapPolygon edited="0">
                <wp:start x="136" y="810"/>
                <wp:lineTo x="136" y="20466"/>
                <wp:lineTo x="21373" y="20466"/>
                <wp:lineTo x="21373" y="810"/>
                <wp:lineTo x="136" y="810"/>
              </wp:wrapPolygon>
            </wp:wrapTight>
            <wp:docPr id="40" name="Char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r w:rsidR="00D86A11">
        <w:rPr>
          <w:rFonts w:cs="Arial"/>
          <w:b/>
          <w:color w:val="333333"/>
          <w:szCs w:val="30"/>
        </w:rPr>
        <w:t xml:space="preserve">Exhibit 7. Do you think that your input regarding the juvenile probation system is heard by the County of San Diego? </w:t>
      </w:r>
      <w:r w:rsidR="00D86A11">
        <w:rPr>
          <w:rFonts w:cs="Arial"/>
          <w:b/>
          <w:i/>
          <w:color w:val="808080"/>
          <w:szCs w:val="30"/>
        </w:rPr>
        <w:t>(n=48)</w:t>
      </w: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spacing w:before="240"/>
        <w:jc w:val="center"/>
        <w:rPr>
          <w:rFonts w:cs="Arial"/>
          <w:b/>
          <w:color w:val="333333"/>
          <w:szCs w:val="30"/>
        </w:rPr>
      </w:pPr>
      <w:r>
        <w:rPr>
          <w:rFonts w:cs="Arial"/>
          <w:b/>
          <w:color w:val="333333"/>
          <w:szCs w:val="30"/>
        </w:rPr>
        <w:t xml:space="preserve">Exhibit 8. If you have opinions, ideas or concerns regarding your local juvenile probation department, do you know who to contact? </w:t>
      </w:r>
      <w:r>
        <w:rPr>
          <w:rFonts w:cs="Arial"/>
          <w:b/>
          <w:i/>
          <w:color w:val="808080"/>
          <w:szCs w:val="30"/>
        </w:rPr>
        <w:t>(n=48)</w:t>
      </w:r>
    </w:p>
    <w:p w:rsidR="00D86A11" w:rsidRDefault="000B1863" w:rsidP="00D86A11">
      <w:r w:rsidRPr="000A648C">
        <w:rPr>
          <w:noProof/>
        </w:rPr>
        <w:drawing>
          <wp:anchor distT="0" distB="0" distL="114300" distR="114300" simplePos="0" relativeHeight="251872256" behindDoc="1" locked="0" layoutInCell="1" allowOverlap="1">
            <wp:simplePos x="0" y="0"/>
            <wp:positionH relativeFrom="column">
              <wp:posOffset>1379220</wp:posOffset>
            </wp:positionH>
            <wp:positionV relativeFrom="paragraph">
              <wp:posOffset>122555</wp:posOffset>
            </wp:positionV>
            <wp:extent cx="2751455" cy="1565910"/>
            <wp:effectExtent l="0" t="0" r="0" b="635"/>
            <wp:wrapSquare wrapText="bothSides"/>
            <wp:docPr id="363" name="Char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rsidR="00D86A11" w:rsidRDefault="00C17026" w:rsidP="00D86A11">
      <w:r>
        <w:rPr>
          <w:noProof/>
        </w:rPr>
        <w:lastRenderedPageBreak/>
        <w:drawing>
          <wp:anchor distT="0" distB="0" distL="114300" distR="114300" simplePos="0" relativeHeight="251681792" behindDoc="1" locked="0" layoutInCell="1" allowOverlap="1">
            <wp:simplePos x="0" y="0"/>
            <wp:positionH relativeFrom="column">
              <wp:posOffset>1379220</wp:posOffset>
            </wp:positionH>
            <wp:positionV relativeFrom="paragraph">
              <wp:posOffset>122555</wp:posOffset>
            </wp:positionV>
            <wp:extent cx="2751455" cy="1565910"/>
            <wp:effectExtent l="0" t="0" r="3175" b="0"/>
            <wp:wrapSquare wrapText="bothSides"/>
            <wp:docPr id="50" name="Char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p>
    <w:p w:rsidR="00D86A11" w:rsidRDefault="00D86A11" w:rsidP="00D86A11">
      <w:pPr>
        <w:rPr>
          <w:rFonts w:cs="Arial"/>
          <w:color w:val="333333"/>
          <w:sz w:val="20"/>
          <w:shd w:val="clear" w:color="auto" w:fill="FFFFFF"/>
        </w:rPr>
      </w:pPr>
      <w:r>
        <w:rPr>
          <w:rFonts w:cs="Arial"/>
          <w:color w:val="333333"/>
          <w:sz w:val="20"/>
          <w:shd w:val="clear" w:color="auto" w:fill="FFFFFF"/>
        </w:rPr>
        <w:t xml:space="preserve"> </w:t>
      </w:r>
    </w:p>
    <w:p w:rsidR="00D86A11" w:rsidRDefault="00D86A11" w:rsidP="00D86A11">
      <w:pPr>
        <w:rPr>
          <w:rFonts w:cs="Arial"/>
          <w:color w:val="333333"/>
          <w:sz w:val="20"/>
          <w:shd w:val="clear" w:color="auto" w:fill="FFFFFF"/>
        </w:rPr>
      </w:pPr>
    </w:p>
    <w:p w:rsidR="00D86A11" w:rsidRDefault="00D86A11" w:rsidP="00D86A11">
      <w:pPr>
        <w:pStyle w:val="Heading1"/>
        <w:rPr>
          <w:rFonts w:ascii="Perpetua" w:hAnsi="Perpetua"/>
          <w:b w:val="0"/>
          <w:color w:val="333333"/>
          <w:spacing w:val="0"/>
          <w:sz w:val="20"/>
          <w:shd w:val="clear" w:color="auto" w:fill="FFFFFF"/>
        </w:rPr>
      </w:pPr>
    </w:p>
    <w:p w:rsidR="00D86A11" w:rsidRDefault="00D86A11" w:rsidP="00D86A11"/>
    <w:p w:rsidR="00D86A11" w:rsidRDefault="00D86A11" w:rsidP="00D86A11">
      <w:pPr>
        <w:jc w:val="center"/>
        <w:rPr>
          <w:rFonts w:cs="Arial"/>
          <w:b/>
          <w:color w:val="333333"/>
          <w:szCs w:val="30"/>
        </w:rPr>
      </w:pPr>
      <w:r>
        <w:rPr>
          <w:rFonts w:cs="Arial"/>
          <w:b/>
          <w:color w:val="333333"/>
          <w:szCs w:val="30"/>
        </w:rPr>
        <w:t xml:space="preserve">Exhibit 9. The three most critical systemic factors related to probation for the County Self-Assessment (CSA) to address over the next five years? </w:t>
      </w:r>
      <w:r>
        <w:rPr>
          <w:rFonts w:cs="Arial"/>
          <w:b/>
          <w:i/>
          <w:color w:val="808080"/>
          <w:szCs w:val="30"/>
        </w:rPr>
        <w:t>(n=48)</w:t>
      </w:r>
    </w:p>
    <w:p w:rsidR="00D86A11" w:rsidRDefault="00D86A11" w:rsidP="00D86A11"/>
    <w:p w:rsidR="00D86A11" w:rsidRDefault="00C17026" w:rsidP="00D86A11">
      <w:r>
        <w:rPr>
          <w:noProof/>
        </w:rPr>
        <w:drawing>
          <wp:anchor distT="0" distB="0" distL="114300" distR="114300" simplePos="0" relativeHeight="251682816" behindDoc="1" locked="0" layoutInCell="1" allowOverlap="1">
            <wp:simplePos x="0" y="0"/>
            <wp:positionH relativeFrom="column">
              <wp:posOffset>-135890</wp:posOffset>
            </wp:positionH>
            <wp:positionV relativeFrom="paragraph">
              <wp:posOffset>59690</wp:posOffset>
            </wp:positionV>
            <wp:extent cx="5511800" cy="2649855"/>
            <wp:effectExtent l="0" t="2540" r="5715" b="0"/>
            <wp:wrapTight wrapText="bothSides">
              <wp:wrapPolygon edited="0">
                <wp:start x="9551" y="932"/>
                <wp:lineTo x="6194" y="1630"/>
                <wp:lineTo x="5298" y="1863"/>
                <wp:lineTo x="5261" y="2717"/>
                <wp:lineTo x="6975" y="3188"/>
                <wp:lineTo x="9551" y="3421"/>
                <wp:lineTo x="6975" y="4198"/>
                <wp:lineTo x="6903" y="4353"/>
                <wp:lineTo x="6903" y="4741"/>
                <wp:lineTo x="2237" y="6605"/>
                <wp:lineTo x="1568" y="6682"/>
                <wp:lineTo x="1568" y="7381"/>
                <wp:lineTo x="8394" y="8391"/>
                <wp:lineTo x="9663" y="8391"/>
                <wp:lineTo x="6231" y="9012"/>
                <wp:lineTo x="5634" y="9167"/>
                <wp:lineTo x="5671" y="9788"/>
                <wp:lineTo x="9252" y="10880"/>
                <wp:lineTo x="9663" y="10880"/>
                <wp:lineTo x="3544" y="11501"/>
                <wp:lineTo x="3170" y="11501"/>
                <wp:lineTo x="3170" y="12200"/>
                <wp:lineTo x="9663" y="13365"/>
                <wp:lineTo x="3805" y="13908"/>
                <wp:lineTo x="3357" y="14064"/>
                <wp:lineTo x="3357" y="14762"/>
                <wp:lineTo x="9066" y="15849"/>
                <wp:lineTo x="9663" y="15849"/>
                <wp:lineTo x="8282" y="16470"/>
                <wp:lineTo x="8282" y="17092"/>
                <wp:lineTo x="9663" y="17092"/>
                <wp:lineTo x="9551" y="18028"/>
                <wp:lineTo x="9849" y="18028"/>
                <wp:lineTo x="10073" y="18028"/>
                <wp:lineTo x="11265" y="17247"/>
                <wp:lineTo x="12572" y="17092"/>
                <wp:lineTo x="12460" y="16393"/>
                <wp:lineTo x="9961" y="15849"/>
                <wp:lineTo x="12534" y="14685"/>
                <wp:lineTo x="12609" y="14141"/>
                <wp:lineTo x="12311" y="13986"/>
                <wp:lineTo x="9849" y="13365"/>
                <wp:lineTo x="10407" y="13365"/>
                <wp:lineTo x="15705" y="12278"/>
                <wp:lineTo x="15779" y="11657"/>
                <wp:lineTo x="14886" y="11501"/>
                <wp:lineTo x="9849" y="10880"/>
                <wp:lineTo x="10407" y="10880"/>
                <wp:lineTo x="15705" y="9788"/>
                <wp:lineTo x="15779" y="9167"/>
                <wp:lineTo x="14886" y="9012"/>
                <wp:lineTo x="9849" y="8391"/>
                <wp:lineTo x="10780" y="8391"/>
                <wp:lineTo x="15705" y="7381"/>
                <wp:lineTo x="15779" y="6760"/>
                <wp:lineTo x="14438" y="6527"/>
                <wp:lineTo x="9849" y="5906"/>
                <wp:lineTo x="11228" y="5906"/>
                <wp:lineTo x="15931" y="4974"/>
                <wp:lineTo x="16003" y="4353"/>
                <wp:lineTo x="14662" y="4120"/>
                <wp:lineTo x="9849" y="3421"/>
                <wp:lineTo x="13729" y="3421"/>
                <wp:lineTo x="21040" y="2640"/>
                <wp:lineTo x="21077" y="1786"/>
                <wp:lineTo x="9812" y="932"/>
                <wp:lineTo x="9551" y="932"/>
              </wp:wrapPolygon>
            </wp:wrapTight>
            <wp:docPr id="51" name="Char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rsidR="00D86A11" w:rsidRDefault="00D86A11" w:rsidP="00D86A11">
      <w:pPr>
        <w:rPr>
          <w:rFonts w:cs="Arial"/>
          <w:color w:val="333333"/>
          <w:sz w:val="20"/>
          <w:shd w:val="clear" w:color="auto" w:fill="FFFFFF"/>
        </w:rPr>
      </w:pPr>
      <w:r>
        <w:rPr>
          <w:rFonts w:cs="Arial"/>
          <w:color w:val="333333"/>
          <w:sz w:val="20"/>
          <w:shd w:val="clear" w:color="auto" w:fill="FFFFFF"/>
        </w:rPr>
        <w:t xml:space="preserve"> </w:t>
      </w: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 w:rsidR="00D86A11" w:rsidRDefault="00763E81" w:rsidP="00D86A11">
      <w:pPr>
        <w:pStyle w:val="Heading1"/>
        <w:rPr>
          <w:rFonts w:ascii="Perpetua" w:eastAsia="Times New Roman" w:hAnsi="Perpetua"/>
          <w:b w:val="0"/>
          <w:color w:val="auto"/>
          <w:sz w:val="21"/>
          <w:szCs w:val="24"/>
        </w:rPr>
      </w:pPr>
      <w:r>
        <w:rPr>
          <w:noProof/>
        </w:rPr>
        <mc:AlternateContent>
          <mc:Choice Requires="wps">
            <w:drawing>
              <wp:anchor distT="4294967294" distB="4294967294" distL="114300" distR="114300" simplePos="0" relativeHeight="251691008" behindDoc="0" locked="0" layoutInCell="1" allowOverlap="1">
                <wp:simplePos x="0" y="0"/>
                <wp:positionH relativeFrom="column">
                  <wp:posOffset>17145</wp:posOffset>
                </wp:positionH>
                <wp:positionV relativeFrom="paragraph">
                  <wp:posOffset>69849</wp:posOffset>
                </wp:positionV>
                <wp:extent cx="6316345" cy="0"/>
                <wp:effectExtent l="0" t="19050" r="2730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16345" cy="0"/>
                        </a:xfrm>
                        <a:prstGeom prst="line">
                          <a:avLst/>
                        </a:prstGeom>
                        <a:noFill/>
                        <a:ln w="57150" cap="flat" cmpd="sng" algn="ctr">
                          <a:solidFill>
                            <a:srgbClr val="013161"/>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C70F2AE" id="Straight Connector 25"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5pt,5.5pt" to="498.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" strokecolor="#013161" strokeweight="4.5pt">
                <o:lock v:ext="edit" shapetype="f"/>
              </v:line>
            </w:pict>
          </mc:Fallback>
        </mc:AlternateContent>
      </w:r>
    </w:p>
    <w:p w:rsidR="00D86A11" w:rsidRDefault="00D86A11" w:rsidP="00D86A11">
      <w:pPr>
        <w:pStyle w:val="Heading1"/>
        <w:rPr>
          <w:rFonts w:ascii="Perpetua" w:hAnsi="Perpetua"/>
          <w:color w:val="2E7029"/>
          <w:sz w:val="52"/>
        </w:rPr>
      </w:pPr>
      <w:r>
        <w:rPr>
          <w:rFonts w:ascii="Perpetua" w:hAnsi="Perpetua"/>
          <w:color w:val="2E7029"/>
          <w:sz w:val="52"/>
        </w:rPr>
        <w:t>Child Welfare Services</w:t>
      </w:r>
    </w:p>
    <w:p w:rsidR="00D86A11" w:rsidRDefault="00D86A11" w:rsidP="00D86A11">
      <w:pPr>
        <w:spacing w:before="240"/>
        <w:jc w:val="center"/>
        <w:rPr>
          <w:rFonts w:cs="Arial"/>
          <w:b/>
          <w:color w:val="333333"/>
          <w:szCs w:val="30"/>
        </w:rPr>
      </w:pPr>
      <w:r>
        <w:rPr>
          <w:rFonts w:cs="Arial"/>
          <w:b/>
          <w:color w:val="333333"/>
          <w:szCs w:val="30"/>
        </w:rPr>
        <w:t xml:space="preserve">Exhibit 10. What do you see as the 3 most effective services to help strengthen families and prevent children from being abused and neglected? </w:t>
      </w:r>
      <w:r>
        <w:rPr>
          <w:rFonts w:cs="Arial"/>
          <w:b/>
          <w:i/>
          <w:color w:val="808080"/>
          <w:szCs w:val="30"/>
        </w:rPr>
        <w:t>(n=46)</w:t>
      </w:r>
    </w:p>
    <w:p w:rsidR="00D86A11" w:rsidRDefault="000B1863" w:rsidP="00D86A11">
      <w:r w:rsidRPr="000A648C">
        <w:rPr>
          <w:noProof/>
        </w:rPr>
        <w:lastRenderedPageBreak/>
        <w:drawing>
          <wp:inline distT="0" distB="0" distL="0" distR="0">
            <wp:extent cx="6546850" cy="3422650"/>
            <wp:effectExtent l="0" t="0" r="0" b="0"/>
            <wp:docPr id="8"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86A11" w:rsidRDefault="00D86A11" w:rsidP="00D86A11"/>
    <w:p w:rsidR="00D86A11" w:rsidRDefault="00C17026" w:rsidP="00D86A11">
      <w:pPr>
        <w:jc w:val="center"/>
        <w:rPr>
          <w:b/>
        </w:rPr>
      </w:pPr>
      <w:r>
        <w:rPr>
          <w:noProof/>
        </w:rPr>
        <w:drawing>
          <wp:anchor distT="0" distB="0" distL="114300" distR="114300" simplePos="0" relativeHeight="251683840" behindDoc="1" locked="0" layoutInCell="1" allowOverlap="1">
            <wp:simplePos x="0" y="0"/>
            <wp:positionH relativeFrom="column">
              <wp:posOffset>264160</wp:posOffset>
            </wp:positionH>
            <wp:positionV relativeFrom="paragraph">
              <wp:posOffset>379730</wp:posOffset>
            </wp:positionV>
            <wp:extent cx="6553200" cy="3970655"/>
            <wp:effectExtent l="0" t="0" r="2540" b="2540"/>
            <wp:wrapTight wrapText="bothSides">
              <wp:wrapPolygon edited="0">
                <wp:start x="94" y="259"/>
                <wp:lineTo x="94" y="21237"/>
                <wp:lineTo x="21443" y="21237"/>
                <wp:lineTo x="21443" y="259"/>
                <wp:lineTo x="94" y="259"/>
              </wp:wrapPolygon>
            </wp:wrapTight>
            <wp:docPr id="5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anchor>
        </w:drawing>
      </w:r>
      <w:r w:rsidR="00D86A11">
        <w:rPr>
          <w:rFonts w:cs="Arial"/>
          <w:b/>
          <w:color w:val="333333"/>
          <w:szCs w:val="30"/>
        </w:rPr>
        <w:t>Exhibit 11. If children do need to enter CWS, what do you think are the 3 most effective services that help families reunify within 12 months?</w:t>
      </w:r>
      <w:r w:rsidR="00D86A11">
        <w:rPr>
          <w:b/>
        </w:rPr>
        <w:t xml:space="preserve">  </w:t>
      </w:r>
      <w:r w:rsidR="00D86A11">
        <w:rPr>
          <w:rFonts w:cs="Arial"/>
          <w:b/>
          <w:i/>
          <w:color w:val="808080"/>
          <w:szCs w:val="30"/>
        </w:rPr>
        <w:t>(n=46)</w:t>
      </w:r>
    </w:p>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 w:rsidR="00D86A11" w:rsidRDefault="00D86A11" w:rsidP="00D86A11">
      <w:pPr>
        <w:pStyle w:val="Heading1"/>
        <w:jc w:val="center"/>
        <w:rPr>
          <w:rFonts w:ascii="Perpetua" w:hAnsi="Perpetua"/>
          <w:color w:val="333333"/>
          <w:spacing w:val="0"/>
          <w:sz w:val="22"/>
        </w:rPr>
      </w:pPr>
    </w:p>
    <w:p w:rsidR="00D86A11" w:rsidRDefault="000B1863" w:rsidP="00D86A11">
      <w:pPr>
        <w:pStyle w:val="Heading1"/>
        <w:jc w:val="center"/>
        <w:rPr>
          <w:rFonts w:ascii="Perpetua" w:hAnsi="Perpetua" w:cs="Arial"/>
          <w:color w:val="333333"/>
          <w:sz w:val="22"/>
          <w:szCs w:val="22"/>
        </w:rPr>
      </w:pPr>
      <w:r w:rsidRPr="000A648C">
        <w:rPr>
          <w:noProof/>
        </w:rPr>
        <w:drawing>
          <wp:anchor distT="0" distB="0" distL="114300" distR="114300" simplePos="0" relativeHeight="251878400" behindDoc="1" locked="0" layoutInCell="1" allowOverlap="1">
            <wp:simplePos x="0" y="0"/>
            <wp:positionH relativeFrom="column">
              <wp:posOffset>434340</wp:posOffset>
            </wp:positionH>
            <wp:positionV relativeFrom="paragraph">
              <wp:posOffset>526415</wp:posOffset>
            </wp:positionV>
            <wp:extent cx="5486400" cy="3200400"/>
            <wp:effectExtent l="0" t="0" r="0" b="635"/>
            <wp:wrapTight wrapText="bothSides">
              <wp:wrapPolygon edited="0">
                <wp:start x="113" y="321"/>
                <wp:lineTo x="113" y="21150"/>
                <wp:lineTo x="21413" y="21150"/>
                <wp:lineTo x="21413" y="321"/>
                <wp:lineTo x="113" y="321"/>
              </wp:wrapPolygon>
            </wp:wrapTight>
            <wp:docPr id="375"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anchor>
        </w:drawing>
      </w:r>
      <w:r w:rsidR="00C17026">
        <w:rPr>
          <w:noProof/>
        </w:rPr>
        <w:drawing>
          <wp:anchor distT="0" distB="0" distL="114300" distR="114300" simplePos="0" relativeHeight="251694080" behindDoc="1" locked="0" layoutInCell="1" allowOverlap="1">
            <wp:simplePos x="0" y="0"/>
            <wp:positionH relativeFrom="column">
              <wp:posOffset>434340</wp:posOffset>
            </wp:positionH>
            <wp:positionV relativeFrom="paragraph">
              <wp:posOffset>526415</wp:posOffset>
            </wp:positionV>
            <wp:extent cx="5486400" cy="3200400"/>
            <wp:effectExtent l="0" t="2540" r="3810" b="0"/>
            <wp:wrapTight wrapText="bothSides">
              <wp:wrapPolygon edited="0">
                <wp:start x="113" y="321"/>
                <wp:lineTo x="113" y="21150"/>
                <wp:lineTo x="21413" y="21150"/>
                <wp:lineTo x="21413" y="321"/>
                <wp:lineTo x="113" y="321"/>
              </wp:wrapPolygon>
            </wp:wrapTight>
            <wp:docPr id="62"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D86A11">
        <w:rPr>
          <w:rFonts w:ascii="Perpetua" w:hAnsi="Perpetua"/>
          <w:color w:val="333333"/>
          <w:spacing w:val="0"/>
          <w:sz w:val="22"/>
        </w:rPr>
        <w:t xml:space="preserve">Exhibit 12. Which of the following do you think are the biggest barriers that delay permanency for children in CWS? </w:t>
      </w:r>
      <w:r w:rsidR="00D86A11">
        <w:rPr>
          <w:rFonts w:ascii="Perpetua" w:hAnsi="Perpetua"/>
          <w:i/>
          <w:color w:val="808080"/>
          <w:spacing w:val="0"/>
          <w:sz w:val="22"/>
        </w:rPr>
        <w:t>(n=46)</w:t>
      </w:r>
      <w:r w:rsidR="00D86A11">
        <w:rPr>
          <w:rFonts w:ascii="Perpetua" w:hAnsi="Perpetua"/>
          <w:noProof/>
        </w:rPr>
        <w:t xml:space="preserve"> </w:t>
      </w:r>
    </w:p>
    <w:p w:rsidR="00D86A11" w:rsidRDefault="00D86A11" w:rsidP="00D86A11"/>
    <w:p w:rsidR="00D86A11" w:rsidRDefault="00D86A11" w:rsidP="00D86A11"/>
    <w:p w:rsidR="00D86A11" w:rsidRDefault="00D86A11" w:rsidP="00D86A11">
      <w:pPr>
        <w:pStyle w:val="Heading1"/>
        <w:jc w:val="center"/>
        <w:rPr>
          <w:rFonts w:ascii="Perpetua" w:hAnsi="Perpetua"/>
          <w:color w:val="333333"/>
          <w:sz w:val="22"/>
        </w:rPr>
      </w:pPr>
    </w:p>
    <w:p w:rsidR="00D86A11" w:rsidRDefault="00D86A11" w:rsidP="00D86A11">
      <w:pPr>
        <w:pStyle w:val="Heading1"/>
        <w:jc w:val="center"/>
        <w:rPr>
          <w:rFonts w:ascii="Perpetua" w:hAnsi="Perpetua"/>
          <w:color w:val="333333"/>
          <w:sz w:val="22"/>
        </w:rPr>
      </w:pPr>
    </w:p>
    <w:p w:rsidR="00D86A11" w:rsidRDefault="00D86A11" w:rsidP="00D86A11">
      <w:pPr>
        <w:pStyle w:val="Heading1"/>
        <w:jc w:val="center"/>
        <w:rPr>
          <w:rFonts w:ascii="Perpetua" w:hAnsi="Perpetua"/>
          <w:color w:val="333333"/>
          <w:sz w:val="22"/>
        </w:rPr>
      </w:pPr>
    </w:p>
    <w:p w:rsidR="00D86A11" w:rsidRDefault="00D86A11" w:rsidP="00D86A11">
      <w:pPr>
        <w:pStyle w:val="Heading1"/>
        <w:jc w:val="center"/>
        <w:rPr>
          <w:rFonts w:ascii="Perpetua" w:hAnsi="Perpetua"/>
          <w:color w:val="333333"/>
          <w:sz w:val="22"/>
        </w:rPr>
      </w:pPr>
    </w:p>
    <w:p w:rsidR="00D86A11" w:rsidRDefault="00D86A11" w:rsidP="00D86A11">
      <w:pPr>
        <w:pStyle w:val="Heading1"/>
        <w:jc w:val="center"/>
        <w:rPr>
          <w:rFonts w:ascii="Perpetua" w:hAnsi="Perpetua"/>
          <w:color w:val="333333"/>
          <w:sz w:val="22"/>
        </w:rPr>
      </w:pPr>
    </w:p>
    <w:p w:rsidR="00D86A11" w:rsidRDefault="00D86A11" w:rsidP="00D86A11">
      <w:pPr>
        <w:pStyle w:val="Heading1"/>
        <w:jc w:val="center"/>
        <w:rPr>
          <w:rFonts w:ascii="Perpetua" w:hAnsi="Perpetua"/>
          <w:color w:val="333333"/>
          <w:sz w:val="22"/>
        </w:rPr>
      </w:pPr>
    </w:p>
    <w:p w:rsidR="00D86A11" w:rsidRDefault="00D86A11" w:rsidP="00D86A11">
      <w:pPr>
        <w:pStyle w:val="Heading1"/>
        <w:jc w:val="center"/>
        <w:rPr>
          <w:rFonts w:ascii="Perpetua" w:hAnsi="Perpetua"/>
          <w:color w:val="333333"/>
          <w:sz w:val="22"/>
        </w:rPr>
      </w:pPr>
    </w:p>
    <w:p w:rsidR="00D86A11" w:rsidRDefault="00D86A11" w:rsidP="00D86A11">
      <w:pPr>
        <w:pStyle w:val="Heading1"/>
        <w:jc w:val="center"/>
        <w:rPr>
          <w:rFonts w:ascii="Perpetua" w:hAnsi="Perpetua"/>
          <w:color w:val="333333"/>
          <w:sz w:val="22"/>
        </w:rPr>
      </w:pPr>
    </w:p>
    <w:p w:rsidR="00D86A11" w:rsidRDefault="00D86A11" w:rsidP="00D86A11">
      <w:pPr>
        <w:jc w:val="center"/>
        <w:rPr>
          <w:rFonts w:cs="Arial"/>
          <w:b/>
          <w:color w:val="333333"/>
          <w:szCs w:val="30"/>
        </w:rPr>
      </w:pPr>
      <w:r>
        <w:rPr>
          <w:rFonts w:cs="Arial"/>
          <w:b/>
          <w:color w:val="333333"/>
          <w:szCs w:val="30"/>
        </w:rPr>
        <w:t>Exhibit 13. Which do you think are the 3 most effective services that help strengthen families so that children safely remain home with their families and not re-enter CWS foster care?</w:t>
      </w:r>
      <w:r>
        <w:rPr>
          <w:b/>
        </w:rPr>
        <w:t> </w:t>
      </w:r>
      <w:r>
        <w:rPr>
          <w:rFonts w:cs="Arial"/>
          <w:b/>
          <w:i/>
          <w:color w:val="808080"/>
          <w:szCs w:val="30"/>
        </w:rPr>
        <w:t>(n=46)</w:t>
      </w:r>
    </w:p>
    <w:p w:rsidR="00D86A11" w:rsidRDefault="000B1863" w:rsidP="00D86A11">
      <w:pPr>
        <w:rPr>
          <w:rFonts w:cs="Arial"/>
          <w:color w:val="333333"/>
          <w:sz w:val="20"/>
          <w:shd w:val="clear" w:color="auto" w:fill="FFFFFF"/>
        </w:rPr>
      </w:pPr>
      <w:r w:rsidRPr="000A648C">
        <w:rPr>
          <w:noProof/>
          <w:shd w:val="clear" w:color="auto" w:fill="FFFFFF"/>
        </w:rPr>
        <w:lastRenderedPageBreak/>
        <w:drawing>
          <wp:inline distT="0" distB="0" distL="0" distR="0">
            <wp:extent cx="5480050" cy="1936750"/>
            <wp:effectExtent l="0" t="0" r="0" b="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86A11" w:rsidRDefault="00D86A11" w:rsidP="00D86A11">
      <w:pPr>
        <w:jc w:val="center"/>
        <w:rPr>
          <w:rFonts w:cs="Arial"/>
          <w:b/>
          <w:color w:val="333333"/>
          <w:szCs w:val="30"/>
        </w:rPr>
      </w:pPr>
      <w:r>
        <w:rPr>
          <w:rFonts w:cs="Arial"/>
          <w:b/>
          <w:color w:val="333333"/>
          <w:szCs w:val="30"/>
        </w:rPr>
        <w:t xml:space="preserve">Exhibit 14. How often do you feel your input regarding the CWS is solicited by the County of San Diego? </w:t>
      </w:r>
      <w:r>
        <w:rPr>
          <w:rFonts w:cs="Arial"/>
          <w:b/>
          <w:i/>
          <w:color w:val="808080"/>
          <w:szCs w:val="30"/>
        </w:rPr>
        <w:t>(n=46)</w:t>
      </w:r>
    </w:p>
    <w:p w:rsidR="00D86A11" w:rsidRDefault="000B1863" w:rsidP="00D86A11">
      <w:pPr>
        <w:rPr>
          <w:rFonts w:cs="Arial"/>
          <w:color w:val="333333"/>
          <w:sz w:val="20"/>
          <w:shd w:val="clear" w:color="auto" w:fill="FFFFFF"/>
        </w:rPr>
      </w:pPr>
      <w:r w:rsidRPr="000A648C">
        <w:rPr>
          <w:noProof/>
        </w:rPr>
        <w:drawing>
          <wp:anchor distT="0" distB="0" distL="114300" distR="114300" simplePos="0" relativeHeight="251881472" behindDoc="1" locked="0" layoutInCell="1" allowOverlap="1">
            <wp:simplePos x="0" y="0"/>
            <wp:positionH relativeFrom="column">
              <wp:posOffset>676910</wp:posOffset>
            </wp:positionH>
            <wp:positionV relativeFrom="paragraph">
              <wp:posOffset>22225</wp:posOffset>
            </wp:positionV>
            <wp:extent cx="4267200" cy="1779905"/>
            <wp:effectExtent l="0" t="635" r="0" b="0"/>
            <wp:wrapTight wrapText="bothSides">
              <wp:wrapPolygon edited="0">
                <wp:start x="145" y="578"/>
                <wp:lineTo x="145" y="20791"/>
                <wp:lineTo x="21359" y="20791"/>
                <wp:lineTo x="21359" y="578"/>
                <wp:lineTo x="145" y="578"/>
              </wp:wrapPolygon>
            </wp:wrapTight>
            <wp:docPr id="366"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r w:rsidR="00D86A11">
        <w:rPr>
          <w:rFonts w:cs="Arial"/>
          <w:color w:val="333333"/>
          <w:sz w:val="20"/>
          <w:shd w:val="clear" w:color="auto" w:fill="FFFFFF"/>
        </w:rPr>
        <w:t xml:space="preserve"> </w:t>
      </w: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pStyle w:val="Heading1"/>
        <w:rPr>
          <w:rFonts w:ascii="Perpetua" w:hAnsi="Perpetua" w:cs="Arial"/>
          <w:color w:val="333333"/>
          <w:sz w:val="22"/>
          <w:szCs w:val="22"/>
        </w:rPr>
      </w:pPr>
    </w:p>
    <w:p w:rsidR="00D86A11" w:rsidRDefault="000B1863" w:rsidP="00413D84">
      <w:pPr>
        <w:rPr>
          <w:rFonts w:cs="Arial"/>
          <w:b/>
          <w:color w:val="333333"/>
          <w:szCs w:val="30"/>
        </w:rPr>
      </w:pPr>
      <w:r w:rsidRPr="000A648C">
        <w:rPr>
          <w:noProof/>
        </w:rPr>
        <w:drawing>
          <wp:anchor distT="0" distB="0" distL="114300" distR="114300" simplePos="0" relativeHeight="251880448" behindDoc="1" locked="0" layoutInCell="1" allowOverlap="1">
            <wp:simplePos x="0" y="0"/>
            <wp:positionH relativeFrom="column">
              <wp:posOffset>922020</wp:posOffset>
            </wp:positionH>
            <wp:positionV relativeFrom="paragraph">
              <wp:posOffset>287020</wp:posOffset>
            </wp:positionV>
            <wp:extent cx="3962400" cy="2294255"/>
            <wp:effectExtent l="0" t="0" r="0" b="0"/>
            <wp:wrapTight wrapText="bothSides">
              <wp:wrapPolygon edited="0">
                <wp:start x="156" y="448"/>
                <wp:lineTo x="156" y="20972"/>
                <wp:lineTo x="21340" y="20972"/>
                <wp:lineTo x="21340" y="448"/>
                <wp:lineTo x="156" y="448"/>
              </wp:wrapPolygon>
            </wp:wrapTight>
            <wp:docPr id="356"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00D86A11">
        <w:rPr>
          <w:rFonts w:cs="Arial"/>
          <w:color w:val="333333"/>
          <w:sz w:val="20"/>
          <w:shd w:val="clear" w:color="auto" w:fill="FFFFFF"/>
        </w:rPr>
        <w:t xml:space="preserve"> </w:t>
      </w:r>
      <w:r w:rsidR="00D86A11">
        <w:rPr>
          <w:rFonts w:cs="Arial"/>
          <w:b/>
          <w:color w:val="333333"/>
          <w:szCs w:val="30"/>
        </w:rPr>
        <w:t xml:space="preserve">Exhibit 15. Do you think that your input regarding CWS is heard by the County of San Diego? </w:t>
      </w:r>
      <w:r w:rsidR="00D86A11">
        <w:rPr>
          <w:rFonts w:cs="Arial"/>
          <w:b/>
          <w:i/>
          <w:color w:val="808080"/>
          <w:szCs w:val="30"/>
        </w:rPr>
        <w:t>(n=46)</w:t>
      </w: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pStyle w:val="Heading1"/>
        <w:jc w:val="center"/>
        <w:rPr>
          <w:rFonts w:ascii="Perpetua" w:hAnsi="Perpetua"/>
          <w:color w:val="333333"/>
          <w:sz w:val="22"/>
        </w:rPr>
      </w:pPr>
    </w:p>
    <w:p w:rsidR="00D86A11" w:rsidRDefault="00D86A11" w:rsidP="00D86A11">
      <w:pPr>
        <w:pStyle w:val="Heading1"/>
        <w:jc w:val="center"/>
        <w:rPr>
          <w:rFonts w:ascii="Perpetua" w:hAnsi="Perpetua"/>
          <w:color w:val="333333"/>
          <w:sz w:val="22"/>
        </w:rPr>
      </w:pPr>
    </w:p>
    <w:p w:rsidR="00D86A11" w:rsidRDefault="00D86A11" w:rsidP="00D86A11">
      <w:pPr>
        <w:jc w:val="center"/>
        <w:rPr>
          <w:rFonts w:cs="Arial"/>
          <w:b/>
          <w:color w:val="333333"/>
          <w:szCs w:val="30"/>
        </w:rPr>
      </w:pPr>
      <w:r>
        <w:rPr>
          <w:rFonts w:cs="Arial"/>
          <w:b/>
          <w:color w:val="333333"/>
          <w:szCs w:val="30"/>
        </w:rPr>
        <w:t xml:space="preserve">Exhibit 16. If you have opinions, ideas or concerns regarding your local CWS department, do you know who to contact? </w:t>
      </w:r>
      <w:r>
        <w:rPr>
          <w:rFonts w:cs="Arial"/>
          <w:i/>
          <w:color w:val="333333"/>
          <w:szCs w:val="30"/>
        </w:rPr>
        <w:t>(</w:t>
      </w:r>
      <w:r>
        <w:rPr>
          <w:rFonts w:cs="Arial"/>
          <w:b/>
          <w:i/>
          <w:color w:val="808080"/>
          <w:szCs w:val="30"/>
        </w:rPr>
        <w:t>n=46)</w:t>
      </w:r>
    </w:p>
    <w:p w:rsidR="00D86A11" w:rsidRDefault="00F966B3" w:rsidP="00D86A11">
      <w:r>
        <w:rPr>
          <w:noProof/>
        </w:rPr>
        <w:lastRenderedPageBreak/>
        <w:drawing>
          <wp:anchor distT="0" distB="0" distL="114300" distR="114300" simplePos="0" relativeHeight="251685888" behindDoc="1" locked="0" layoutInCell="1" allowOverlap="1">
            <wp:simplePos x="0" y="0"/>
            <wp:positionH relativeFrom="column">
              <wp:posOffset>871855</wp:posOffset>
            </wp:positionH>
            <wp:positionV relativeFrom="paragraph">
              <wp:posOffset>40005</wp:posOffset>
            </wp:positionV>
            <wp:extent cx="3928110" cy="1854200"/>
            <wp:effectExtent l="0" t="0" r="0" b="0"/>
            <wp:wrapTight wrapText="bothSides">
              <wp:wrapPolygon edited="0">
                <wp:start x="2933" y="5326"/>
                <wp:lineTo x="2933" y="6658"/>
                <wp:lineTo x="12361" y="9321"/>
                <wp:lineTo x="15084" y="9321"/>
                <wp:lineTo x="10894" y="12871"/>
                <wp:lineTo x="9847" y="14203"/>
                <wp:lineTo x="9637" y="14868"/>
                <wp:lineTo x="9637" y="21304"/>
                <wp:lineTo x="21474" y="21304"/>
                <wp:lineTo x="21474" y="14203"/>
                <wp:lineTo x="10894" y="12871"/>
                <wp:lineTo x="15608" y="9321"/>
                <wp:lineTo x="17703" y="9321"/>
                <wp:lineTo x="17284" y="8211"/>
                <wp:lineTo x="6180" y="5326"/>
                <wp:lineTo x="2933" y="5326"/>
              </wp:wrapPolygon>
            </wp:wrapTight>
            <wp:docPr id="54"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rsidR="00D86A11" w:rsidRDefault="00D86A11" w:rsidP="00D86A11"/>
    <w:p w:rsidR="00D86A11" w:rsidRDefault="00D86A11" w:rsidP="00D86A11">
      <w:pPr>
        <w:rPr>
          <w:rFonts w:cs="Arial"/>
          <w:color w:val="333333"/>
          <w:sz w:val="20"/>
          <w:shd w:val="clear" w:color="auto" w:fill="FFFFFF"/>
        </w:rPr>
      </w:pPr>
      <w:r>
        <w:rPr>
          <w:rFonts w:cs="Arial"/>
          <w:color w:val="333333"/>
          <w:sz w:val="20"/>
          <w:shd w:val="clear" w:color="auto" w:fill="FFFFFF"/>
        </w:rPr>
        <w:t xml:space="preserve"> </w:t>
      </w: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jc w:val="center"/>
        <w:rPr>
          <w:rFonts w:cs="Arial"/>
          <w:b/>
          <w:color w:val="333333"/>
          <w:szCs w:val="30"/>
        </w:rPr>
      </w:pPr>
      <w:r>
        <w:rPr>
          <w:rFonts w:cs="Arial"/>
          <w:b/>
          <w:color w:val="333333"/>
          <w:szCs w:val="30"/>
        </w:rPr>
        <w:t xml:space="preserve">Exhibit 17. What do you see as the three most critical systemic factors related to CWS for the County Self-Assessment (CSA) to address over the next five years? </w:t>
      </w:r>
      <w:r>
        <w:rPr>
          <w:rFonts w:cs="Arial"/>
          <w:b/>
          <w:i/>
          <w:color w:val="808080"/>
          <w:szCs w:val="30"/>
        </w:rPr>
        <w:t>(n=46)</w:t>
      </w:r>
    </w:p>
    <w:p w:rsidR="00D86A11" w:rsidRDefault="00C17026" w:rsidP="00D86A11">
      <w:r>
        <w:rPr>
          <w:noProof/>
        </w:rPr>
        <w:drawing>
          <wp:anchor distT="0" distB="0" distL="114300" distR="114300" simplePos="0" relativeHeight="251686912" behindDoc="1" locked="0" layoutInCell="1" allowOverlap="1">
            <wp:simplePos x="0" y="0"/>
            <wp:positionH relativeFrom="column">
              <wp:posOffset>-91440</wp:posOffset>
            </wp:positionH>
            <wp:positionV relativeFrom="paragraph">
              <wp:posOffset>28575</wp:posOffset>
            </wp:positionV>
            <wp:extent cx="5608320" cy="2720340"/>
            <wp:effectExtent l="3810" t="0" r="0" b="3810"/>
            <wp:wrapTight wrapText="bothSides">
              <wp:wrapPolygon edited="0">
                <wp:start x="9536" y="1210"/>
                <wp:lineTo x="7445" y="1739"/>
                <wp:lineTo x="5390" y="2264"/>
                <wp:lineTo x="5354" y="3096"/>
                <wp:lineTo x="7335" y="3625"/>
                <wp:lineTo x="9680" y="3625"/>
                <wp:lineTo x="9609" y="3928"/>
                <wp:lineTo x="9680" y="4835"/>
                <wp:lineTo x="3336" y="4835"/>
                <wp:lineTo x="3336" y="5813"/>
                <wp:lineTo x="9680" y="6040"/>
                <wp:lineTo x="9609" y="6645"/>
                <wp:lineTo x="9609" y="7175"/>
                <wp:lineTo x="7004" y="7704"/>
                <wp:lineTo x="7004" y="8385"/>
                <wp:lineTo x="9169" y="8612"/>
                <wp:lineTo x="9536" y="9514"/>
                <wp:lineTo x="9680" y="9666"/>
                <wp:lineTo x="1724" y="10422"/>
                <wp:lineTo x="1724" y="11103"/>
                <wp:lineTo x="8435" y="12086"/>
                <wp:lineTo x="9680" y="12086"/>
                <wp:lineTo x="5794" y="13215"/>
                <wp:lineTo x="5720" y="13820"/>
                <wp:lineTo x="5904" y="13896"/>
                <wp:lineTo x="9680" y="14501"/>
                <wp:lineTo x="9570" y="14955"/>
                <wp:lineTo x="9680" y="15711"/>
                <wp:lineTo x="3556" y="15938"/>
                <wp:lineTo x="3556" y="16916"/>
                <wp:lineTo x="9680" y="16916"/>
                <wp:lineTo x="9609" y="17597"/>
                <wp:lineTo x="9609" y="18126"/>
                <wp:lineTo x="8435" y="18731"/>
                <wp:lineTo x="8252" y="18882"/>
                <wp:lineTo x="8325" y="19336"/>
                <wp:lineTo x="9570" y="20466"/>
                <wp:lineTo x="9866" y="20466"/>
                <wp:lineTo x="13605" y="19412"/>
                <wp:lineTo x="13679" y="18882"/>
                <wp:lineTo x="13385" y="18731"/>
                <wp:lineTo x="9866" y="18126"/>
                <wp:lineTo x="9866" y="16916"/>
                <wp:lineTo x="12211" y="16840"/>
                <wp:lineTo x="12211" y="15787"/>
                <wp:lineTo x="9866" y="15711"/>
                <wp:lineTo x="9866" y="14501"/>
                <wp:lineTo x="12358" y="14501"/>
                <wp:lineTo x="15073" y="13896"/>
                <wp:lineTo x="15036" y="13215"/>
                <wp:lineTo x="9866" y="12086"/>
                <wp:lineTo x="11223" y="12086"/>
                <wp:lineTo x="15916" y="11178"/>
                <wp:lineTo x="15953" y="10573"/>
                <wp:lineTo x="14229" y="10195"/>
                <wp:lineTo x="9866" y="9666"/>
                <wp:lineTo x="10707" y="9666"/>
                <wp:lineTo x="16540" y="8385"/>
                <wp:lineTo x="16357" y="7553"/>
                <wp:lineTo x="9866" y="7250"/>
                <wp:lineTo x="9866" y="6040"/>
                <wp:lineTo x="18995" y="5965"/>
                <wp:lineTo x="19142" y="4987"/>
                <wp:lineTo x="9866" y="3625"/>
                <wp:lineTo x="20866" y="3096"/>
                <wp:lineTo x="21343" y="2718"/>
                <wp:lineTo x="21233" y="2188"/>
                <wp:lineTo x="19582" y="1966"/>
                <wp:lineTo x="9866" y="1210"/>
                <wp:lineTo x="9536" y="1210"/>
              </wp:wrapPolygon>
            </wp:wrapTight>
            <wp:docPr id="55" name="Char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anchor>
        </w:drawing>
      </w:r>
    </w:p>
    <w:p w:rsidR="00D86A11" w:rsidRDefault="00D86A11" w:rsidP="00D86A11">
      <w:pPr>
        <w:rPr>
          <w:rFonts w:cs="Arial"/>
          <w:color w:val="333333"/>
          <w:sz w:val="20"/>
          <w:shd w:val="clear" w:color="auto" w:fill="FFFFFF"/>
        </w:rPr>
      </w:pPr>
      <w:r>
        <w:rPr>
          <w:rFonts w:cs="Arial"/>
          <w:color w:val="333333"/>
          <w:sz w:val="20"/>
          <w:shd w:val="clear" w:color="auto" w:fill="FFFFFF"/>
        </w:rPr>
        <w:t xml:space="preserve"> </w:t>
      </w: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pStyle w:val="Heading1"/>
        <w:rPr>
          <w:rFonts w:ascii="Perpetua" w:hAnsi="Perpetua"/>
          <w:color w:val="333333"/>
          <w:sz w:val="22"/>
        </w:rPr>
      </w:pPr>
    </w:p>
    <w:p w:rsidR="00D86A11" w:rsidRDefault="00D86A11" w:rsidP="00D86A11">
      <w:pPr>
        <w:jc w:val="center"/>
        <w:rPr>
          <w:rFonts w:cs="Arial"/>
          <w:b/>
          <w:color w:val="333333"/>
          <w:szCs w:val="30"/>
        </w:rPr>
      </w:pPr>
      <w:r>
        <w:rPr>
          <w:rFonts w:cs="Arial"/>
          <w:b/>
          <w:color w:val="333333"/>
          <w:szCs w:val="30"/>
        </w:rPr>
        <w:t xml:space="preserve">Exhibit 18. Are you familiar with the San Diego CWS Safety Enhanced Together (SET) Practice Framework? </w:t>
      </w:r>
      <w:r>
        <w:rPr>
          <w:rFonts w:cs="Arial"/>
          <w:b/>
          <w:i/>
          <w:color w:val="808080"/>
          <w:szCs w:val="30"/>
        </w:rPr>
        <w:t>(n=46)</w:t>
      </w:r>
    </w:p>
    <w:p w:rsidR="00D86A11" w:rsidRDefault="000B1863" w:rsidP="00D86A11">
      <w:r>
        <w:rPr>
          <w:noProof/>
        </w:rPr>
        <w:drawing>
          <wp:anchor distT="0" distB="0" distL="114300" distR="114300" simplePos="0" relativeHeight="251887616" behindDoc="1" locked="0" layoutInCell="1" allowOverlap="1">
            <wp:simplePos x="0" y="0"/>
            <wp:positionH relativeFrom="column">
              <wp:posOffset>691515</wp:posOffset>
            </wp:positionH>
            <wp:positionV relativeFrom="paragraph">
              <wp:posOffset>83185</wp:posOffset>
            </wp:positionV>
            <wp:extent cx="4011295" cy="1666875"/>
            <wp:effectExtent l="0" t="0" r="0" b="0"/>
            <wp:wrapTight wrapText="bothSides">
              <wp:wrapPolygon edited="0">
                <wp:start x="154" y="617"/>
                <wp:lineTo x="154" y="20736"/>
                <wp:lineTo x="21344" y="20736"/>
                <wp:lineTo x="21344" y="617"/>
                <wp:lineTo x="154" y="617"/>
              </wp:wrapPolygon>
            </wp:wrapTight>
            <wp:docPr id="369"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rsidR="00D86A11" w:rsidRDefault="00C17026" w:rsidP="00D86A11">
      <w:r>
        <w:rPr>
          <w:noProof/>
        </w:rPr>
        <w:drawing>
          <wp:anchor distT="0" distB="0" distL="114300" distR="114300" simplePos="0" relativeHeight="251687936" behindDoc="1" locked="0" layoutInCell="1" allowOverlap="1">
            <wp:simplePos x="0" y="0"/>
            <wp:positionH relativeFrom="column">
              <wp:posOffset>691515</wp:posOffset>
            </wp:positionH>
            <wp:positionV relativeFrom="paragraph">
              <wp:posOffset>83185</wp:posOffset>
            </wp:positionV>
            <wp:extent cx="4011295" cy="1666875"/>
            <wp:effectExtent l="0" t="0" r="2540" b="2540"/>
            <wp:wrapTight wrapText="bothSides">
              <wp:wrapPolygon edited="0">
                <wp:start x="154" y="617"/>
                <wp:lineTo x="154" y="20736"/>
                <wp:lineTo x="21344" y="20736"/>
                <wp:lineTo x="21344" y="617"/>
                <wp:lineTo x="154" y="617"/>
              </wp:wrapPolygon>
            </wp:wrapTight>
            <wp:docPr id="56"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anchor>
        </w:drawing>
      </w: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F966B3" w:rsidRDefault="00F966B3" w:rsidP="00D86A11">
      <w:pPr>
        <w:jc w:val="center"/>
        <w:rPr>
          <w:rFonts w:cs="Arial"/>
          <w:b/>
          <w:color w:val="333333"/>
          <w:szCs w:val="30"/>
        </w:rPr>
      </w:pPr>
    </w:p>
    <w:p w:rsidR="00D86A11" w:rsidRDefault="00D86A11" w:rsidP="00D86A11">
      <w:pPr>
        <w:jc w:val="center"/>
        <w:rPr>
          <w:rFonts w:cs="Arial"/>
          <w:b/>
          <w:color w:val="333333"/>
          <w:szCs w:val="30"/>
        </w:rPr>
      </w:pPr>
      <w:r>
        <w:rPr>
          <w:rFonts w:cs="Arial"/>
          <w:b/>
          <w:color w:val="333333"/>
          <w:szCs w:val="30"/>
        </w:rPr>
        <w:t xml:space="preserve">Exhibit 19. Have you received any SET </w:t>
      </w:r>
      <w:r>
        <w:rPr>
          <w:rFonts w:cs="Arial"/>
          <w:b/>
          <w:color w:val="333333"/>
          <w:szCs w:val="30"/>
        </w:rPr>
        <w:lastRenderedPageBreak/>
        <w:t xml:space="preserve">trainings/brochures/resources/materials defining the vison and values that serve as the core of this Practice Framework? </w:t>
      </w:r>
      <w:r>
        <w:rPr>
          <w:rFonts w:cs="Arial"/>
          <w:b/>
          <w:i/>
          <w:color w:val="808080"/>
          <w:szCs w:val="30"/>
        </w:rPr>
        <w:t>(n=46)</w:t>
      </w:r>
    </w:p>
    <w:p w:rsidR="00D86A11" w:rsidRDefault="00D86A11" w:rsidP="00D86A11">
      <w:pPr>
        <w:rPr>
          <w:rFonts w:cs="Arial"/>
          <w:color w:val="333333"/>
          <w:sz w:val="20"/>
          <w:shd w:val="clear" w:color="auto" w:fill="FFFFFF"/>
        </w:rPr>
      </w:pPr>
    </w:p>
    <w:p w:rsidR="00D86A11" w:rsidRDefault="000B1863" w:rsidP="00D86A11">
      <w:pPr>
        <w:rPr>
          <w:rFonts w:cs="Arial"/>
          <w:color w:val="333333"/>
          <w:sz w:val="20"/>
          <w:shd w:val="clear" w:color="auto" w:fill="FFFFFF"/>
        </w:rPr>
      </w:pPr>
      <w:r>
        <w:rPr>
          <w:noProof/>
        </w:rPr>
        <w:drawing>
          <wp:anchor distT="0" distB="0" distL="114300" distR="114300" simplePos="0" relativeHeight="251889664" behindDoc="1" locked="0" layoutInCell="1" allowOverlap="1">
            <wp:simplePos x="0" y="0"/>
            <wp:positionH relativeFrom="column">
              <wp:posOffset>695325</wp:posOffset>
            </wp:positionH>
            <wp:positionV relativeFrom="paragraph">
              <wp:posOffset>48895</wp:posOffset>
            </wp:positionV>
            <wp:extent cx="4126865" cy="1706880"/>
            <wp:effectExtent l="635" t="0" r="0" b="635"/>
            <wp:wrapTight wrapText="bothSides">
              <wp:wrapPolygon edited="0">
                <wp:start x="150" y="603"/>
                <wp:lineTo x="150" y="20756"/>
                <wp:lineTo x="21351" y="20756"/>
                <wp:lineTo x="21351" y="603"/>
                <wp:lineTo x="150" y="603"/>
              </wp:wrapPolygon>
            </wp:wrapTight>
            <wp:docPr id="370"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rsidR="00D86A11" w:rsidRDefault="00C17026" w:rsidP="00D86A11">
      <w:pPr>
        <w:rPr>
          <w:rFonts w:cs="Arial"/>
          <w:color w:val="333333"/>
          <w:sz w:val="20"/>
          <w:shd w:val="clear" w:color="auto" w:fill="FFFFFF"/>
        </w:rPr>
      </w:pPr>
      <w:r>
        <w:rPr>
          <w:noProof/>
        </w:rPr>
        <w:drawing>
          <wp:anchor distT="0" distB="0" distL="114300" distR="114300" simplePos="0" relativeHeight="251688960" behindDoc="1" locked="0" layoutInCell="1" allowOverlap="1">
            <wp:simplePos x="0" y="0"/>
            <wp:positionH relativeFrom="column">
              <wp:posOffset>695325</wp:posOffset>
            </wp:positionH>
            <wp:positionV relativeFrom="paragraph">
              <wp:posOffset>48895</wp:posOffset>
            </wp:positionV>
            <wp:extent cx="4126865" cy="1706880"/>
            <wp:effectExtent l="0" t="1270" r="0" b="0"/>
            <wp:wrapTight wrapText="bothSides">
              <wp:wrapPolygon edited="0">
                <wp:start x="150" y="603"/>
                <wp:lineTo x="150" y="20756"/>
                <wp:lineTo x="21351" y="20756"/>
                <wp:lineTo x="21351" y="603"/>
                <wp:lineTo x="150" y="603"/>
              </wp:wrapPolygon>
            </wp:wrapTight>
            <wp:docPr id="57"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anchor>
        </w:drawing>
      </w: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pStyle w:val="Heading1"/>
        <w:jc w:val="center"/>
        <w:rPr>
          <w:rFonts w:ascii="Perpetua" w:hAnsi="Perpetua"/>
          <w:b w:val="0"/>
          <w:color w:val="333333"/>
          <w:spacing w:val="0"/>
          <w:sz w:val="20"/>
          <w:shd w:val="clear" w:color="auto" w:fill="FFFFFF"/>
        </w:rPr>
      </w:pPr>
    </w:p>
    <w:p w:rsidR="00D86A11" w:rsidRDefault="00D86A11" w:rsidP="00D86A11"/>
    <w:p w:rsidR="00D86A11" w:rsidRDefault="00D86A11" w:rsidP="00D86A11">
      <w:pPr>
        <w:jc w:val="center"/>
        <w:rPr>
          <w:rFonts w:cs="Arial"/>
          <w:b/>
          <w:color w:val="333333"/>
          <w:szCs w:val="30"/>
        </w:rPr>
      </w:pPr>
      <w:r>
        <w:rPr>
          <w:rFonts w:cs="Arial"/>
          <w:b/>
          <w:color w:val="333333"/>
          <w:szCs w:val="30"/>
        </w:rPr>
        <w:t xml:space="preserve">Exhibit 20. Have you observed improvements in how CWS functions overall? </w:t>
      </w:r>
      <w:r>
        <w:rPr>
          <w:rFonts w:cs="Arial"/>
          <w:b/>
          <w:i/>
          <w:color w:val="808080"/>
          <w:szCs w:val="30"/>
        </w:rPr>
        <w:t>(n=46)</w:t>
      </w:r>
    </w:p>
    <w:p w:rsidR="00D86A11" w:rsidRDefault="000B1863" w:rsidP="00D86A11">
      <w:r>
        <w:rPr>
          <w:noProof/>
        </w:rPr>
        <w:drawing>
          <wp:anchor distT="0" distB="0" distL="114300" distR="114300" simplePos="0" relativeHeight="251891712" behindDoc="1" locked="0" layoutInCell="1" allowOverlap="1">
            <wp:simplePos x="0" y="0"/>
            <wp:positionH relativeFrom="column">
              <wp:posOffset>590550</wp:posOffset>
            </wp:positionH>
            <wp:positionV relativeFrom="paragraph">
              <wp:posOffset>120650</wp:posOffset>
            </wp:positionV>
            <wp:extent cx="4524375" cy="1828800"/>
            <wp:effectExtent l="0" t="0" r="0" b="0"/>
            <wp:wrapTight wrapText="bothSides">
              <wp:wrapPolygon edited="0">
                <wp:start x="136" y="563"/>
                <wp:lineTo x="136" y="20813"/>
                <wp:lineTo x="21373" y="20813"/>
                <wp:lineTo x="21373" y="563"/>
                <wp:lineTo x="136" y="563"/>
              </wp:wrapPolygon>
            </wp:wrapTight>
            <wp:docPr id="373"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p>
    <w:p w:rsidR="00D86A11" w:rsidRDefault="00C17026" w:rsidP="00D86A11">
      <w:r>
        <w:rPr>
          <w:noProof/>
        </w:rPr>
        <w:drawing>
          <wp:anchor distT="0" distB="0" distL="114300" distR="114300" simplePos="0" relativeHeight="251692032" behindDoc="1" locked="0" layoutInCell="1" allowOverlap="1">
            <wp:simplePos x="0" y="0"/>
            <wp:positionH relativeFrom="column">
              <wp:posOffset>590550</wp:posOffset>
            </wp:positionH>
            <wp:positionV relativeFrom="paragraph">
              <wp:posOffset>120650</wp:posOffset>
            </wp:positionV>
            <wp:extent cx="4524375" cy="1828800"/>
            <wp:effectExtent l="0" t="0" r="0" b="3175"/>
            <wp:wrapTight wrapText="bothSides">
              <wp:wrapPolygon edited="0">
                <wp:start x="136" y="563"/>
                <wp:lineTo x="136" y="20813"/>
                <wp:lineTo x="21373" y="20813"/>
                <wp:lineTo x="21373" y="563"/>
                <wp:lineTo x="136" y="563"/>
              </wp:wrapPolygon>
            </wp:wrapTight>
            <wp:docPr id="60"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D86A11" w:rsidRDefault="00D86A11" w:rsidP="00D86A11">
      <w:pPr>
        <w:rPr>
          <w:rFonts w:cs="Arial"/>
          <w:color w:val="333333"/>
          <w:sz w:val="20"/>
          <w:shd w:val="clear" w:color="auto" w:fill="FFFFFF"/>
        </w:rPr>
      </w:pPr>
      <w:r>
        <w:rPr>
          <w:rFonts w:cs="Arial"/>
          <w:color w:val="333333"/>
          <w:sz w:val="20"/>
          <w:shd w:val="clear" w:color="auto" w:fill="FFFFFF"/>
        </w:rPr>
        <w:t xml:space="preserve"> </w:t>
      </w: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rPr>
          <w:rFonts w:cs="Arial"/>
          <w:color w:val="333333"/>
          <w:sz w:val="20"/>
          <w:shd w:val="clear" w:color="auto" w:fill="FFFFFF"/>
        </w:rPr>
      </w:pPr>
    </w:p>
    <w:p w:rsidR="00D86A11" w:rsidRDefault="00D86A11" w:rsidP="00D86A11">
      <w:pPr>
        <w:pStyle w:val="Heading1"/>
        <w:spacing w:after="240"/>
        <w:jc w:val="center"/>
        <w:rPr>
          <w:rFonts w:ascii="Perpetua" w:hAnsi="Perpetua" w:cs="Arial"/>
          <w:color w:val="333333"/>
          <w:sz w:val="22"/>
          <w:szCs w:val="22"/>
        </w:rPr>
      </w:pPr>
    </w:p>
    <w:p w:rsidR="00D86A11" w:rsidRDefault="00D86A11" w:rsidP="00D86A11">
      <w:pPr>
        <w:pStyle w:val="Heading1"/>
        <w:spacing w:after="240"/>
        <w:jc w:val="center"/>
        <w:rPr>
          <w:rFonts w:ascii="Perpetua" w:hAnsi="Perpetua" w:cs="Arial"/>
          <w:color w:val="333333"/>
          <w:sz w:val="22"/>
          <w:szCs w:val="22"/>
        </w:rPr>
      </w:pPr>
    </w:p>
    <w:p w:rsidR="00D86A11" w:rsidRDefault="00D86A11" w:rsidP="00D86A11">
      <w:pPr>
        <w:rPr>
          <w:rFonts w:cs="Arial"/>
          <w:color w:val="333333"/>
          <w:szCs w:val="22"/>
        </w:rPr>
      </w:pPr>
    </w:p>
    <w:p w:rsidR="00D86A11" w:rsidRDefault="00D86A11" w:rsidP="00D86A11">
      <w:pPr>
        <w:rPr>
          <w:rFonts w:cs="Arial"/>
          <w:color w:val="333333"/>
          <w:szCs w:val="22"/>
        </w:rPr>
      </w:pPr>
    </w:p>
    <w:p w:rsidR="00D86A11" w:rsidRDefault="00D86A11" w:rsidP="00D86A11">
      <w:pPr>
        <w:rPr>
          <w:rFonts w:cs="Arial"/>
          <w:color w:val="333333"/>
          <w:szCs w:val="22"/>
        </w:rPr>
      </w:pPr>
    </w:p>
    <w:p w:rsidR="00D86A11" w:rsidRDefault="00D86A11" w:rsidP="00D86A11">
      <w:pPr>
        <w:jc w:val="center"/>
        <w:rPr>
          <w:rFonts w:cs="Arial"/>
          <w:b/>
          <w:color w:val="333333"/>
          <w:szCs w:val="30"/>
        </w:rPr>
      </w:pPr>
      <w:r>
        <w:rPr>
          <w:rFonts w:cs="Arial"/>
          <w:b/>
          <w:color w:val="333333"/>
          <w:szCs w:val="30"/>
        </w:rPr>
        <w:t>Exhibit 21. Interaction with CWS over the past twelve months</w:t>
      </w:r>
    </w:p>
    <w:tbl>
      <w:tblPr>
        <w:tblW w:w="9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6"/>
        <w:gridCol w:w="940"/>
        <w:gridCol w:w="1147"/>
        <w:gridCol w:w="1249"/>
        <w:gridCol w:w="971"/>
        <w:gridCol w:w="881"/>
      </w:tblGrid>
      <w:tr w:rsidR="00D86A11">
        <w:trPr>
          <w:trHeight w:val="557"/>
        </w:trPr>
        <w:tc>
          <w:tcPr>
            <w:tcW w:w="4426" w:type="dxa"/>
            <w:tcBorders>
              <w:top w:val="single" w:sz="4" w:space="0" w:color="000000"/>
              <w:left w:val="single" w:sz="4" w:space="0" w:color="000000"/>
              <w:bottom w:val="nil"/>
              <w:right w:val="single" w:sz="4" w:space="0" w:color="000000"/>
            </w:tcBorders>
            <w:shd w:val="clear" w:color="auto" w:fill="013161"/>
          </w:tcPr>
          <w:p w:rsidR="00D86A11" w:rsidRDefault="00D86A11">
            <w:pPr>
              <w:pStyle w:val="Heading1"/>
              <w:jc w:val="center"/>
              <w:rPr>
                <w:rFonts w:ascii="Perpetua" w:hAnsi="Perpetua" w:cs="Perpetua"/>
                <w:sz w:val="22"/>
              </w:rPr>
            </w:pPr>
            <w:r>
              <w:rPr>
                <w:rFonts w:ascii="Perpetua" w:hAnsi="Perpetua" w:cs="Arial"/>
                <w:color w:val="FFFFFF"/>
                <w:sz w:val="22"/>
                <w:szCs w:val="22"/>
              </w:rPr>
              <w:lastRenderedPageBreak/>
              <w:t>Over the past year, CWS staff…….</w:t>
            </w:r>
          </w:p>
        </w:tc>
        <w:tc>
          <w:tcPr>
            <w:tcW w:w="940" w:type="dxa"/>
            <w:tcBorders>
              <w:top w:val="single" w:sz="4" w:space="0" w:color="000000"/>
              <w:left w:val="single" w:sz="4" w:space="0" w:color="000000"/>
              <w:bottom w:val="nil"/>
              <w:right w:val="single" w:sz="4" w:space="0" w:color="000000"/>
            </w:tcBorders>
            <w:shd w:val="clear" w:color="auto" w:fill="013161"/>
            <w:vAlign w:val="center"/>
          </w:tcPr>
          <w:p w:rsidR="00D86A11" w:rsidRDefault="00D86A11">
            <w:pPr>
              <w:jc w:val="center"/>
              <w:rPr>
                <w:rFonts w:cs="Perpetua"/>
                <w:b/>
                <w:color w:val="FFFFFF"/>
              </w:rPr>
            </w:pPr>
            <w:r>
              <w:rPr>
                <w:rFonts w:cs="Perpetua"/>
                <w:b/>
                <w:color w:val="FFFFFF"/>
              </w:rPr>
              <w:t>Not at all</w:t>
            </w:r>
          </w:p>
        </w:tc>
        <w:tc>
          <w:tcPr>
            <w:tcW w:w="1147" w:type="dxa"/>
            <w:tcBorders>
              <w:top w:val="single" w:sz="4" w:space="0" w:color="000000"/>
              <w:left w:val="single" w:sz="4" w:space="0" w:color="000000"/>
              <w:bottom w:val="nil"/>
              <w:right w:val="single" w:sz="4" w:space="0" w:color="000000"/>
            </w:tcBorders>
            <w:shd w:val="clear" w:color="auto" w:fill="013161"/>
            <w:vAlign w:val="center"/>
          </w:tcPr>
          <w:p w:rsidR="00D86A11" w:rsidRDefault="00D86A11">
            <w:pPr>
              <w:jc w:val="center"/>
              <w:rPr>
                <w:rFonts w:cs="Perpetua"/>
                <w:b/>
                <w:color w:val="FFFFFF"/>
              </w:rPr>
            </w:pPr>
            <w:r>
              <w:rPr>
                <w:rFonts w:cs="Perpetua"/>
                <w:b/>
                <w:color w:val="FFFFFF"/>
              </w:rPr>
              <w:t>Only a little</w:t>
            </w:r>
          </w:p>
        </w:tc>
        <w:tc>
          <w:tcPr>
            <w:tcW w:w="1249" w:type="dxa"/>
            <w:tcBorders>
              <w:top w:val="single" w:sz="4" w:space="0" w:color="000000"/>
              <w:left w:val="single" w:sz="4" w:space="0" w:color="000000"/>
              <w:bottom w:val="nil"/>
              <w:right w:val="single" w:sz="4" w:space="0" w:color="000000"/>
            </w:tcBorders>
            <w:shd w:val="clear" w:color="auto" w:fill="013161"/>
            <w:vAlign w:val="center"/>
          </w:tcPr>
          <w:p w:rsidR="00D86A11" w:rsidRDefault="00D86A11">
            <w:pPr>
              <w:jc w:val="center"/>
              <w:rPr>
                <w:rFonts w:cs="Perpetua"/>
                <w:b/>
                <w:color w:val="FFFFFF"/>
              </w:rPr>
            </w:pPr>
            <w:r>
              <w:rPr>
                <w:rFonts w:cs="Perpetua"/>
                <w:b/>
                <w:color w:val="FFFFFF"/>
              </w:rPr>
              <w:t>Somewhat</w:t>
            </w:r>
          </w:p>
        </w:tc>
        <w:tc>
          <w:tcPr>
            <w:tcW w:w="971" w:type="dxa"/>
            <w:tcBorders>
              <w:top w:val="single" w:sz="4" w:space="0" w:color="000000"/>
              <w:left w:val="single" w:sz="4" w:space="0" w:color="000000"/>
              <w:bottom w:val="nil"/>
              <w:right w:val="single" w:sz="4" w:space="0" w:color="000000"/>
            </w:tcBorders>
            <w:shd w:val="clear" w:color="auto" w:fill="013161"/>
            <w:vAlign w:val="center"/>
          </w:tcPr>
          <w:p w:rsidR="00D86A11" w:rsidRDefault="00D86A11">
            <w:pPr>
              <w:jc w:val="center"/>
              <w:rPr>
                <w:rFonts w:cs="Perpetua"/>
                <w:b/>
                <w:color w:val="FFFFFF"/>
              </w:rPr>
            </w:pPr>
            <w:r>
              <w:rPr>
                <w:rFonts w:cs="Perpetua"/>
                <w:b/>
                <w:color w:val="FFFFFF"/>
              </w:rPr>
              <w:t>Very much</w:t>
            </w:r>
          </w:p>
        </w:tc>
        <w:tc>
          <w:tcPr>
            <w:tcW w:w="881" w:type="dxa"/>
            <w:tcBorders>
              <w:top w:val="single" w:sz="4" w:space="0" w:color="000000"/>
              <w:left w:val="single" w:sz="4" w:space="0" w:color="000000"/>
              <w:bottom w:val="nil"/>
              <w:right w:val="single" w:sz="4" w:space="0" w:color="000000"/>
            </w:tcBorders>
            <w:shd w:val="clear" w:color="auto" w:fill="013161"/>
            <w:vAlign w:val="center"/>
          </w:tcPr>
          <w:p w:rsidR="00D86A11" w:rsidRDefault="00D86A11">
            <w:pPr>
              <w:jc w:val="center"/>
              <w:rPr>
                <w:rFonts w:cs="Perpetua"/>
                <w:b/>
                <w:color w:val="FFFFFF"/>
              </w:rPr>
            </w:pPr>
            <w:r>
              <w:rPr>
                <w:rFonts w:cs="Perpetua"/>
                <w:b/>
                <w:color w:val="FFFFFF"/>
              </w:rPr>
              <w:t>N/A</w:t>
            </w:r>
          </w:p>
        </w:tc>
      </w:tr>
      <w:tr w:rsidR="00D86A11">
        <w:trPr>
          <w:trHeight w:val="778"/>
        </w:trPr>
        <w:tc>
          <w:tcPr>
            <w:tcW w:w="4426" w:type="dxa"/>
            <w:tcBorders>
              <w:top w:val="nil"/>
              <w:left w:val="single" w:sz="4" w:space="0" w:color="000000"/>
              <w:bottom w:val="single" w:sz="4" w:space="0" w:color="000000"/>
              <w:right w:val="single" w:sz="4" w:space="0" w:color="000000"/>
            </w:tcBorders>
            <w:shd w:val="clear" w:color="auto" w:fill="DBE5F1"/>
          </w:tcPr>
          <w:p w:rsidR="00D86A11" w:rsidRDefault="00D86A11">
            <w:pPr>
              <w:rPr>
                <w:rFonts w:cs="Perpetua"/>
              </w:rPr>
            </w:pPr>
            <w:r>
              <w:rPr>
                <w:rFonts w:cs="Perpetua"/>
              </w:rPr>
              <w:t>Utilized open and clear communication when engaging with families.(n=45)</w:t>
            </w:r>
          </w:p>
        </w:tc>
        <w:tc>
          <w:tcPr>
            <w:tcW w:w="940" w:type="dxa"/>
            <w:tcBorders>
              <w:top w:val="nil"/>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0%</w:t>
            </w:r>
          </w:p>
        </w:tc>
        <w:tc>
          <w:tcPr>
            <w:tcW w:w="1147" w:type="dxa"/>
            <w:tcBorders>
              <w:top w:val="nil"/>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15.6%</w:t>
            </w:r>
          </w:p>
        </w:tc>
        <w:tc>
          <w:tcPr>
            <w:tcW w:w="1249" w:type="dxa"/>
            <w:tcBorders>
              <w:top w:val="nil"/>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b/>
              </w:rPr>
            </w:pPr>
            <w:r>
              <w:rPr>
                <w:rFonts w:cs="Perpetua"/>
                <w:b/>
              </w:rPr>
              <w:t>48.9%</w:t>
            </w:r>
          </w:p>
        </w:tc>
        <w:tc>
          <w:tcPr>
            <w:tcW w:w="971" w:type="dxa"/>
            <w:tcBorders>
              <w:top w:val="nil"/>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31.1%</w:t>
            </w:r>
          </w:p>
        </w:tc>
        <w:tc>
          <w:tcPr>
            <w:tcW w:w="881" w:type="dxa"/>
            <w:tcBorders>
              <w:top w:val="nil"/>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4.4%</w:t>
            </w:r>
          </w:p>
        </w:tc>
      </w:tr>
      <w:tr w:rsidR="00D86A11">
        <w:trPr>
          <w:trHeight w:val="778"/>
        </w:trPr>
        <w:tc>
          <w:tcPr>
            <w:tcW w:w="4426" w:type="dxa"/>
            <w:tcBorders>
              <w:top w:val="single" w:sz="4" w:space="0" w:color="000000"/>
              <w:left w:val="single" w:sz="4" w:space="0" w:color="000000"/>
              <w:bottom w:val="single" w:sz="4" w:space="0" w:color="000000"/>
              <w:right w:val="single" w:sz="4" w:space="0" w:color="000000"/>
            </w:tcBorders>
            <w:shd w:val="clear" w:color="auto" w:fill="F2F2F2"/>
          </w:tcPr>
          <w:p w:rsidR="00D86A11" w:rsidRDefault="00D86A11">
            <w:pPr>
              <w:rPr>
                <w:rFonts w:cs="Perpetua"/>
              </w:rPr>
            </w:pPr>
            <w:r>
              <w:rPr>
                <w:rFonts w:cs="Perpetua"/>
              </w:rPr>
              <w:t>Recognized and appreciated family culture. (n=46)</w:t>
            </w:r>
          </w:p>
        </w:tc>
        <w:tc>
          <w:tcPr>
            <w:tcW w:w="9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0%</w:t>
            </w:r>
          </w:p>
        </w:tc>
        <w:tc>
          <w:tcPr>
            <w:tcW w:w="114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8.7%</w:t>
            </w:r>
          </w:p>
        </w:tc>
        <w:tc>
          <w:tcPr>
            <w:tcW w:w="12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b/>
              </w:rPr>
            </w:pPr>
            <w:r>
              <w:rPr>
                <w:rFonts w:cs="Perpetua"/>
                <w:b/>
              </w:rPr>
              <w:t>60.9%</w:t>
            </w:r>
          </w:p>
        </w:tc>
        <w:tc>
          <w:tcPr>
            <w:tcW w:w="97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26.1%</w:t>
            </w:r>
          </w:p>
        </w:tc>
        <w:tc>
          <w:tcPr>
            <w:tcW w:w="8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4.3%</w:t>
            </w:r>
          </w:p>
        </w:tc>
      </w:tr>
      <w:tr w:rsidR="00D86A11">
        <w:trPr>
          <w:trHeight w:val="766"/>
        </w:trPr>
        <w:tc>
          <w:tcPr>
            <w:tcW w:w="4426" w:type="dxa"/>
            <w:tcBorders>
              <w:top w:val="single" w:sz="4" w:space="0" w:color="000000"/>
              <w:left w:val="single" w:sz="4" w:space="0" w:color="000000"/>
              <w:bottom w:val="single" w:sz="4" w:space="0" w:color="000000"/>
              <w:right w:val="single" w:sz="4" w:space="0" w:color="000000"/>
            </w:tcBorders>
            <w:shd w:val="clear" w:color="auto" w:fill="DBE5F1"/>
          </w:tcPr>
          <w:p w:rsidR="00D86A11" w:rsidRDefault="00D86A11">
            <w:pPr>
              <w:rPr>
                <w:rFonts w:cs="Perpetua"/>
              </w:rPr>
            </w:pPr>
            <w:r>
              <w:rPr>
                <w:rFonts w:cs="Perpetua"/>
              </w:rPr>
              <w:t>Incorporated the child/youth's voice at meetings to inform key decisions. (n=45)</w:t>
            </w:r>
          </w:p>
        </w:tc>
        <w:tc>
          <w:tcPr>
            <w:tcW w:w="9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4.4%</w:t>
            </w:r>
          </w:p>
        </w:tc>
        <w:tc>
          <w:tcPr>
            <w:tcW w:w="114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17.8%</w:t>
            </w:r>
          </w:p>
        </w:tc>
        <w:tc>
          <w:tcPr>
            <w:tcW w:w="12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b/>
              </w:rPr>
            </w:pPr>
            <w:r>
              <w:rPr>
                <w:rFonts w:cs="Perpetua"/>
                <w:b/>
              </w:rPr>
              <w:t>53.3%</w:t>
            </w:r>
          </w:p>
        </w:tc>
        <w:tc>
          <w:tcPr>
            <w:tcW w:w="97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17.8%</w:t>
            </w:r>
          </w:p>
        </w:tc>
        <w:tc>
          <w:tcPr>
            <w:tcW w:w="88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6.7%</w:t>
            </w:r>
          </w:p>
        </w:tc>
      </w:tr>
      <w:tr w:rsidR="00D86A11">
        <w:trPr>
          <w:trHeight w:val="620"/>
        </w:trPr>
        <w:tc>
          <w:tcPr>
            <w:tcW w:w="4426" w:type="dxa"/>
            <w:tcBorders>
              <w:top w:val="single" w:sz="4" w:space="0" w:color="000000"/>
              <w:left w:val="single" w:sz="4" w:space="0" w:color="000000"/>
              <w:bottom w:val="single" w:sz="4" w:space="0" w:color="000000"/>
              <w:right w:val="single" w:sz="4" w:space="0" w:color="000000"/>
            </w:tcBorders>
            <w:shd w:val="clear" w:color="auto" w:fill="F2F2F2"/>
          </w:tcPr>
          <w:p w:rsidR="00D86A11" w:rsidRDefault="00D86A11">
            <w:pPr>
              <w:rPr>
                <w:rFonts w:cs="Perpetua"/>
              </w:rPr>
            </w:pPr>
            <w:r>
              <w:rPr>
                <w:rFonts w:cs="Perpetua"/>
              </w:rPr>
              <w:t>Utilized a Safety-Organized Practice (SOP) approach for engagement and assessment. (n=45)</w:t>
            </w:r>
          </w:p>
        </w:tc>
        <w:tc>
          <w:tcPr>
            <w:tcW w:w="9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0%</w:t>
            </w:r>
          </w:p>
        </w:tc>
        <w:tc>
          <w:tcPr>
            <w:tcW w:w="114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13.3%</w:t>
            </w:r>
          </w:p>
        </w:tc>
        <w:tc>
          <w:tcPr>
            <w:tcW w:w="12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33.3%</w:t>
            </w:r>
          </w:p>
        </w:tc>
        <w:tc>
          <w:tcPr>
            <w:tcW w:w="97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b/>
              </w:rPr>
            </w:pPr>
            <w:r>
              <w:rPr>
                <w:rFonts w:cs="Perpetua"/>
                <w:b/>
              </w:rPr>
              <w:t>35.6%</w:t>
            </w:r>
          </w:p>
        </w:tc>
        <w:tc>
          <w:tcPr>
            <w:tcW w:w="8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17.8%</w:t>
            </w:r>
          </w:p>
        </w:tc>
      </w:tr>
      <w:tr w:rsidR="00D86A11">
        <w:trPr>
          <w:trHeight w:val="778"/>
        </w:trPr>
        <w:tc>
          <w:tcPr>
            <w:tcW w:w="4426" w:type="dxa"/>
            <w:tcBorders>
              <w:top w:val="single" w:sz="4" w:space="0" w:color="000000"/>
              <w:left w:val="single" w:sz="4" w:space="0" w:color="000000"/>
              <w:bottom w:val="single" w:sz="4" w:space="0" w:color="000000"/>
              <w:right w:val="single" w:sz="4" w:space="0" w:color="000000"/>
            </w:tcBorders>
            <w:shd w:val="clear" w:color="auto" w:fill="DBE5F1"/>
          </w:tcPr>
          <w:p w:rsidR="00D86A11" w:rsidRDefault="00D86A11">
            <w:pPr>
              <w:rPr>
                <w:rFonts w:cs="Perpetua"/>
              </w:rPr>
            </w:pPr>
            <w:r>
              <w:rPr>
                <w:rFonts w:cs="Perpetua"/>
              </w:rPr>
              <w:t>Partnered with families when creating case plans. (n=46)</w:t>
            </w:r>
          </w:p>
        </w:tc>
        <w:tc>
          <w:tcPr>
            <w:tcW w:w="9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4.3%</w:t>
            </w:r>
          </w:p>
        </w:tc>
        <w:tc>
          <w:tcPr>
            <w:tcW w:w="114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28.3%</w:t>
            </w:r>
          </w:p>
        </w:tc>
        <w:tc>
          <w:tcPr>
            <w:tcW w:w="12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b/>
              </w:rPr>
            </w:pPr>
            <w:r>
              <w:rPr>
                <w:rFonts w:cs="Perpetua"/>
                <w:b/>
              </w:rPr>
              <w:t>34.8%</w:t>
            </w:r>
          </w:p>
        </w:tc>
        <w:tc>
          <w:tcPr>
            <w:tcW w:w="97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19.6%</w:t>
            </w:r>
          </w:p>
        </w:tc>
        <w:tc>
          <w:tcPr>
            <w:tcW w:w="88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13.0%</w:t>
            </w:r>
          </w:p>
        </w:tc>
      </w:tr>
      <w:tr w:rsidR="00D86A11">
        <w:trPr>
          <w:trHeight w:val="557"/>
        </w:trPr>
        <w:tc>
          <w:tcPr>
            <w:tcW w:w="4426" w:type="dxa"/>
            <w:tcBorders>
              <w:top w:val="single" w:sz="4" w:space="0" w:color="000000"/>
              <w:left w:val="single" w:sz="4" w:space="0" w:color="000000"/>
              <w:bottom w:val="single" w:sz="4" w:space="0" w:color="000000"/>
              <w:right w:val="single" w:sz="4" w:space="0" w:color="000000"/>
            </w:tcBorders>
            <w:shd w:val="clear" w:color="auto" w:fill="F2F2F2"/>
          </w:tcPr>
          <w:p w:rsidR="00D86A11" w:rsidRDefault="00D86A11">
            <w:pPr>
              <w:rPr>
                <w:rFonts w:cs="Perpetua"/>
              </w:rPr>
            </w:pPr>
            <w:r>
              <w:rPr>
                <w:rFonts w:cs="Perpetua"/>
              </w:rPr>
              <w:t>Developed behaviorally based case plan with families. (n=45)</w:t>
            </w:r>
          </w:p>
        </w:tc>
        <w:tc>
          <w:tcPr>
            <w:tcW w:w="9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4.4%</w:t>
            </w:r>
          </w:p>
        </w:tc>
        <w:tc>
          <w:tcPr>
            <w:tcW w:w="114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24.4%</w:t>
            </w:r>
          </w:p>
        </w:tc>
        <w:tc>
          <w:tcPr>
            <w:tcW w:w="12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b/>
              </w:rPr>
            </w:pPr>
            <w:r>
              <w:rPr>
                <w:rFonts w:cs="Perpetua"/>
                <w:b/>
              </w:rPr>
              <w:t>40.0%</w:t>
            </w:r>
          </w:p>
        </w:tc>
        <w:tc>
          <w:tcPr>
            <w:tcW w:w="97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17.8%</w:t>
            </w:r>
          </w:p>
        </w:tc>
        <w:tc>
          <w:tcPr>
            <w:tcW w:w="8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13.3%</w:t>
            </w:r>
          </w:p>
        </w:tc>
      </w:tr>
      <w:tr w:rsidR="00D86A11">
        <w:trPr>
          <w:trHeight w:val="778"/>
        </w:trPr>
        <w:tc>
          <w:tcPr>
            <w:tcW w:w="4426" w:type="dxa"/>
            <w:tcBorders>
              <w:top w:val="single" w:sz="4" w:space="0" w:color="000000"/>
              <w:left w:val="single" w:sz="4" w:space="0" w:color="000000"/>
              <w:bottom w:val="single" w:sz="4" w:space="0" w:color="000000"/>
              <w:right w:val="single" w:sz="4" w:space="0" w:color="000000"/>
            </w:tcBorders>
            <w:shd w:val="clear" w:color="auto" w:fill="DBE5F1"/>
          </w:tcPr>
          <w:p w:rsidR="00D86A11" w:rsidRDefault="00D86A11">
            <w:pPr>
              <w:rPr>
                <w:rFonts w:cs="Perpetua"/>
              </w:rPr>
            </w:pPr>
            <w:r>
              <w:rPr>
                <w:rFonts w:cs="Perpetua"/>
              </w:rPr>
              <w:t>Identified/maintained a support system/safety network to strengthen families. (n=46)</w:t>
            </w:r>
          </w:p>
        </w:tc>
        <w:tc>
          <w:tcPr>
            <w:tcW w:w="9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2.2%</w:t>
            </w:r>
          </w:p>
        </w:tc>
        <w:tc>
          <w:tcPr>
            <w:tcW w:w="114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26.1%</w:t>
            </w:r>
          </w:p>
        </w:tc>
        <w:tc>
          <w:tcPr>
            <w:tcW w:w="12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b/>
              </w:rPr>
            </w:pPr>
            <w:r>
              <w:rPr>
                <w:rFonts w:cs="Perpetua"/>
                <w:b/>
              </w:rPr>
              <w:t>41.3%</w:t>
            </w:r>
          </w:p>
        </w:tc>
        <w:tc>
          <w:tcPr>
            <w:tcW w:w="97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19.6%</w:t>
            </w:r>
          </w:p>
        </w:tc>
        <w:tc>
          <w:tcPr>
            <w:tcW w:w="88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10.9%</w:t>
            </w:r>
          </w:p>
        </w:tc>
      </w:tr>
      <w:tr w:rsidR="00D86A11">
        <w:trPr>
          <w:trHeight w:val="1304"/>
        </w:trPr>
        <w:tc>
          <w:tcPr>
            <w:tcW w:w="4426" w:type="dxa"/>
            <w:tcBorders>
              <w:top w:val="single" w:sz="4" w:space="0" w:color="000000"/>
              <w:left w:val="single" w:sz="4" w:space="0" w:color="000000"/>
              <w:bottom w:val="single" w:sz="4" w:space="0" w:color="000000"/>
              <w:right w:val="single" w:sz="4" w:space="0" w:color="000000"/>
            </w:tcBorders>
            <w:shd w:val="clear" w:color="auto" w:fill="F2F2F2"/>
          </w:tcPr>
          <w:p w:rsidR="00D86A11" w:rsidRDefault="00D86A11">
            <w:pPr>
              <w:rPr>
                <w:rFonts w:cs="Perpetua"/>
              </w:rPr>
            </w:pPr>
            <w:r>
              <w:rPr>
                <w:rFonts w:cs="Perpetua"/>
              </w:rPr>
              <w:t>Established or maintained collaboration with schools, public health, public safety and other community partners (or solicited input of community partners). (n=45)</w:t>
            </w:r>
          </w:p>
        </w:tc>
        <w:tc>
          <w:tcPr>
            <w:tcW w:w="9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4.4%</w:t>
            </w:r>
          </w:p>
        </w:tc>
        <w:tc>
          <w:tcPr>
            <w:tcW w:w="114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28.9%</w:t>
            </w:r>
          </w:p>
        </w:tc>
        <w:tc>
          <w:tcPr>
            <w:tcW w:w="12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b/>
              </w:rPr>
            </w:pPr>
            <w:r>
              <w:rPr>
                <w:rFonts w:cs="Perpetua"/>
                <w:b/>
              </w:rPr>
              <w:t>33.3%</w:t>
            </w:r>
          </w:p>
        </w:tc>
        <w:tc>
          <w:tcPr>
            <w:tcW w:w="97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26.7%</w:t>
            </w:r>
          </w:p>
        </w:tc>
        <w:tc>
          <w:tcPr>
            <w:tcW w:w="8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6.7%</w:t>
            </w:r>
          </w:p>
        </w:tc>
      </w:tr>
      <w:tr w:rsidR="00D86A11">
        <w:trPr>
          <w:trHeight w:val="1084"/>
        </w:trPr>
        <w:tc>
          <w:tcPr>
            <w:tcW w:w="4426" w:type="dxa"/>
            <w:tcBorders>
              <w:top w:val="single" w:sz="4" w:space="0" w:color="000000"/>
              <w:left w:val="single" w:sz="4" w:space="0" w:color="000000"/>
              <w:bottom w:val="single" w:sz="4" w:space="0" w:color="000000"/>
              <w:right w:val="single" w:sz="4" w:space="0" w:color="000000"/>
            </w:tcBorders>
            <w:shd w:val="clear" w:color="auto" w:fill="DBE5F1"/>
          </w:tcPr>
          <w:p w:rsidR="00D86A11" w:rsidRDefault="00D86A11">
            <w:pPr>
              <w:rPr>
                <w:rFonts w:cs="Perpetua"/>
              </w:rPr>
            </w:pPr>
            <w:r>
              <w:rPr>
                <w:rFonts w:cs="Perpetua"/>
              </w:rPr>
              <w:t>Worked to maintain children's connections to siblings, family, school and community of origin. (n=46)</w:t>
            </w:r>
          </w:p>
        </w:tc>
        <w:tc>
          <w:tcPr>
            <w:tcW w:w="9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4.3%</w:t>
            </w:r>
          </w:p>
        </w:tc>
        <w:tc>
          <w:tcPr>
            <w:tcW w:w="114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17.4%</w:t>
            </w:r>
          </w:p>
        </w:tc>
        <w:tc>
          <w:tcPr>
            <w:tcW w:w="12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b/>
              </w:rPr>
            </w:pPr>
            <w:r>
              <w:rPr>
                <w:rFonts w:cs="Perpetua"/>
                <w:b/>
              </w:rPr>
              <w:t>45.7%</w:t>
            </w:r>
          </w:p>
        </w:tc>
        <w:tc>
          <w:tcPr>
            <w:tcW w:w="97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23.9%</w:t>
            </w:r>
          </w:p>
        </w:tc>
        <w:tc>
          <w:tcPr>
            <w:tcW w:w="88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8.7%</w:t>
            </w:r>
          </w:p>
        </w:tc>
      </w:tr>
      <w:tr w:rsidR="00D86A11">
        <w:trPr>
          <w:trHeight w:val="778"/>
        </w:trPr>
        <w:tc>
          <w:tcPr>
            <w:tcW w:w="4426" w:type="dxa"/>
            <w:tcBorders>
              <w:top w:val="single" w:sz="4" w:space="0" w:color="000000"/>
              <w:left w:val="single" w:sz="4" w:space="0" w:color="000000"/>
              <w:bottom w:val="single" w:sz="4" w:space="0" w:color="000000"/>
              <w:right w:val="single" w:sz="4" w:space="0" w:color="000000"/>
            </w:tcBorders>
            <w:shd w:val="clear" w:color="auto" w:fill="F2F2F2"/>
          </w:tcPr>
          <w:p w:rsidR="00D86A11" w:rsidRDefault="00D86A11">
            <w:pPr>
              <w:rPr>
                <w:rFonts w:cs="Perpetua"/>
              </w:rPr>
            </w:pPr>
            <w:r>
              <w:rPr>
                <w:rFonts w:cs="Perpetua"/>
              </w:rPr>
              <w:t>Utilized Family-Centered Meetings at key decision points. (n=45)</w:t>
            </w:r>
          </w:p>
        </w:tc>
        <w:tc>
          <w:tcPr>
            <w:tcW w:w="9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4.4%</w:t>
            </w:r>
          </w:p>
        </w:tc>
        <w:tc>
          <w:tcPr>
            <w:tcW w:w="114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20.0%</w:t>
            </w:r>
          </w:p>
        </w:tc>
        <w:tc>
          <w:tcPr>
            <w:tcW w:w="12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b/>
              </w:rPr>
            </w:pPr>
            <w:r>
              <w:rPr>
                <w:rFonts w:cs="Perpetua"/>
                <w:b/>
              </w:rPr>
              <w:t>40.0%</w:t>
            </w:r>
          </w:p>
        </w:tc>
        <w:tc>
          <w:tcPr>
            <w:tcW w:w="97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31.1%</w:t>
            </w:r>
          </w:p>
        </w:tc>
        <w:tc>
          <w:tcPr>
            <w:tcW w:w="8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4.4%</w:t>
            </w:r>
          </w:p>
        </w:tc>
      </w:tr>
      <w:tr w:rsidR="00D86A11">
        <w:trPr>
          <w:trHeight w:val="778"/>
        </w:trPr>
        <w:tc>
          <w:tcPr>
            <w:tcW w:w="4426" w:type="dxa"/>
            <w:tcBorders>
              <w:top w:val="single" w:sz="4" w:space="0" w:color="000000"/>
              <w:left w:val="single" w:sz="4" w:space="0" w:color="000000"/>
              <w:bottom w:val="single" w:sz="4" w:space="0" w:color="000000"/>
              <w:right w:val="single" w:sz="4" w:space="0" w:color="000000"/>
            </w:tcBorders>
            <w:shd w:val="clear" w:color="auto" w:fill="DBE5F1"/>
          </w:tcPr>
          <w:p w:rsidR="00D86A11" w:rsidRDefault="00D86A11">
            <w:pPr>
              <w:rPr>
                <w:rFonts w:cs="Perpetua"/>
              </w:rPr>
            </w:pPr>
            <w:r>
              <w:rPr>
                <w:rFonts w:cs="Perpetua"/>
              </w:rPr>
              <w:t>Included kinship/resource families in Family Centered Meetings (n=45)</w:t>
            </w:r>
          </w:p>
        </w:tc>
        <w:tc>
          <w:tcPr>
            <w:tcW w:w="9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4.4%</w:t>
            </w:r>
          </w:p>
        </w:tc>
        <w:tc>
          <w:tcPr>
            <w:tcW w:w="114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24.4%</w:t>
            </w:r>
          </w:p>
        </w:tc>
        <w:tc>
          <w:tcPr>
            <w:tcW w:w="12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b/>
              </w:rPr>
            </w:pPr>
            <w:r>
              <w:rPr>
                <w:rFonts w:cs="Perpetua"/>
                <w:b/>
              </w:rPr>
              <w:t>33.3%</w:t>
            </w:r>
          </w:p>
        </w:tc>
        <w:tc>
          <w:tcPr>
            <w:tcW w:w="97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28.9%</w:t>
            </w:r>
          </w:p>
        </w:tc>
        <w:tc>
          <w:tcPr>
            <w:tcW w:w="88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8.9%</w:t>
            </w:r>
          </w:p>
        </w:tc>
      </w:tr>
      <w:tr w:rsidR="00D86A11">
        <w:trPr>
          <w:trHeight w:val="1084"/>
        </w:trPr>
        <w:tc>
          <w:tcPr>
            <w:tcW w:w="4426" w:type="dxa"/>
            <w:tcBorders>
              <w:top w:val="single" w:sz="4" w:space="0" w:color="000000"/>
              <w:left w:val="single" w:sz="4" w:space="0" w:color="000000"/>
              <w:bottom w:val="single" w:sz="4" w:space="0" w:color="000000"/>
              <w:right w:val="single" w:sz="4" w:space="0" w:color="000000"/>
            </w:tcBorders>
            <w:shd w:val="clear" w:color="auto" w:fill="F2F2F2"/>
          </w:tcPr>
          <w:p w:rsidR="00D86A11" w:rsidRDefault="00D86A11">
            <w:pPr>
              <w:rPr>
                <w:rFonts w:cs="Perpetua"/>
              </w:rPr>
            </w:pPr>
            <w:r>
              <w:rPr>
                <w:rFonts w:cs="Perpetua"/>
              </w:rPr>
              <w:t>Identified family support systems using eco-maps, genograms, Circles of Safety and Support. (n=45)</w:t>
            </w:r>
          </w:p>
        </w:tc>
        <w:tc>
          <w:tcPr>
            <w:tcW w:w="94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11.1%</w:t>
            </w:r>
          </w:p>
        </w:tc>
        <w:tc>
          <w:tcPr>
            <w:tcW w:w="114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22.2%</w:t>
            </w:r>
          </w:p>
        </w:tc>
        <w:tc>
          <w:tcPr>
            <w:tcW w:w="124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b/>
              </w:rPr>
            </w:pPr>
            <w:r>
              <w:rPr>
                <w:rFonts w:cs="Perpetua"/>
                <w:b/>
              </w:rPr>
              <w:t>35.6%</w:t>
            </w:r>
          </w:p>
        </w:tc>
        <w:tc>
          <w:tcPr>
            <w:tcW w:w="97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20.0%</w:t>
            </w:r>
          </w:p>
        </w:tc>
        <w:tc>
          <w:tcPr>
            <w:tcW w:w="881"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86A11" w:rsidRDefault="00D86A11">
            <w:pPr>
              <w:jc w:val="center"/>
              <w:rPr>
                <w:rFonts w:cs="Perpetua"/>
              </w:rPr>
            </w:pPr>
            <w:r>
              <w:rPr>
                <w:rFonts w:cs="Perpetua"/>
              </w:rPr>
              <w:t>11.1%</w:t>
            </w:r>
          </w:p>
        </w:tc>
      </w:tr>
      <w:tr w:rsidR="00D86A11">
        <w:trPr>
          <w:trHeight w:val="636"/>
        </w:trPr>
        <w:tc>
          <w:tcPr>
            <w:tcW w:w="4426" w:type="dxa"/>
            <w:tcBorders>
              <w:top w:val="single" w:sz="4" w:space="0" w:color="000000"/>
              <w:left w:val="single" w:sz="4" w:space="0" w:color="000000"/>
              <w:bottom w:val="single" w:sz="4" w:space="0" w:color="000000"/>
              <w:right w:val="single" w:sz="4" w:space="0" w:color="000000"/>
            </w:tcBorders>
            <w:shd w:val="clear" w:color="auto" w:fill="DBE5F1"/>
          </w:tcPr>
          <w:p w:rsidR="00D86A11" w:rsidRDefault="00D86A11">
            <w:pPr>
              <w:rPr>
                <w:rFonts w:cs="Perpetua"/>
              </w:rPr>
            </w:pPr>
            <w:r>
              <w:rPr>
                <w:rFonts w:cs="Perpetua"/>
              </w:rPr>
              <w:t>Established aftercare plans with children, youth and families to provide support after case or referral closure. (n=45)</w:t>
            </w:r>
          </w:p>
        </w:tc>
        <w:tc>
          <w:tcPr>
            <w:tcW w:w="9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17.8%</w:t>
            </w:r>
          </w:p>
        </w:tc>
        <w:tc>
          <w:tcPr>
            <w:tcW w:w="1147"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17.8%</w:t>
            </w:r>
          </w:p>
        </w:tc>
        <w:tc>
          <w:tcPr>
            <w:tcW w:w="1249"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b/>
              </w:rPr>
            </w:pPr>
            <w:r>
              <w:rPr>
                <w:rFonts w:cs="Perpetua"/>
                <w:b/>
              </w:rPr>
              <w:t>44.4%</w:t>
            </w:r>
          </w:p>
        </w:tc>
        <w:tc>
          <w:tcPr>
            <w:tcW w:w="97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6.7%</w:t>
            </w:r>
          </w:p>
        </w:tc>
        <w:tc>
          <w:tcPr>
            <w:tcW w:w="88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pPr>
              <w:jc w:val="center"/>
              <w:rPr>
                <w:rFonts w:cs="Perpetua"/>
              </w:rPr>
            </w:pPr>
            <w:r>
              <w:rPr>
                <w:rFonts w:cs="Perpetua"/>
              </w:rPr>
              <w:t>13.3%</w:t>
            </w:r>
          </w:p>
        </w:tc>
      </w:tr>
    </w:tbl>
    <w:p w:rsidR="00D86A11" w:rsidRDefault="00D86A11" w:rsidP="00D86A11">
      <w:pPr>
        <w:pStyle w:val="Heading2"/>
        <w:rPr>
          <w:rFonts w:ascii="Perpetua" w:hAnsi="Perpetua"/>
          <w:color w:val="013161"/>
        </w:rPr>
      </w:pPr>
      <w:r>
        <w:rPr>
          <w:rFonts w:ascii="Perpetua" w:hAnsi="Perpetua"/>
          <w:color w:val="013161"/>
          <w:sz w:val="28"/>
          <w:szCs w:val="32"/>
        </w:rPr>
        <w:t>Appendix G: Community Services for Families (CSF)</w:t>
      </w:r>
    </w:p>
    <w:tbl>
      <w:tblPr>
        <w:tblW w:w="9468" w:type="dxa"/>
        <w:tblInd w:w="93" w:type="dxa"/>
        <w:tblLayout w:type="fixed"/>
        <w:tblLook w:val="04A0" w:firstRow="1" w:lastRow="0" w:firstColumn="1" w:lastColumn="0" w:noHBand="0" w:noVBand="1"/>
      </w:tblPr>
      <w:tblGrid>
        <w:gridCol w:w="4660"/>
        <w:gridCol w:w="906"/>
        <w:gridCol w:w="760"/>
        <w:gridCol w:w="1072"/>
        <w:gridCol w:w="990"/>
        <w:gridCol w:w="1080"/>
      </w:tblGrid>
      <w:tr w:rsidR="00D86A11">
        <w:trPr>
          <w:trHeight w:val="576"/>
        </w:trPr>
        <w:tc>
          <w:tcPr>
            <w:tcW w:w="9465" w:type="dxa"/>
            <w:gridSpan w:val="6"/>
            <w:tcBorders>
              <w:top w:val="nil"/>
              <w:left w:val="nil"/>
              <w:bottom w:val="single" w:sz="4" w:space="0" w:color="auto"/>
              <w:right w:val="nil"/>
            </w:tcBorders>
            <w:vAlign w:val="bottom"/>
          </w:tcPr>
          <w:p w:rsidR="00D86A11" w:rsidRDefault="00D86A11">
            <w:pPr>
              <w:spacing w:after="0" w:line="240" w:lineRule="auto"/>
              <w:jc w:val="center"/>
              <w:rPr>
                <w:rFonts w:eastAsia="Times New Roman"/>
                <w:b/>
                <w:bCs/>
                <w:color w:val="C00000"/>
                <w:sz w:val="24"/>
                <w:szCs w:val="22"/>
              </w:rPr>
            </w:pPr>
            <w:r>
              <w:rPr>
                <w:rFonts w:eastAsia="Times New Roman"/>
                <w:b/>
                <w:bCs/>
                <w:color w:val="C00000"/>
                <w:sz w:val="24"/>
                <w:szCs w:val="22"/>
              </w:rPr>
              <w:lastRenderedPageBreak/>
              <w:t>Client Satisfaction Survey Findings FY 2014-15</w:t>
            </w:r>
          </w:p>
        </w:tc>
      </w:tr>
      <w:tr w:rsidR="00D86A11">
        <w:trPr>
          <w:trHeight w:val="600"/>
        </w:trPr>
        <w:tc>
          <w:tcPr>
            <w:tcW w:w="4658" w:type="dxa"/>
            <w:tcBorders>
              <w:top w:val="nil"/>
              <w:left w:val="single" w:sz="4" w:space="0" w:color="auto"/>
              <w:bottom w:val="single" w:sz="4" w:space="0" w:color="auto"/>
              <w:right w:val="single" w:sz="4" w:space="0" w:color="auto"/>
            </w:tcBorders>
            <w:vAlign w:val="center"/>
          </w:tcPr>
          <w:p w:rsidR="00D86A11" w:rsidRDefault="00D86A11">
            <w:pPr>
              <w:spacing w:after="0" w:line="240" w:lineRule="auto"/>
              <w:jc w:val="center"/>
              <w:rPr>
                <w:rFonts w:eastAsia="Times New Roman"/>
                <w:szCs w:val="22"/>
              </w:rPr>
            </w:pPr>
            <w:r>
              <w:rPr>
                <w:rFonts w:eastAsia="Times New Roman"/>
                <w:szCs w:val="22"/>
              </w:rPr>
              <w:t>Total Number of Surveys Completed= 1175</w:t>
            </w:r>
          </w:p>
        </w:tc>
        <w:tc>
          <w:tcPr>
            <w:tcW w:w="905" w:type="dxa"/>
            <w:tcBorders>
              <w:top w:val="nil"/>
              <w:left w:val="nil"/>
              <w:bottom w:val="single" w:sz="4" w:space="0" w:color="auto"/>
              <w:right w:val="single" w:sz="4" w:space="0" w:color="auto"/>
            </w:tcBorders>
            <w:vAlign w:val="center"/>
          </w:tcPr>
          <w:p w:rsidR="00D86A11" w:rsidRDefault="00D86A11">
            <w:pPr>
              <w:spacing w:after="0" w:line="240" w:lineRule="auto"/>
              <w:jc w:val="center"/>
              <w:rPr>
                <w:rFonts w:eastAsia="Times New Roman"/>
                <w:b/>
                <w:bCs/>
                <w:sz w:val="20"/>
              </w:rPr>
            </w:pPr>
            <w:r>
              <w:rPr>
                <w:rFonts w:eastAsia="Times New Roman"/>
                <w:b/>
                <w:bCs/>
                <w:sz w:val="20"/>
              </w:rPr>
              <w:t>Strongly Agree</w:t>
            </w:r>
          </w:p>
        </w:tc>
        <w:tc>
          <w:tcPr>
            <w:tcW w:w="760" w:type="dxa"/>
            <w:tcBorders>
              <w:top w:val="nil"/>
              <w:left w:val="nil"/>
              <w:bottom w:val="single" w:sz="4" w:space="0" w:color="auto"/>
              <w:right w:val="single" w:sz="4" w:space="0" w:color="auto"/>
            </w:tcBorders>
            <w:vAlign w:val="center"/>
          </w:tcPr>
          <w:p w:rsidR="00D86A11" w:rsidRDefault="00D86A11">
            <w:pPr>
              <w:spacing w:after="0" w:line="240" w:lineRule="auto"/>
              <w:jc w:val="center"/>
              <w:rPr>
                <w:rFonts w:eastAsia="Times New Roman"/>
                <w:b/>
                <w:bCs/>
                <w:sz w:val="20"/>
              </w:rPr>
            </w:pPr>
            <w:r>
              <w:rPr>
                <w:rFonts w:eastAsia="Times New Roman"/>
                <w:b/>
                <w:bCs/>
                <w:sz w:val="20"/>
              </w:rPr>
              <w:t>Agree</w:t>
            </w:r>
          </w:p>
        </w:tc>
        <w:tc>
          <w:tcPr>
            <w:tcW w:w="1072" w:type="dxa"/>
            <w:tcBorders>
              <w:top w:val="nil"/>
              <w:left w:val="nil"/>
              <w:bottom w:val="single" w:sz="4" w:space="0" w:color="auto"/>
              <w:right w:val="single" w:sz="4" w:space="0" w:color="auto"/>
            </w:tcBorders>
            <w:vAlign w:val="center"/>
          </w:tcPr>
          <w:p w:rsidR="00D86A11" w:rsidRDefault="00D86A11">
            <w:pPr>
              <w:spacing w:after="0" w:line="240" w:lineRule="auto"/>
              <w:jc w:val="center"/>
              <w:rPr>
                <w:rFonts w:eastAsia="Times New Roman"/>
                <w:b/>
                <w:bCs/>
                <w:sz w:val="20"/>
              </w:rPr>
            </w:pPr>
            <w:r>
              <w:rPr>
                <w:rFonts w:eastAsia="Times New Roman"/>
                <w:b/>
                <w:bCs/>
                <w:sz w:val="20"/>
              </w:rPr>
              <w:t>Neither Agree or Disagree</w:t>
            </w:r>
          </w:p>
        </w:tc>
        <w:tc>
          <w:tcPr>
            <w:tcW w:w="990" w:type="dxa"/>
            <w:tcBorders>
              <w:top w:val="nil"/>
              <w:left w:val="nil"/>
              <w:bottom w:val="single" w:sz="4" w:space="0" w:color="auto"/>
              <w:right w:val="single" w:sz="4" w:space="0" w:color="auto"/>
            </w:tcBorders>
            <w:vAlign w:val="center"/>
          </w:tcPr>
          <w:p w:rsidR="00D86A11" w:rsidRDefault="00D86A11">
            <w:pPr>
              <w:spacing w:after="0" w:line="240" w:lineRule="auto"/>
              <w:jc w:val="center"/>
              <w:rPr>
                <w:rFonts w:eastAsia="Times New Roman"/>
                <w:b/>
                <w:bCs/>
                <w:sz w:val="20"/>
              </w:rPr>
            </w:pPr>
            <w:r>
              <w:rPr>
                <w:rFonts w:eastAsia="Times New Roman"/>
                <w:b/>
                <w:bCs/>
                <w:sz w:val="20"/>
              </w:rPr>
              <w:t>Disagree</w:t>
            </w:r>
          </w:p>
        </w:tc>
        <w:tc>
          <w:tcPr>
            <w:tcW w:w="1080" w:type="dxa"/>
            <w:tcBorders>
              <w:top w:val="nil"/>
              <w:left w:val="nil"/>
              <w:bottom w:val="single" w:sz="4" w:space="0" w:color="auto"/>
              <w:right w:val="single" w:sz="4" w:space="0" w:color="auto"/>
            </w:tcBorders>
            <w:vAlign w:val="center"/>
          </w:tcPr>
          <w:p w:rsidR="00D86A11" w:rsidRDefault="00D86A11">
            <w:pPr>
              <w:spacing w:after="0" w:line="240" w:lineRule="auto"/>
              <w:jc w:val="center"/>
              <w:rPr>
                <w:rFonts w:eastAsia="Times New Roman"/>
                <w:b/>
                <w:bCs/>
                <w:sz w:val="20"/>
              </w:rPr>
            </w:pPr>
            <w:r>
              <w:rPr>
                <w:rFonts w:eastAsia="Times New Roman"/>
                <w:b/>
                <w:bCs/>
                <w:sz w:val="20"/>
              </w:rPr>
              <w:t>No Response</w:t>
            </w:r>
          </w:p>
        </w:tc>
      </w:tr>
      <w:tr w:rsidR="00D86A11">
        <w:trPr>
          <w:trHeight w:val="645"/>
        </w:trPr>
        <w:tc>
          <w:tcPr>
            <w:tcW w:w="4658" w:type="dxa"/>
            <w:tcBorders>
              <w:top w:val="nil"/>
              <w:left w:val="single" w:sz="4" w:space="0" w:color="auto"/>
              <w:bottom w:val="single" w:sz="4" w:space="0" w:color="auto"/>
              <w:right w:val="single" w:sz="4" w:space="0" w:color="auto"/>
            </w:tcBorders>
            <w:vAlign w:val="center"/>
          </w:tcPr>
          <w:p w:rsidR="00D86A11" w:rsidRDefault="00D86A11">
            <w:pPr>
              <w:spacing w:after="0" w:line="240" w:lineRule="auto"/>
              <w:rPr>
                <w:rFonts w:eastAsia="Times New Roman"/>
                <w:b/>
                <w:bCs/>
                <w:szCs w:val="22"/>
              </w:rPr>
            </w:pPr>
            <w:r>
              <w:rPr>
                <w:rFonts w:eastAsia="Times New Roman"/>
                <w:szCs w:val="22"/>
              </w:rPr>
              <w:t xml:space="preserve">The services provided were easily </w:t>
            </w:r>
            <w:r>
              <w:rPr>
                <w:rFonts w:eastAsia="Times New Roman"/>
                <w:b/>
                <w:bCs/>
                <w:szCs w:val="22"/>
              </w:rPr>
              <w:t>accessible</w:t>
            </w:r>
            <w:r>
              <w:rPr>
                <w:rFonts w:eastAsia="Times New Roman"/>
                <w:szCs w:val="22"/>
              </w:rPr>
              <w:t xml:space="preserve">. </w:t>
            </w:r>
          </w:p>
        </w:tc>
        <w:tc>
          <w:tcPr>
            <w:tcW w:w="905"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883</w:t>
            </w:r>
          </w:p>
        </w:tc>
        <w:tc>
          <w:tcPr>
            <w:tcW w:w="76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278</w:t>
            </w:r>
          </w:p>
        </w:tc>
        <w:tc>
          <w:tcPr>
            <w:tcW w:w="1072"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11</w:t>
            </w:r>
          </w:p>
        </w:tc>
        <w:tc>
          <w:tcPr>
            <w:tcW w:w="99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w:t>
            </w:r>
          </w:p>
        </w:tc>
        <w:tc>
          <w:tcPr>
            <w:tcW w:w="108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3</w:t>
            </w:r>
          </w:p>
        </w:tc>
      </w:tr>
      <w:tr w:rsidR="00D86A11">
        <w:trPr>
          <w:trHeight w:val="645"/>
        </w:trPr>
        <w:tc>
          <w:tcPr>
            <w:tcW w:w="4658" w:type="dxa"/>
            <w:tcBorders>
              <w:top w:val="nil"/>
              <w:left w:val="single" w:sz="4" w:space="0" w:color="auto"/>
              <w:bottom w:val="single" w:sz="4" w:space="0" w:color="auto"/>
              <w:right w:val="single" w:sz="4" w:space="0" w:color="auto"/>
            </w:tcBorders>
            <w:vAlign w:val="center"/>
          </w:tcPr>
          <w:p w:rsidR="00D86A11" w:rsidRDefault="00D86A11">
            <w:pPr>
              <w:spacing w:after="0" w:line="240" w:lineRule="auto"/>
              <w:rPr>
                <w:rFonts w:eastAsia="Times New Roman"/>
                <w:b/>
                <w:bCs/>
                <w:szCs w:val="22"/>
              </w:rPr>
            </w:pPr>
            <w:r>
              <w:rPr>
                <w:rFonts w:eastAsia="Times New Roman"/>
                <w:szCs w:val="22"/>
              </w:rPr>
              <w:t xml:space="preserve">The services and/or referrals I received were </w:t>
            </w:r>
            <w:r>
              <w:rPr>
                <w:rFonts w:eastAsia="Times New Roman"/>
                <w:b/>
                <w:bCs/>
                <w:szCs w:val="22"/>
              </w:rPr>
              <w:t>useful or helpful</w:t>
            </w:r>
            <w:r>
              <w:rPr>
                <w:rFonts w:eastAsia="Times New Roman"/>
                <w:szCs w:val="22"/>
              </w:rPr>
              <w:t xml:space="preserve">. </w:t>
            </w:r>
          </w:p>
        </w:tc>
        <w:tc>
          <w:tcPr>
            <w:tcW w:w="905"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901</w:t>
            </w:r>
          </w:p>
        </w:tc>
        <w:tc>
          <w:tcPr>
            <w:tcW w:w="76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262</w:t>
            </w:r>
          </w:p>
        </w:tc>
        <w:tc>
          <w:tcPr>
            <w:tcW w:w="1072"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10</w:t>
            </w:r>
          </w:p>
        </w:tc>
        <w:tc>
          <w:tcPr>
            <w:tcW w:w="99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1</w:t>
            </w:r>
          </w:p>
        </w:tc>
        <w:tc>
          <w:tcPr>
            <w:tcW w:w="108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3</w:t>
            </w:r>
          </w:p>
        </w:tc>
      </w:tr>
      <w:tr w:rsidR="00D86A11">
        <w:trPr>
          <w:trHeight w:val="645"/>
        </w:trPr>
        <w:tc>
          <w:tcPr>
            <w:tcW w:w="4658" w:type="dxa"/>
            <w:tcBorders>
              <w:top w:val="nil"/>
              <w:left w:val="single" w:sz="4" w:space="0" w:color="auto"/>
              <w:bottom w:val="single" w:sz="4" w:space="0" w:color="auto"/>
              <w:right w:val="single" w:sz="4" w:space="0" w:color="auto"/>
            </w:tcBorders>
            <w:vAlign w:val="center"/>
          </w:tcPr>
          <w:p w:rsidR="00D86A11" w:rsidRDefault="00D86A11">
            <w:pPr>
              <w:spacing w:after="0" w:line="240" w:lineRule="auto"/>
              <w:rPr>
                <w:rFonts w:eastAsia="Times New Roman"/>
                <w:b/>
                <w:bCs/>
                <w:szCs w:val="22"/>
              </w:rPr>
            </w:pPr>
            <w:r>
              <w:rPr>
                <w:rFonts w:eastAsia="Times New Roman"/>
                <w:szCs w:val="22"/>
              </w:rPr>
              <w:t xml:space="preserve">The services provided met my </w:t>
            </w:r>
            <w:r>
              <w:rPr>
                <w:rFonts w:eastAsia="Times New Roman"/>
                <w:b/>
                <w:bCs/>
                <w:szCs w:val="22"/>
              </w:rPr>
              <w:t>needs</w:t>
            </w:r>
            <w:r>
              <w:rPr>
                <w:rFonts w:eastAsia="Times New Roman"/>
                <w:szCs w:val="22"/>
              </w:rPr>
              <w:t xml:space="preserve">. </w:t>
            </w:r>
          </w:p>
        </w:tc>
        <w:tc>
          <w:tcPr>
            <w:tcW w:w="905"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850</w:t>
            </w:r>
          </w:p>
        </w:tc>
        <w:tc>
          <w:tcPr>
            <w:tcW w:w="76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301</w:t>
            </w:r>
          </w:p>
        </w:tc>
        <w:tc>
          <w:tcPr>
            <w:tcW w:w="1072"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20</w:t>
            </w:r>
          </w:p>
        </w:tc>
        <w:tc>
          <w:tcPr>
            <w:tcW w:w="99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w:t>
            </w:r>
          </w:p>
        </w:tc>
        <w:tc>
          <w:tcPr>
            <w:tcW w:w="108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w:t>
            </w:r>
          </w:p>
        </w:tc>
      </w:tr>
      <w:tr w:rsidR="00D86A11">
        <w:trPr>
          <w:trHeight w:val="645"/>
        </w:trPr>
        <w:tc>
          <w:tcPr>
            <w:tcW w:w="4658" w:type="dxa"/>
            <w:tcBorders>
              <w:top w:val="nil"/>
              <w:left w:val="single" w:sz="4" w:space="0" w:color="auto"/>
              <w:bottom w:val="single" w:sz="4" w:space="0" w:color="auto"/>
              <w:right w:val="single" w:sz="4" w:space="0" w:color="auto"/>
            </w:tcBorders>
            <w:vAlign w:val="center"/>
          </w:tcPr>
          <w:p w:rsidR="00D86A11" w:rsidRDefault="00D86A11">
            <w:pPr>
              <w:spacing w:after="0" w:line="240" w:lineRule="auto"/>
              <w:rPr>
                <w:rFonts w:eastAsia="Times New Roman"/>
                <w:b/>
                <w:bCs/>
                <w:szCs w:val="22"/>
              </w:rPr>
            </w:pPr>
            <w:r>
              <w:rPr>
                <w:rFonts w:eastAsia="Times New Roman"/>
                <w:szCs w:val="22"/>
              </w:rPr>
              <w:t xml:space="preserve">Staff provided complete </w:t>
            </w:r>
            <w:r>
              <w:rPr>
                <w:rFonts w:eastAsia="Times New Roman"/>
                <w:b/>
                <w:bCs/>
                <w:szCs w:val="22"/>
              </w:rPr>
              <w:t xml:space="preserve">answers and information </w:t>
            </w:r>
            <w:r>
              <w:rPr>
                <w:rFonts w:eastAsia="Times New Roman"/>
                <w:szCs w:val="22"/>
              </w:rPr>
              <w:t xml:space="preserve">to meet my needs. </w:t>
            </w:r>
          </w:p>
        </w:tc>
        <w:tc>
          <w:tcPr>
            <w:tcW w:w="905"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899</w:t>
            </w:r>
          </w:p>
        </w:tc>
        <w:tc>
          <w:tcPr>
            <w:tcW w:w="76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284</w:t>
            </w:r>
          </w:p>
        </w:tc>
        <w:tc>
          <w:tcPr>
            <w:tcW w:w="1072"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14</w:t>
            </w:r>
          </w:p>
        </w:tc>
        <w:tc>
          <w:tcPr>
            <w:tcW w:w="99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6</w:t>
            </w:r>
          </w:p>
        </w:tc>
        <w:tc>
          <w:tcPr>
            <w:tcW w:w="108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0</w:t>
            </w:r>
          </w:p>
        </w:tc>
      </w:tr>
      <w:tr w:rsidR="00D86A11">
        <w:trPr>
          <w:trHeight w:val="645"/>
        </w:trPr>
        <w:tc>
          <w:tcPr>
            <w:tcW w:w="4658" w:type="dxa"/>
            <w:tcBorders>
              <w:top w:val="nil"/>
              <w:left w:val="single" w:sz="4" w:space="0" w:color="auto"/>
              <w:bottom w:val="single" w:sz="4" w:space="0" w:color="auto"/>
              <w:right w:val="single" w:sz="4" w:space="0" w:color="auto"/>
            </w:tcBorders>
            <w:vAlign w:val="center"/>
          </w:tcPr>
          <w:p w:rsidR="00D86A11" w:rsidRDefault="00D86A11">
            <w:pPr>
              <w:spacing w:after="0" w:line="240" w:lineRule="auto"/>
              <w:rPr>
                <w:rFonts w:eastAsia="Times New Roman"/>
                <w:b/>
                <w:bCs/>
                <w:szCs w:val="22"/>
              </w:rPr>
            </w:pPr>
            <w:r>
              <w:rPr>
                <w:rFonts w:eastAsia="Times New Roman"/>
                <w:szCs w:val="22"/>
              </w:rPr>
              <w:t xml:space="preserve">If a friend were in need of similar services, I would </w:t>
            </w:r>
            <w:r>
              <w:rPr>
                <w:rFonts w:eastAsia="Times New Roman"/>
                <w:b/>
                <w:bCs/>
                <w:szCs w:val="22"/>
              </w:rPr>
              <w:t xml:space="preserve">recommend </w:t>
            </w:r>
            <w:r>
              <w:rPr>
                <w:rFonts w:eastAsia="Times New Roman"/>
                <w:szCs w:val="22"/>
              </w:rPr>
              <w:t>this program</w:t>
            </w:r>
          </w:p>
        </w:tc>
        <w:tc>
          <w:tcPr>
            <w:tcW w:w="905"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937</w:t>
            </w:r>
          </w:p>
        </w:tc>
        <w:tc>
          <w:tcPr>
            <w:tcW w:w="76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216</w:t>
            </w:r>
          </w:p>
        </w:tc>
        <w:tc>
          <w:tcPr>
            <w:tcW w:w="1072"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17</w:t>
            </w:r>
          </w:p>
        </w:tc>
        <w:tc>
          <w:tcPr>
            <w:tcW w:w="99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w:t>
            </w:r>
          </w:p>
        </w:tc>
        <w:tc>
          <w:tcPr>
            <w:tcW w:w="108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3</w:t>
            </w:r>
          </w:p>
        </w:tc>
      </w:tr>
      <w:tr w:rsidR="00D86A11">
        <w:trPr>
          <w:trHeight w:val="645"/>
        </w:trPr>
        <w:tc>
          <w:tcPr>
            <w:tcW w:w="4658" w:type="dxa"/>
            <w:tcBorders>
              <w:top w:val="nil"/>
              <w:left w:val="single" w:sz="4" w:space="0" w:color="auto"/>
              <w:bottom w:val="single" w:sz="4" w:space="0" w:color="auto"/>
              <w:right w:val="single" w:sz="4" w:space="0" w:color="auto"/>
            </w:tcBorders>
            <w:vAlign w:val="center"/>
          </w:tcPr>
          <w:p w:rsidR="00D86A11" w:rsidRDefault="00D86A11">
            <w:pPr>
              <w:spacing w:after="0" w:line="240" w:lineRule="auto"/>
              <w:rPr>
                <w:rFonts w:eastAsia="Times New Roman"/>
                <w:b/>
                <w:bCs/>
                <w:szCs w:val="22"/>
              </w:rPr>
            </w:pPr>
            <w:r>
              <w:rPr>
                <w:rFonts w:eastAsia="Times New Roman"/>
                <w:szCs w:val="22"/>
              </w:rPr>
              <w:t xml:space="preserve">The </w:t>
            </w:r>
            <w:r>
              <w:rPr>
                <w:rFonts w:eastAsia="Times New Roman"/>
                <w:b/>
                <w:bCs/>
                <w:szCs w:val="22"/>
              </w:rPr>
              <w:t>hours when services were provided</w:t>
            </w:r>
            <w:r>
              <w:rPr>
                <w:rFonts w:eastAsia="Times New Roman"/>
                <w:szCs w:val="22"/>
              </w:rPr>
              <w:t xml:space="preserve"> were convenient for my family. </w:t>
            </w:r>
          </w:p>
        </w:tc>
        <w:tc>
          <w:tcPr>
            <w:tcW w:w="905"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901</w:t>
            </w:r>
          </w:p>
        </w:tc>
        <w:tc>
          <w:tcPr>
            <w:tcW w:w="76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251</w:t>
            </w:r>
          </w:p>
        </w:tc>
        <w:tc>
          <w:tcPr>
            <w:tcW w:w="1072"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20</w:t>
            </w:r>
          </w:p>
        </w:tc>
        <w:tc>
          <w:tcPr>
            <w:tcW w:w="99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w:t>
            </w:r>
          </w:p>
        </w:tc>
        <w:tc>
          <w:tcPr>
            <w:tcW w:w="108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1</w:t>
            </w:r>
          </w:p>
        </w:tc>
      </w:tr>
      <w:tr w:rsidR="00D86A11">
        <w:trPr>
          <w:trHeight w:val="645"/>
        </w:trPr>
        <w:tc>
          <w:tcPr>
            <w:tcW w:w="4658" w:type="dxa"/>
            <w:tcBorders>
              <w:top w:val="nil"/>
              <w:left w:val="single" w:sz="4" w:space="0" w:color="auto"/>
              <w:bottom w:val="single" w:sz="4" w:space="0" w:color="auto"/>
              <w:right w:val="single" w:sz="4" w:space="0" w:color="auto"/>
            </w:tcBorders>
            <w:vAlign w:val="center"/>
          </w:tcPr>
          <w:p w:rsidR="00D86A11" w:rsidRDefault="00D86A11">
            <w:pPr>
              <w:spacing w:after="0" w:line="240" w:lineRule="auto"/>
              <w:rPr>
                <w:rFonts w:eastAsia="Times New Roman"/>
                <w:b/>
                <w:bCs/>
                <w:szCs w:val="22"/>
              </w:rPr>
            </w:pPr>
            <w:r>
              <w:rPr>
                <w:rFonts w:eastAsia="Times New Roman"/>
                <w:szCs w:val="22"/>
              </w:rPr>
              <w:t xml:space="preserve">The </w:t>
            </w:r>
            <w:r>
              <w:rPr>
                <w:rFonts w:eastAsia="Times New Roman"/>
                <w:b/>
                <w:bCs/>
                <w:szCs w:val="22"/>
              </w:rPr>
              <w:t>location(s)</w:t>
            </w:r>
            <w:r>
              <w:rPr>
                <w:rFonts w:eastAsia="Times New Roman"/>
                <w:szCs w:val="22"/>
              </w:rPr>
              <w:t xml:space="preserve"> of where services were provided were convenient for my family. </w:t>
            </w:r>
          </w:p>
        </w:tc>
        <w:tc>
          <w:tcPr>
            <w:tcW w:w="905"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904</w:t>
            </w:r>
          </w:p>
        </w:tc>
        <w:tc>
          <w:tcPr>
            <w:tcW w:w="76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247</w:t>
            </w:r>
          </w:p>
        </w:tc>
        <w:tc>
          <w:tcPr>
            <w:tcW w:w="1072"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20</w:t>
            </w:r>
          </w:p>
        </w:tc>
        <w:tc>
          <w:tcPr>
            <w:tcW w:w="99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0</w:t>
            </w:r>
          </w:p>
        </w:tc>
        <w:tc>
          <w:tcPr>
            <w:tcW w:w="108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3</w:t>
            </w:r>
          </w:p>
        </w:tc>
      </w:tr>
      <w:tr w:rsidR="00D86A11">
        <w:trPr>
          <w:trHeight w:val="645"/>
        </w:trPr>
        <w:tc>
          <w:tcPr>
            <w:tcW w:w="4658" w:type="dxa"/>
            <w:tcBorders>
              <w:top w:val="nil"/>
              <w:left w:val="single" w:sz="4" w:space="0" w:color="auto"/>
              <w:bottom w:val="single" w:sz="4" w:space="0" w:color="auto"/>
              <w:right w:val="single" w:sz="4" w:space="0" w:color="auto"/>
            </w:tcBorders>
            <w:vAlign w:val="center"/>
          </w:tcPr>
          <w:p w:rsidR="00D86A11" w:rsidRDefault="00D86A11">
            <w:pPr>
              <w:spacing w:after="0" w:line="240" w:lineRule="auto"/>
              <w:rPr>
                <w:rFonts w:eastAsia="Times New Roman"/>
                <w:b/>
                <w:bCs/>
                <w:szCs w:val="22"/>
              </w:rPr>
            </w:pPr>
            <w:r>
              <w:rPr>
                <w:rFonts w:eastAsia="Times New Roman"/>
                <w:szCs w:val="22"/>
              </w:rPr>
              <w:t xml:space="preserve">Staff was sensitive to my family’s </w:t>
            </w:r>
            <w:r>
              <w:rPr>
                <w:rFonts w:eastAsia="Times New Roman"/>
                <w:b/>
                <w:bCs/>
                <w:szCs w:val="22"/>
              </w:rPr>
              <w:t xml:space="preserve">cultural </w:t>
            </w:r>
            <w:r>
              <w:rPr>
                <w:rFonts w:eastAsia="Times New Roman"/>
                <w:szCs w:val="22"/>
              </w:rPr>
              <w:t xml:space="preserve">needs and values. </w:t>
            </w:r>
          </w:p>
        </w:tc>
        <w:tc>
          <w:tcPr>
            <w:tcW w:w="905"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905</w:t>
            </w:r>
          </w:p>
        </w:tc>
        <w:tc>
          <w:tcPr>
            <w:tcW w:w="76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236</w:t>
            </w:r>
          </w:p>
        </w:tc>
        <w:tc>
          <w:tcPr>
            <w:tcW w:w="1072"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25</w:t>
            </w:r>
          </w:p>
        </w:tc>
        <w:tc>
          <w:tcPr>
            <w:tcW w:w="99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5</w:t>
            </w:r>
          </w:p>
        </w:tc>
        <w:tc>
          <w:tcPr>
            <w:tcW w:w="108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3</w:t>
            </w:r>
          </w:p>
        </w:tc>
      </w:tr>
      <w:tr w:rsidR="00D86A11">
        <w:trPr>
          <w:trHeight w:val="645"/>
        </w:trPr>
        <w:tc>
          <w:tcPr>
            <w:tcW w:w="4658" w:type="dxa"/>
            <w:tcBorders>
              <w:top w:val="nil"/>
              <w:left w:val="single" w:sz="4" w:space="0" w:color="auto"/>
              <w:bottom w:val="single" w:sz="4" w:space="0" w:color="auto"/>
              <w:right w:val="single" w:sz="4" w:space="0" w:color="auto"/>
            </w:tcBorders>
            <w:vAlign w:val="center"/>
          </w:tcPr>
          <w:p w:rsidR="00D86A11" w:rsidRDefault="00D86A11">
            <w:pPr>
              <w:spacing w:after="0" w:line="240" w:lineRule="auto"/>
              <w:rPr>
                <w:rFonts w:eastAsia="Times New Roman"/>
                <w:b/>
                <w:bCs/>
                <w:szCs w:val="22"/>
              </w:rPr>
            </w:pPr>
            <w:r>
              <w:rPr>
                <w:rFonts w:eastAsia="Times New Roman"/>
                <w:szCs w:val="22"/>
              </w:rPr>
              <w:t xml:space="preserve">Materials were available in my primary </w:t>
            </w:r>
            <w:r>
              <w:rPr>
                <w:rFonts w:eastAsia="Times New Roman"/>
                <w:b/>
                <w:bCs/>
                <w:szCs w:val="22"/>
              </w:rPr>
              <w:t>language</w:t>
            </w:r>
            <w:r>
              <w:rPr>
                <w:rFonts w:eastAsia="Times New Roman"/>
                <w:szCs w:val="22"/>
              </w:rPr>
              <w:t xml:space="preserve">. </w:t>
            </w:r>
          </w:p>
        </w:tc>
        <w:tc>
          <w:tcPr>
            <w:tcW w:w="905"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943</w:t>
            </w:r>
          </w:p>
        </w:tc>
        <w:tc>
          <w:tcPr>
            <w:tcW w:w="76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215</w:t>
            </w:r>
          </w:p>
        </w:tc>
        <w:tc>
          <w:tcPr>
            <w:tcW w:w="1072"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8</w:t>
            </w:r>
          </w:p>
        </w:tc>
        <w:tc>
          <w:tcPr>
            <w:tcW w:w="99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6</w:t>
            </w:r>
          </w:p>
        </w:tc>
        <w:tc>
          <w:tcPr>
            <w:tcW w:w="108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3</w:t>
            </w:r>
          </w:p>
        </w:tc>
      </w:tr>
      <w:tr w:rsidR="00D86A11">
        <w:trPr>
          <w:trHeight w:val="645"/>
        </w:trPr>
        <w:tc>
          <w:tcPr>
            <w:tcW w:w="4658" w:type="dxa"/>
            <w:tcBorders>
              <w:top w:val="nil"/>
              <w:left w:val="single" w:sz="4" w:space="0" w:color="auto"/>
              <w:bottom w:val="single" w:sz="4" w:space="0" w:color="auto"/>
              <w:right w:val="single" w:sz="4" w:space="0" w:color="auto"/>
            </w:tcBorders>
            <w:vAlign w:val="center"/>
          </w:tcPr>
          <w:p w:rsidR="00D86A11" w:rsidRDefault="00D86A11">
            <w:pPr>
              <w:spacing w:after="0" w:line="240" w:lineRule="auto"/>
              <w:rPr>
                <w:rFonts w:eastAsia="Times New Roman"/>
                <w:b/>
                <w:bCs/>
                <w:szCs w:val="22"/>
              </w:rPr>
            </w:pPr>
            <w:r>
              <w:rPr>
                <w:rFonts w:eastAsia="Times New Roman"/>
                <w:szCs w:val="22"/>
              </w:rPr>
              <w:t xml:space="preserve">The services I received helped me </w:t>
            </w:r>
            <w:r>
              <w:rPr>
                <w:rFonts w:eastAsia="Times New Roman"/>
                <w:b/>
                <w:bCs/>
                <w:szCs w:val="22"/>
              </w:rPr>
              <w:t>reduce my level of stress</w:t>
            </w:r>
            <w:r>
              <w:rPr>
                <w:rFonts w:eastAsia="Times New Roman"/>
                <w:szCs w:val="22"/>
              </w:rPr>
              <w:t>.</w:t>
            </w:r>
          </w:p>
        </w:tc>
        <w:tc>
          <w:tcPr>
            <w:tcW w:w="905"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834</w:t>
            </w:r>
          </w:p>
        </w:tc>
        <w:tc>
          <w:tcPr>
            <w:tcW w:w="76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301</w:t>
            </w:r>
          </w:p>
        </w:tc>
        <w:tc>
          <w:tcPr>
            <w:tcW w:w="1072"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34</w:t>
            </w:r>
          </w:p>
        </w:tc>
        <w:tc>
          <w:tcPr>
            <w:tcW w:w="99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5</w:t>
            </w:r>
          </w:p>
        </w:tc>
        <w:tc>
          <w:tcPr>
            <w:tcW w:w="108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2</w:t>
            </w:r>
          </w:p>
        </w:tc>
      </w:tr>
      <w:tr w:rsidR="00D86A11">
        <w:trPr>
          <w:trHeight w:val="645"/>
        </w:trPr>
        <w:tc>
          <w:tcPr>
            <w:tcW w:w="4658" w:type="dxa"/>
            <w:tcBorders>
              <w:top w:val="nil"/>
              <w:left w:val="single" w:sz="4" w:space="0" w:color="auto"/>
              <w:bottom w:val="single" w:sz="4" w:space="0" w:color="auto"/>
              <w:right w:val="single" w:sz="4" w:space="0" w:color="auto"/>
            </w:tcBorders>
            <w:vAlign w:val="center"/>
          </w:tcPr>
          <w:p w:rsidR="00D86A11" w:rsidRDefault="00D86A11">
            <w:pPr>
              <w:spacing w:after="0" w:line="240" w:lineRule="auto"/>
              <w:rPr>
                <w:rFonts w:eastAsia="Times New Roman"/>
                <w:b/>
                <w:bCs/>
                <w:szCs w:val="22"/>
              </w:rPr>
            </w:pPr>
            <w:r>
              <w:rPr>
                <w:rFonts w:eastAsia="Times New Roman"/>
                <w:szCs w:val="22"/>
              </w:rPr>
              <w:t xml:space="preserve">Overall I was </w:t>
            </w:r>
            <w:r>
              <w:rPr>
                <w:rFonts w:eastAsia="Times New Roman"/>
                <w:b/>
                <w:bCs/>
                <w:szCs w:val="22"/>
              </w:rPr>
              <w:t>satisfied</w:t>
            </w:r>
            <w:r>
              <w:rPr>
                <w:rFonts w:eastAsia="Times New Roman"/>
                <w:szCs w:val="22"/>
              </w:rPr>
              <w:t xml:space="preserve"> with the services I received. </w:t>
            </w:r>
          </w:p>
        </w:tc>
        <w:tc>
          <w:tcPr>
            <w:tcW w:w="905"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969</w:t>
            </w:r>
          </w:p>
        </w:tc>
        <w:tc>
          <w:tcPr>
            <w:tcW w:w="76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198</w:t>
            </w:r>
          </w:p>
        </w:tc>
        <w:tc>
          <w:tcPr>
            <w:tcW w:w="1072"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4</w:t>
            </w:r>
          </w:p>
        </w:tc>
        <w:tc>
          <w:tcPr>
            <w:tcW w:w="99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1</w:t>
            </w:r>
          </w:p>
        </w:tc>
        <w:tc>
          <w:tcPr>
            <w:tcW w:w="1080" w:type="dxa"/>
            <w:tcBorders>
              <w:top w:val="nil"/>
              <w:left w:val="nil"/>
              <w:bottom w:val="single" w:sz="4" w:space="0" w:color="auto"/>
              <w:right w:val="single" w:sz="4" w:space="0" w:color="auto"/>
            </w:tcBorders>
            <w:noWrap/>
            <w:vAlign w:val="center"/>
          </w:tcPr>
          <w:p w:rsidR="00D86A11" w:rsidRDefault="00D86A11">
            <w:pPr>
              <w:spacing w:after="0" w:line="240" w:lineRule="auto"/>
              <w:jc w:val="center"/>
              <w:rPr>
                <w:rFonts w:eastAsia="Times New Roman"/>
                <w:szCs w:val="22"/>
              </w:rPr>
            </w:pPr>
            <w:r>
              <w:rPr>
                <w:rFonts w:eastAsia="Times New Roman"/>
                <w:szCs w:val="22"/>
              </w:rPr>
              <w:t>3</w:t>
            </w:r>
          </w:p>
        </w:tc>
      </w:tr>
      <w:tr w:rsidR="00D86A11">
        <w:trPr>
          <w:trHeight w:val="288"/>
        </w:trPr>
        <w:tc>
          <w:tcPr>
            <w:tcW w:w="4658" w:type="dxa"/>
            <w:tcBorders>
              <w:top w:val="nil"/>
              <w:left w:val="single" w:sz="4" w:space="0" w:color="auto"/>
              <w:bottom w:val="nil"/>
              <w:right w:val="nil"/>
            </w:tcBorders>
            <w:vAlign w:val="center"/>
          </w:tcPr>
          <w:p w:rsidR="00D86A11" w:rsidRDefault="00D86A11">
            <w:pPr>
              <w:spacing w:after="0" w:line="240" w:lineRule="auto"/>
              <w:rPr>
                <w:rFonts w:eastAsia="Times New Roman"/>
                <w:b/>
                <w:bCs/>
                <w:szCs w:val="22"/>
              </w:rPr>
            </w:pPr>
            <w:r>
              <w:rPr>
                <w:rFonts w:eastAsia="Times New Roman"/>
                <w:b/>
                <w:bCs/>
                <w:szCs w:val="22"/>
              </w:rPr>
              <w:t>How can we improve the services provided?</w:t>
            </w:r>
          </w:p>
        </w:tc>
        <w:tc>
          <w:tcPr>
            <w:tcW w:w="905" w:type="dxa"/>
            <w:noWrap/>
            <w:vAlign w:val="bottom"/>
          </w:tcPr>
          <w:p w:rsidR="00D86A11" w:rsidRDefault="00D86A11">
            <w:pPr>
              <w:spacing w:after="0" w:line="240" w:lineRule="auto"/>
              <w:rPr>
                <w:rFonts w:eastAsia="Times New Roman"/>
                <w:szCs w:val="22"/>
              </w:rPr>
            </w:pPr>
            <w:r>
              <w:rPr>
                <w:rFonts w:eastAsia="Times New Roman"/>
                <w:szCs w:val="22"/>
              </w:rPr>
              <w:t> </w:t>
            </w:r>
          </w:p>
        </w:tc>
        <w:tc>
          <w:tcPr>
            <w:tcW w:w="760" w:type="dxa"/>
            <w:noWrap/>
            <w:vAlign w:val="bottom"/>
          </w:tcPr>
          <w:p w:rsidR="00D86A11" w:rsidRDefault="00D86A11">
            <w:pPr>
              <w:spacing w:after="0" w:line="240" w:lineRule="auto"/>
              <w:rPr>
                <w:rFonts w:eastAsia="Times New Roman"/>
                <w:szCs w:val="22"/>
              </w:rPr>
            </w:pPr>
            <w:r>
              <w:rPr>
                <w:rFonts w:eastAsia="Times New Roman"/>
                <w:szCs w:val="22"/>
              </w:rPr>
              <w:t> </w:t>
            </w:r>
          </w:p>
        </w:tc>
        <w:tc>
          <w:tcPr>
            <w:tcW w:w="1072" w:type="dxa"/>
            <w:noWrap/>
            <w:vAlign w:val="bottom"/>
          </w:tcPr>
          <w:p w:rsidR="00D86A11" w:rsidRDefault="00D86A11">
            <w:pPr>
              <w:spacing w:after="0" w:line="240" w:lineRule="auto"/>
              <w:rPr>
                <w:rFonts w:eastAsia="Times New Roman"/>
                <w:szCs w:val="22"/>
              </w:rPr>
            </w:pPr>
            <w:r>
              <w:rPr>
                <w:rFonts w:eastAsia="Times New Roman"/>
                <w:szCs w:val="22"/>
              </w:rPr>
              <w:t> </w:t>
            </w:r>
          </w:p>
        </w:tc>
        <w:tc>
          <w:tcPr>
            <w:tcW w:w="990" w:type="dxa"/>
            <w:noWrap/>
            <w:vAlign w:val="bottom"/>
          </w:tcPr>
          <w:p w:rsidR="00D86A11" w:rsidRDefault="00D86A11">
            <w:pPr>
              <w:spacing w:after="0" w:line="240" w:lineRule="auto"/>
              <w:rPr>
                <w:rFonts w:eastAsia="Times New Roman"/>
                <w:szCs w:val="22"/>
              </w:rPr>
            </w:pPr>
            <w:r>
              <w:rPr>
                <w:rFonts w:eastAsia="Times New Roman"/>
                <w:szCs w:val="22"/>
              </w:rPr>
              <w:t> </w:t>
            </w:r>
          </w:p>
        </w:tc>
        <w:tc>
          <w:tcPr>
            <w:tcW w:w="1080" w:type="dxa"/>
            <w:tcBorders>
              <w:top w:val="nil"/>
              <w:left w:val="nil"/>
              <w:bottom w:val="nil"/>
              <w:right w:val="single" w:sz="4" w:space="0" w:color="auto"/>
            </w:tcBorders>
            <w:noWrap/>
            <w:vAlign w:val="bottom"/>
          </w:tcPr>
          <w:p w:rsidR="00D86A11" w:rsidRDefault="00D86A11">
            <w:pPr>
              <w:spacing w:after="0" w:line="240" w:lineRule="auto"/>
              <w:rPr>
                <w:rFonts w:eastAsia="Times New Roman"/>
                <w:szCs w:val="22"/>
              </w:rPr>
            </w:pPr>
            <w:r>
              <w:rPr>
                <w:rFonts w:eastAsia="Times New Roman"/>
                <w:szCs w:val="22"/>
              </w:rPr>
              <w:t> </w:t>
            </w:r>
          </w:p>
        </w:tc>
      </w:tr>
      <w:tr w:rsidR="00D86A11">
        <w:trPr>
          <w:trHeight w:val="300"/>
        </w:trPr>
        <w:tc>
          <w:tcPr>
            <w:tcW w:w="9465" w:type="dxa"/>
            <w:gridSpan w:val="6"/>
            <w:vMerge w:val="restart"/>
            <w:tcBorders>
              <w:top w:val="nil"/>
              <w:left w:val="single" w:sz="4" w:space="0" w:color="auto"/>
              <w:bottom w:val="single" w:sz="4" w:space="0" w:color="000000"/>
              <w:right w:val="single" w:sz="4" w:space="0" w:color="000000"/>
            </w:tcBorders>
          </w:tcPr>
          <w:p w:rsidR="00D86A11" w:rsidRDefault="00D86A11">
            <w:pPr>
              <w:spacing w:after="0" w:line="240" w:lineRule="auto"/>
              <w:rPr>
                <w:rFonts w:eastAsia="Times New Roman"/>
                <w:color w:val="366092"/>
                <w:sz w:val="20"/>
              </w:rPr>
            </w:pPr>
            <w:r>
              <w:rPr>
                <w:rFonts w:eastAsia="Times New Roman"/>
                <w:i/>
                <w:iCs/>
                <w:color w:val="366092"/>
                <w:sz w:val="20"/>
              </w:rPr>
              <w:t>More time w/FSP's would be great;  Provide a family outing opportunity on a monthly basis so we can find support in each other; More parenting classes w/ more parenting instructors; More breaks in between curriculums; Extending class from one and one-half hrs. to a little longer; Better communication between staff and CPS workers; Offer books on tape /cd to listen to in the car; Include Dad's material; Provide Chaldean interpreter; Adding more info on older children; Client's should have their own book; More concrete examples on age appropriate activities; Books &amp; materials in Spanish; More and longer classes; Saturday classes; Updated book and materials; Webpage for more materials outside of class; More info on Therapy locations; More emphasis on child development and behaviors.</w:t>
            </w:r>
            <w:r>
              <w:rPr>
                <w:rFonts w:eastAsia="Times New Roman"/>
                <w:color w:val="366092"/>
                <w:sz w:val="20"/>
              </w:rPr>
              <w:t xml:space="preserve"> </w:t>
            </w:r>
          </w:p>
        </w:tc>
      </w:tr>
      <w:tr w:rsidR="00D86A11">
        <w:trPr>
          <w:trHeight w:val="300"/>
        </w:trPr>
        <w:tc>
          <w:tcPr>
            <w:tcW w:w="14272" w:type="dxa"/>
            <w:gridSpan w:val="6"/>
            <w:vMerge/>
            <w:tcBorders>
              <w:top w:val="nil"/>
              <w:left w:val="single" w:sz="4" w:space="0" w:color="auto"/>
              <w:bottom w:val="single" w:sz="4" w:space="0" w:color="000000"/>
              <w:right w:val="single" w:sz="4" w:space="0" w:color="000000"/>
            </w:tcBorders>
            <w:vAlign w:val="center"/>
          </w:tcPr>
          <w:p w:rsidR="00D86A11" w:rsidRDefault="00D86A11">
            <w:pPr>
              <w:spacing w:after="0" w:line="240" w:lineRule="auto"/>
              <w:rPr>
                <w:rFonts w:eastAsia="Times New Roman"/>
                <w:color w:val="366092"/>
                <w:sz w:val="20"/>
              </w:rPr>
            </w:pPr>
          </w:p>
        </w:tc>
      </w:tr>
      <w:tr w:rsidR="00D86A11">
        <w:trPr>
          <w:trHeight w:val="1358"/>
        </w:trPr>
        <w:tc>
          <w:tcPr>
            <w:tcW w:w="14272" w:type="dxa"/>
            <w:gridSpan w:val="6"/>
            <w:vMerge/>
            <w:tcBorders>
              <w:top w:val="nil"/>
              <w:left w:val="single" w:sz="4" w:space="0" w:color="auto"/>
              <w:bottom w:val="single" w:sz="4" w:space="0" w:color="000000"/>
              <w:right w:val="single" w:sz="4" w:space="0" w:color="000000"/>
            </w:tcBorders>
            <w:vAlign w:val="center"/>
          </w:tcPr>
          <w:p w:rsidR="00D86A11" w:rsidRDefault="00D86A11">
            <w:pPr>
              <w:spacing w:after="0" w:line="240" w:lineRule="auto"/>
              <w:rPr>
                <w:rFonts w:eastAsia="Times New Roman"/>
                <w:color w:val="366092"/>
                <w:sz w:val="20"/>
              </w:rPr>
            </w:pPr>
          </w:p>
        </w:tc>
      </w:tr>
    </w:tbl>
    <w:p w:rsidR="00D86A11" w:rsidRDefault="00D86A11" w:rsidP="00D86A11">
      <w:pPr>
        <w:pStyle w:val="Heading2"/>
        <w:rPr>
          <w:rFonts w:ascii="Perpetua" w:hAnsi="Perpetua"/>
          <w:color w:val="013161"/>
        </w:rPr>
      </w:pPr>
    </w:p>
    <w:p w:rsidR="00D86A11" w:rsidRDefault="00D86A11" w:rsidP="00D86A11">
      <w:pPr>
        <w:pStyle w:val="Heading2"/>
        <w:rPr>
          <w:rFonts w:ascii="Perpetua" w:hAnsi="Perpetua"/>
          <w:color w:val="013161"/>
        </w:rPr>
      </w:pPr>
    </w:p>
    <w:p w:rsidR="00D86A11" w:rsidRDefault="00D86A11" w:rsidP="00D86A11">
      <w:pPr>
        <w:pStyle w:val="Heading2"/>
        <w:rPr>
          <w:rFonts w:ascii="Perpetua" w:hAnsi="Perpetua"/>
          <w:color w:val="013161"/>
        </w:rPr>
      </w:pPr>
    </w:p>
    <w:p w:rsidR="00D86A11" w:rsidRDefault="00D86A11" w:rsidP="00D86A11">
      <w:pPr>
        <w:pStyle w:val="Heading2"/>
        <w:rPr>
          <w:rFonts w:ascii="Perpetua" w:hAnsi="Perpetua"/>
          <w:color w:val="013161"/>
          <w:sz w:val="28"/>
          <w:szCs w:val="32"/>
        </w:rPr>
      </w:pPr>
      <w:r>
        <w:rPr>
          <w:b w:val="0"/>
          <w:color w:val="013161"/>
          <w:sz w:val="28"/>
          <w:szCs w:val="32"/>
        </w:rPr>
        <w:br w:type="page"/>
      </w:r>
      <w:r>
        <w:rPr>
          <w:rFonts w:ascii="Perpetua" w:hAnsi="Perpetua"/>
          <w:color w:val="013161"/>
          <w:sz w:val="28"/>
          <w:szCs w:val="32"/>
        </w:rPr>
        <w:lastRenderedPageBreak/>
        <w:t>Appendix H: Literature Review on Reentry and Permanency</w:t>
      </w:r>
    </w:p>
    <w:p w:rsidR="00D86A11" w:rsidRDefault="00D86A11" w:rsidP="00D86A11"/>
    <w:p w:rsidR="00D86A11" w:rsidRDefault="00D86A11" w:rsidP="00D86A11">
      <w:pPr>
        <w:pStyle w:val="Title"/>
        <w:rPr>
          <w:rFonts w:ascii="Perpetua" w:hAnsi="Perpetua"/>
          <w:b w:val="0"/>
          <w:sz w:val="52"/>
          <w:szCs w:val="52"/>
        </w:rPr>
      </w:pPr>
      <w:r>
        <w:rPr>
          <w:rFonts w:ascii="Perpetua" w:hAnsi="Perpetua"/>
          <w:sz w:val="52"/>
          <w:szCs w:val="52"/>
        </w:rPr>
        <w:t xml:space="preserve">Literature Review: </w:t>
      </w:r>
    </w:p>
    <w:p w:rsidR="00D86A11" w:rsidRDefault="00D86A11" w:rsidP="00D86A11">
      <w:pPr>
        <w:pStyle w:val="Title"/>
        <w:rPr>
          <w:rFonts w:ascii="Perpetua" w:hAnsi="Perpetua"/>
          <w:b w:val="0"/>
          <w:sz w:val="52"/>
          <w:szCs w:val="52"/>
        </w:rPr>
      </w:pPr>
      <w:r>
        <w:rPr>
          <w:rFonts w:ascii="Perpetua" w:hAnsi="Perpetua"/>
          <w:sz w:val="52"/>
          <w:szCs w:val="52"/>
        </w:rPr>
        <w:t xml:space="preserve">Preventing Re-Entry of Children into </w:t>
      </w:r>
    </w:p>
    <w:p w:rsidR="00D86A11" w:rsidRDefault="00D86A11" w:rsidP="00D86A11">
      <w:pPr>
        <w:pStyle w:val="Title"/>
        <w:rPr>
          <w:rFonts w:ascii="Perpetua" w:hAnsi="Perpetua"/>
          <w:b w:val="0"/>
          <w:sz w:val="52"/>
          <w:szCs w:val="52"/>
        </w:rPr>
      </w:pPr>
      <w:r>
        <w:rPr>
          <w:rFonts w:ascii="Perpetua" w:hAnsi="Perpetua"/>
          <w:sz w:val="52"/>
          <w:szCs w:val="52"/>
        </w:rPr>
        <w:t>the Child Welfare System</w:t>
      </w:r>
    </w:p>
    <w:p w:rsidR="00D86A11" w:rsidRDefault="00D86A11" w:rsidP="00D86A11">
      <w:pPr>
        <w:pStyle w:val="Heading2"/>
        <w:rPr>
          <w:rFonts w:ascii="Perpetua" w:hAnsi="Perpetua"/>
          <w:b w:val="0"/>
        </w:rPr>
      </w:pPr>
      <w:r>
        <w:rPr>
          <w:rFonts w:ascii="Perpetua" w:hAnsi="Perpetua"/>
        </w:rPr>
        <w:t>Purpose of this Review</w:t>
      </w:r>
    </w:p>
    <w:p w:rsidR="00D86A11" w:rsidRDefault="00D86A11" w:rsidP="00D86A11">
      <w:r>
        <w:t xml:space="preserve">Every five years, the County of San Diego is required to conduct a County Self-Assessment (CSA) as part of the California Child and Family Services Review process (C-CFSR). To enrich and support the CSA analysis, counties are required to review and discuss existing research literature in the CSA report. Several helpful literature reviews are available on the CDSS Outcomes and Accountability website, but they were all conducted at least seven years ago. The purpose of this review is to summarize the findings of the previous literature reviews on re-entry and incorporate findings from more recent research. </w:t>
      </w:r>
    </w:p>
    <w:p w:rsidR="00D86A11" w:rsidRDefault="00D86A11" w:rsidP="00D86A11">
      <w:pPr>
        <w:pStyle w:val="Heading2"/>
        <w:rPr>
          <w:rFonts w:ascii="Perpetua" w:hAnsi="Perpetua"/>
          <w:b w:val="0"/>
        </w:rPr>
      </w:pPr>
      <w:r>
        <w:rPr>
          <w:rFonts w:ascii="Perpetua" w:hAnsi="Perpetua"/>
        </w:rPr>
        <w:t>Findings</w:t>
      </w:r>
    </w:p>
    <w:p w:rsidR="00D86A11" w:rsidRDefault="00D86A11" w:rsidP="00D86A11">
      <w:r>
        <w:t xml:space="preserve">In 2015, new and revised federal CFSR outcome measures were implemented. The new re-entry measure (P4) is one of five permanency measures and is defined as follows: </w:t>
      </w:r>
      <w:r>
        <w:rPr>
          <w:i/>
        </w:rPr>
        <w:t xml:space="preserve">Of all children who enter foster care in a 12-month period and are discharged within 12 months to reunification or guardianship, what percent re-entered foster care within 12 months of their date of discharge? </w:t>
      </w:r>
      <w:r>
        <w:t xml:space="preserve">This measure is limited to those children who attained permanency within 12 months of removal and then returned to the system within 12 months of permanency (research shows that most children who re-enter do so within one year). The research literature examining re-entry uses a broader definition than the revised federal measure and no research was found specific to the narrower federal definition of re-entry. In addition, the research identified does not specifically address the re-entry of children that found permanency through guardianship. Therefore, it is assumed for the purposes of this literature review, that the risk factors, protective factors, and promising practices that have been found to be relevant to the larger population of children that re-enter care, also impact the subset of children defined in the federal measure. </w:t>
      </w:r>
    </w:p>
    <w:p w:rsidR="00D86A11" w:rsidRDefault="00D86A11" w:rsidP="00D86A11">
      <w:r>
        <w:t xml:space="preserve">Findings from the research literature have been organized into four sections: Child Factors, Family Factors, Practice/System Factors, and Promising Practices. The cited articles in the following tables were identified in the published literature reviews and articles that are listed in the References section of this report. </w:t>
      </w:r>
    </w:p>
    <w:p w:rsidR="00D86A11" w:rsidRDefault="00D86A11" w:rsidP="00D86A11">
      <w:pPr>
        <w:pStyle w:val="Heading3"/>
        <w:rPr>
          <w:rFonts w:ascii="Perpetua" w:hAnsi="Perpetua"/>
        </w:rPr>
      </w:pPr>
      <w:r>
        <w:rPr>
          <w:rFonts w:ascii="Perpetua" w:hAnsi="Perpetua"/>
        </w:rPr>
        <w:t>Child Factors</w:t>
      </w:r>
    </w:p>
    <w:p w:rsidR="00D86A11" w:rsidRDefault="00D86A11" w:rsidP="00D86A11">
      <w:r>
        <w:t xml:space="preserve">Several child characteristics have been associated in the literature with an increased likelihood of re-entry, including children that are African-American; children that are under the age of two, pre-teens or teens; and children with health, developmental or behavioral problems. In a report published in 2013, “Minnesota Child Welfare Continuous Improvement Brief Examining Child Re-Entry into Out-of-Home Care,” the State of Minnesota found that most children re-entering care (53%) had an initial primary reason for placement of “child behavior problem,” and that 39% of children with behavioral problems re-entered care within 12 months. Although, the number of youth entering with drug or alcohol abuse problems was smaller, a high percentage of these youth, 48%, also re-entered care within 12 months. In addition, a regression analysis showed that children who entered the system for the first time at age 12 or older were more likely to re-enter with 14-year-old boys having the highest rate of re-entry at </w:t>
      </w:r>
      <w:r>
        <w:lastRenderedPageBreak/>
        <w:t xml:space="preserve">47.2%. The following table provides a list of the child characteristics related to re-entry identified in multiple research studies along with a list of the relevant articles cited in the publications reviewed for this report.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5040"/>
      </w:tblGrid>
      <w:tr w:rsidR="00D86A11">
        <w:trPr>
          <w:cantSplit/>
          <w:tblHeader/>
        </w:trPr>
        <w:tc>
          <w:tcPr>
            <w:tcW w:w="42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rsidP="00D86A11">
            <w:pPr>
              <w:rPr>
                <w:rFonts w:cs="Perpetua"/>
                <w:b/>
                <w:sz w:val="20"/>
              </w:rPr>
            </w:pPr>
            <w:r>
              <w:rPr>
                <w:rFonts w:cs="Perpetua"/>
                <w:b/>
                <w:sz w:val="20"/>
              </w:rPr>
              <w:t xml:space="preserve">Child Factors </w:t>
            </w:r>
          </w:p>
          <w:p w:rsidR="00D86A11" w:rsidRDefault="00D86A11" w:rsidP="00D86A11">
            <w:pPr>
              <w:rPr>
                <w:rFonts w:cs="Perpetua"/>
                <w:b/>
                <w:sz w:val="20"/>
              </w:rPr>
            </w:pPr>
            <w:r>
              <w:rPr>
                <w:rFonts w:cs="Perpetua"/>
                <w:b/>
                <w:sz w:val="20"/>
              </w:rPr>
              <w:t>Associated with Re-Entry</w:t>
            </w:r>
          </w:p>
        </w:tc>
        <w:tc>
          <w:tcPr>
            <w:tcW w:w="50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rsidP="00D86A11">
            <w:pPr>
              <w:rPr>
                <w:rFonts w:cs="Perpetua"/>
                <w:b/>
                <w:sz w:val="20"/>
              </w:rPr>
            </w:pPr>
            <w:r>
              <w:rPr>
                <w:rFonts w:cs="Perpetua"/>
                <w:b/>
                <w:sz w:val="20"/>
              </w:rPr>
              <w:t>Cited Articles</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 xml:space="preserve">1. Race/ethnicity (child or family) – most studies have found that African-American children are more likely to re-enter care. </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autoSpaceDE w:val="0"/>
              <w:autoSpaceDN w:val="0"/>
              <w:adjustRightInd w:val="0"/>
              <w:rPr>
                <w:rFonts w:cs="Arial"/>
                <w:sz w:val="20"/>
              </w:rPr>
            </w:pPr>
            <w:r>
              <w:rPr>
                <w:rFonts w:cs="Arial"/>
                <w:sz w:val="20"/>
              </w:rPr>
              <w:t>Albers, Reilly,&amp; Rittner (1993); Connell, Katz, Saunders &amp; Tebes (2006); Yampolskaya, Kershaw &amp; Banks (2006);</w:t>
            </w:r>
          </w:p>
          <w:p w:rsidR="00D86A11" w:rsidRDefault="00D86A11">
            <w:pPr>
              <w:autoSpaceDE w:val="0"/>
              <w:autoSpaceDN w:val="0"/>
              <w:adjustRightInd w:val="0"/>
              <w:rPr>
                <w:rFonts w:cs="Perpetua"/>
                <w:sz w:val="20"/>
              </w:rPr>
            </w:pPr>
            <w:r>
              <w:rPr>
                <w:rFonts w:cs="Arial"/>
                <w:sz w:val="20"/>
              </w:rPr>
              <w:t>Shaw (2006); Wells &amp; Guo (1999); Grogan-Kaylor (2001); Terling (1999); Jones (1998); Webster, Schlonsky, Shaw &amp; Brookhart (2005); Berrick et al (1998); Courtney et al (1997); English, Marshall, Brummel &amp; Orme (1999); Jones (1998); Koh (2007); Westat &amp; Chapin Hall Ctr for Children (2006)</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 xml:space="preserve">2. Age – children under the age of 2, pre-teens, and teens have higher rates of re-entry. </w:t>
            </w:r>
          </w:p>
          <w:p w:rsidR="00D86A11" w:rsidRDefault="00D86A11">
            <w:pPr>
              <w:rPr>
                <w:rFonts w:cs="Perpetua"/>
                <w:sz w:val="20"/>
              </w:rPr>
            </w:pPr>
          </w:p>
          <w:p w:rsidR="00D86A11" w:rsidRDefault="00D86A11">
            <w:pPr>
              <w:rPr>
                <w:rFonts w:cs="Perpetua"/>
                <w:sz w:val="20"/>
              </w:rPr>
            </w:pPr>
            <w:r>
              <w:rPr>
                <w:rFonts w:cs="Perpetua"/>
                <w:sz w:val="20"/>
              </w:rPr>
              <w:t xml:space="preserve">. </w:t>
            </w:r>
          </w:p>
          <w:p w:rsidR="00D86A11" w:rsidRDefault="00D86A11">
            <w:pPr>
              <w:rPr>
                <w:rFonts w:cs="Perpetua"/>
                <w:sz w:val="20"/>
              </w:rPr>
            </w:pPr>
          </w:p>
          <w:p w:rsidR="00D86A11" w:rsidRDefault="00D86A11">
            <w:pPr>
              <w:rPr>
                <w:rFonts w:cs="Perpetua"/>
                <w:sz w:val="20"/>
              </w:rPr>
            </w:pP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McDonald, Bryson, Poertner (2006); Epstein, et al (1998); Wulczyn (1991); Fuller (2005); Miller (2004); Festinger (1996); Marsh, Ryan, Choi &amp; Testa (2006); Connell,</w:t>
            </w:r>
          </w:p>
          <w:p w:rsidR="00D86A11" w:rsidRDefault="00D86A11">
            <w:pPr>
              <w:rPr>
                <w:rFonts w:cs="Perpetua"/>
                <w:sz w:val="20"/>
              </w:rPr>
            </w:pPr>
            <w:r>
              <w:rPr>
                <w:rFonts w:cs="Perpetua"/>
                <w:sz w:val="20"/>
              </w:rPr>
              <w:t>Katz, Saunders &amp; Tebes (2006); Fuller, Wells, &amp; Cotton (2001); Yampolskaya, Kershaw &amp; Banks (2006); Block &amp;</w:t>
            </w:r>
          </w:p>
          <w:p w:rsidR="00D86A11" w:rsidRDefault="00D86A11">
            <w:pPr>
              <w:rPr>
                <w:rFonts w:cs="Perpetua"/>
                <w:sz w:val="20"/>
              </w:rPr>
            </w:pPr>
            <w:r>
              <w:rPr>
                <w:rFonts w:cs="Perpetua"/>
                <w:sz w:val="20"/>
              </w:rPr>
              <w:t>Libowitz (1983); Shaw (2006); Wells &amp; Guo (1999); Grogan-Kaylor (2001); Webster, Schlonsky, Shaw &amp; Brookhart</w:t>
            </w:r>
          </w:p>
          <w:p w:rsidR="00D86A11" w:rsidRDefault="00D86A11">
            <w:pPr>
              <w:rPr>
                <w:rFonts w:cs="Perpetua"/>
                <w:sz w:val="20"/>
              </w:rPr>
            </w:pPr>
            <w:r>
              <w:rPr>
                <w:rFonts w:cs="Perpetua"/>
                <w:sz w:val="20"/>
              </w:rPr>
              <w:t xml:space="preserve">(2005) Courtney (1995); Farmer (1996); Vanderploeg, et al </w:t>
            </w:r>
          </w:p>
          <w:p w:rsidR="00D86A11" w:rsidRDefault="00D86A11">
            <w:pPr>
              <w:rPr>
                <w:rFonts w:cs="Perpetua"/>
                <w:sz w:val="20"/>
              </w:rPr>
            </w:pPr>
            <w:r>
              <w:rPr>
                <w:rFonts w:cs="Perpetua"/>
                <w:sz w:val="20"/>
              </w:rPr>
              <w:t>(2007); Courtney, Pilavin &amp; Wright (1997); Grogan-Kaylor (2000); Wells, Ford, Griesgraber (2007); Westat and Chapin Hall Center for Children, (2006); Jonson-Reid (2003); Minnesota Dept. of Human Services (2013)</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3. Health &amp; behavioral problems – children with mental health/behavioral problems (including difficult externalizing behaviors), developmental delays, and physical health problems are less likely to reunify and more likely to re-enter care. Also youth with alcohol and drug abuse problems (Minnesota report) are more likely to re-enter care.</w:t>
            </w:r>
          </w:p>
          <w:p w:rsidR="00D86A11" w:rsidRDefault="00D86A11">
            <w:pPr>
              <w:rPr>
                <w:rFonts w:cs="Perpetua"/>
                <w:sz w:val="20"/>
              </w:rPr>
            </w:pP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autoSpaceDE w:val="0"/>
              <w:autoSpaceDN w:val="0"/>
              <w:adjustRightInd w:val="0"/>
              <w:rPr>
                <w:rFonts w:cs="Perpetua"/>
                <w:sz w:val="20"/>
              </w:rPr>
            </w:pPr>
            <w:r>
              <w:rPr>
                <w:rFonts w:cs="Arial"/>
                <w:sz w:val="20"/>
              </w:rPr>
              <w:t>Connell, Katz, Saunders &amp; Tebes (2006); Yampolskaya, Kershaw &amp; Banks (2006); Block &amp; Libowitz (1983); Turner (1984); Grogan-Kaylor (2001); Romney, Litrownik, Newton &amp; Lau (2006); Jones (1998); Courtney, Pilavin &amp; Wright (1997); Jones (1998); Koh (2007); Wells et al (2007); Barth (2008); Marshall &amp;  English (1999); McDonald, Bryson, Poertner (2006); DePanfilis, Zuravin (1999); Courtney (1995); (Marshall &amp; English (1999); Minnesota Dept. of Human Services (2013)</w:t>
            </w:r>
          </w:p>
        </w:tc>
      </w:tr>
    </w:tbl>
    <w:p w:rsidR="00D86A11" w:rsidRDefault="00D86A11" w:rsidP="00D86A11">
      <w:pPr>
        <w:pStyle w:val="Heading3"/>
        <w:spacing w:before="160"/>
        <w:rPr>
          <w:rFonts w:ascii="Perpetua" w:hAnsi="Perpetua"/>
        </w:rPr>
      </w:pPr>
      <w:r>
        <w:rPr>
          <w:rFonts w:ascii="Perpetua" w:hAnsi="Perpetua"/>
        </w:rPr>
        <w:t>Family Factors</w:t>
      </w:r>
    </w:p>
    <w:p w:rsidR="00D86A11" w:rsidRDefault="00D86A11" w:rsidP="00D86A11">
      <w:pPr>
        <w:autoSpaceDE w:val="0"/>
        <w:autoSpaceDN w:val="0"/>
        <w:adjustRightInd w:val="0"/>
        <w:spacing w:after="120" w:line="240" w:lineRule="auto"/>
      </w:pPr>
      <w:r>
        <w:t>Multiple family or parent characteristics have been associated in the literature with reunification outcomes and re-entry including parental substance, domestic violence, inadequate parenting skills and social support, parental ambivalence about parenting, unmet parental mental health needs, family poverty, and maltreatment cases of neglect. Single parent households and families with large numbers of children are also at greater risk of re-entry.</w:t>
      </w:r>
    </w:p>
    <w:p w:rsidR="00D86A11" w:rsidRDefault="00D86A11" w:rsidP="00D86A11">
      <w:pPr>
        <w:autoSpaceDE w:val="0"/>
        <w:autoSpaceDN w:val="0"/>
        <w:adjustRightInd w:val="0"/>
        <w:spacing w:line="240" w:lineRule="auto"/>
      </w:pPr>
      <w:r>
        <w:t xml:space="preserve">For parents with substance abuse issues, the extended time frame needed to address addiction often conflicts with the mandated goals of the Adoption and Safe Families Act (ASFA) of 1997. Because the ASFA requires timely permanency, children may be returned to families in which substance abuse treatment is ongoing or where the potential for relapse is high. Thus, children of substance abusing parents are at a higher risk for re-entry, even if parents have participated in a treatment program to help them with their addiction (Brook and McDonald, 2007). A </w:t>
      </w:r>
      <w:r>
        <w:lastRenderedPageBreak/>
        <w:t xml:space="preserve">study by Wells and Guo (1999) found that children who initially entered care due to parental substance abuse were much faster to re-enter the system than children who entered due to physical abuse. </w:t>
      </w: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5040"/>
      </w:tblGrid>
      <w:tr w:rsidR="00D86A11">
        <w:trPr>
          <w:cantSplit/>
          <w:tblHeader/>
        </w:trPr>
        <w:tc>
          <w:tcPr>
            <w:tcW w:w="42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rsidP="00D86A11">
            <w:pPr>
              <w:rPr>
                <w:rFonts w:cs="Perpetua"/>
                <w:b/>
                <w:sz w:val="20"/>
              </w:rPr>
            </w:pPr>
            <w:r>
              <w:rPr>
                <w:rFonts w:cs="Perpetua"/>
                <w:b/>
                <w:sz w:val="20"/>
              </w:rPr>
              <w:t xml:space="preserve">Family Factors </w:t>
            </w:r>
          </w:p>
          <w:p w:rsidR="00D86A11" w:rsidRDefault="00D86A11" w:rsidP="00D86A11">
            <w:pPr>
              <w:rPr>
                <w:rFonts w:cs="Perpetua"/>
                <w:b/>
                <w:sz w:val="20"/>
              </w:rPr>
            </w:pPr>
            <w:r>
              <w:rPr>
                <w:rFonts w:cs="Perpetua"/>
                <w:b/>
                <w:sz w:val="20"/>
              </w:rPr>
              <w:t>Associated with Re-Entry</w:t>
            </w:r>
          </w:p>
        </w:tc>
        <w:tc>
          <w:tcPr>
            <w:tcW w:w="50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rsidP="00D86A11">
            <w:pPr>
              <w:rPr>
                <w:rFonts w:cs="Perpetua"/>
                <w:b/>
                <w:sz w:val="20"/>
              </w:rPr>
            </w:pPr>
            <w:r>
              <w:rPr>
                <w:rFonts w:cs="Perpetua"/>
                <w:b/>
                <w:sz w:val="20"/>
              </w:rPr>
              <w:t>Cited Articles</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 xml:space="preserve">1. Parental substance abuse </w:t>
            </w:r>
          </w:p>
          <w:p w:rsidR="00D86A11" w:rsidRDefault="00D86A11">
            <w:pPr>
              <w:rPr>
                <w:rFonts w:cs="Perpetua"/>
                <w:sz w:val="20"/>
              </w:rPr>
            </w:pPr>
          </w:p>
          <w:p w:rsidR="00D86A11" w:rsidRDefault="00D86A11">
            <w:pPr>
              <w:rPr>
                <w:rFonts w:cs="Perpetua"/>
                <w:sz w:val="20"/>
              </w:rPr>
            </w:pP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autoSpaceDE w:val="0"/>
              <w:autoSpaceDN w:val="0"/>
              <w:adjustRightInd w:val="0"/>
              <w:rPr>
                <w:rFonts w:cs="Arial"/>
                <w:sz w:val="20"/>
              </w:rPr>
            </w:pPr>
            <w:r>
              <w:rPr>
                <w:rFonts w:cs="Arial"/>
                <w:sz w:val="20"/>
              </w:rPr>
              <w:t xml:space="preserve">Epstein, et al (1998); Shaw (2006); Terling (1999); Courtney, Pilavin &amp; Wright (1997); Vanderploeg et al (2007); Brook and McDonald (2007, 2009); English et al (1999); JD Fluke et al (2005); Frame et al. (2000); Miller, Fisher, Fetrow, &amp; Jordan (2006); Wells &amp; Guo (1999) </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2. Socio-economic status – poverty, parental employment, housing, welfare income, safe neighborhoods</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autoSpaceDE w:val="0"/>
              <w:autoSpaceDN w:val="0"/>
              <w:adjustRightInd w:val="0"/>
              <w:rPr>
                <w:rFonts w:cs="Arial"/>
                <w:sz w:val="20"/>
              </w:rPr>
            </w:pPr>
            <w:r>
              <w:rPr>
                <w:rFonts w:cs="Arial"/>
                <w:sz w:val="20"/>
              </w:rPr>
              <w:t>Jones (1998); Courtney (1995); Jones (1998); Jonson-Reid (2003); Shaw (2006); Miller et al (2006)</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3. Type of maltreatment (neglect cases are at higher risk for re-entry)</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sz w:val="20"/>
              </w:rPr>
            </w:pPr>
            <w:r>
              <w:rPr>
                <w:rFonts w:cs="Arial"/>
                <w:sz w:val="20"/>
              </w:rPr>
              <w:t>Berrick et al (1998); English et al (1999); Hindley, Ramchandani, &amp; Jones (2006); Shaw (2006); Terling (1999); K. Wells &amp; Guo (1999)</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 xml:space="preserve">4. Parenting skills </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sz w:val="20"/>
              </w:rPr>
            </w:pPr>
            <w:r>
              <w:rPr>
                <w:rFonts w:cs="Arial"/>
                <w:sz w:val="20"/>
              </w:rPr>
              <w:t>Festinger (1996); Miller et al. (2006); Terling (1999)</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5. Social support</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sz w:val="20"/>
              </w:rPr>
            </w:pPr>
            <w:r>
              <w:rPr>
                <w:rFonts w:cs="Arial"/>
                <w:sz w:val="20"/>
              </w:rPr>
              <w:t>Farmer (1996); DePanfilis &amp; Zuravin (1999); Festinger (1996); Terling, (1999)</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 xml:space="preserve">6. Parental mental illness, unmet mental health needs, health problems and incarceration </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sz w:val="20"/>
              </w:rPr>
            </w:pPr>
            <w:r>
              <w:rPr>
                <w:rFonts w:cs="Arial"/>
                <w:sz w:val="20"/>
              </w:rPr>
              <w:t>Fuller (2005); Fuller, Wells, &amp; Cotton (2001); Block &amp; Libowitz (1983); Hindley (2006)</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 xml:space="preserve">7. Single parent household </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sz w:val="20"/>
              </w:rPr>
            </w:pPr>
            <w:r>
              <w:rPr>
                <w:rFonts w:cs="Arial"/>
                <w:sz w:val="20"/>
              </w:rPr>
              <w:t>Fuller (2005); Block &amp; Libowitz (1983); Wells &amp; Guo (1999); Courtney, Pilavin &amp; Wright (1997)</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autoSpaceDE w:val="0"/>
              <w:autoSpaceDN w:val="0"/>
              <w:adjustRightInd w:val="0"/>
              <w:rPr>
                <w:rFonts w:cs="Perpetua"/>
                <w:sz w:val="20"/>
              </w:rPr>
            </w:pPr>
            <w:r>
              <w:rPr>
                <w:rFonts w:cs="Perpetua"/>
                <w:sz w:val="20"/>
              </w:rPr>
              <w:t>8. Parental ambivalence about parenting (including parents who requested the placement)</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rPr>
                <w:rFonts w:cs="Arial"/>
                <w:sz w:val="20"/>
              </w:rPr>
            </w:pPr>
            <w:r>
              <w:rPr>
                <w:rFonts w:cs="Arial"/>
                <w:sz w:val="20"/>
              </w:rPr>
              <w:t>Festinger (1996); Hess &amp; Folaron (1991); Turner (1984)</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9. Number of children in the home, and number re-entering at the same time</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Fuller (2005); Fuller, Wells, &amp; Cotton (2001); Barth (2008)</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10. Parental criminal history or history of partner abuse</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English et al (1999); DePanfilis &amp; Zuravin (1999)</w:t>
            </w:r>
          </w:p>
        </w:tc>
      </w:tr>
    </w:tbl>
    <w:p w:rsidR="00D86A11" w:rsidRDefault="00D86A11" w:rsidP="00D86A11">
      <w:pPr>
        <w:pStyle w:val="Heading3"/>
        <w:spacing w:before="160"/>
        <w:rPr>
          <w:rFonts w:ascii="Perpetua" w:hAnsi="Perpetua"/>
        </w:rPr>
      </w:pPr>
      <w:r>
        <w:rPr>
          <w:rFonts w:ascii="Perpetua" w:hAnsi="Perpetua"/>
        </w:rPr>
        <w:t>Practice/System Factors</w:t>
      </w:r>
    </w:p>
    <w:p w:rsidR="00D86A11" w:rsidRDefault="00D86A11" w:rsidP="00D86A11">
      <w:pPr>
        <w:pStyle w:val="NormalWeb"/>
        <w:shd w:val="clear" w:color="auto" w:fill="FFFFFF"/>
        <w:spacing w:before="0" w:beforeAutospacing="0" w:after="160" w:afterAutospacing="0" w:line="279" w:lineRule="atLeast"/>
        <w:rPr>
          <w:rFonts w:ascii="Perpetua" w:hAnsi="Perpetua"/>
          <w:sz w:val="22"/>
          <w:szCs w:val="22"/>
        </w:rPr>
      </w:pPr>
      <w:r>
        <w:rPr>
          <w:rFonts w:ascii="Perpetua" w:hAnsi="Perpetua"/>
          <w:sz w:val="22"/>
          <w:szCs w:val="22"/>
        </w:rPr>
        <w:t>Several studies have demonstrated an association between short stays in foster care (up to 6 months) and higher re-entry rates. This may be due to unmet family needs at the time of reunification. Other child welfare practice and system factors that have been associated with higher re-entry rates include: a high number of placements, non-kin placements, and prior involvement with the child welfare system (both prior reports and prior out-of-home placements). Families who did not receive in-home services during or after placement have also been shown to be at a higher risk of re-entry compared to families who did receive these services.</w:t>
      </w:r>
    </w:p>
    <w:p w:rsidR="00D86A11" w:rsidRDefault="00D86A11" w:rsidP="00D86A11">
      <w:pPr>
        <w:pStyle w:val="NormalWeb"/>
        <w:shd w:val="clear" w:color="auto" w:fill="FFFFFF"/>
        <w:spacing w:before="0" w:beforeAutospacing="0" w:after="160" w:afterAutospacing="0" w:line="279" w:lineRule="atLeast"/>
        <w:rPr>
          <w:rFonts w:ascii="Perpetua" w:hAnsi="Perpetua"/>
          <w:sz w:val="22"/>
          <w:szCs w:val="22"/>
        </w:rPr>
      </w:pPr>
      <w:r>
        <w:rPr>
          <w:rFonts w:ascii="Perpetua" w:hAnsi="Perpetua"/>
          <w:sz w:val="22"/>
          <w:szCs w:val="22"/>
        </w:rPr>
        <w:t xml:space="preserve">Frequent, regular parent-child visits can help children and parents maintain the continuity of their relationship and provide parents with opportunities to learn and practice positive parenting behaviors. There are several studies that have shown an association between regular frequent contact between children and families and lower rates of re-entry. However, in the Hennepin-University Partnership 2010 Literature Review Project, the authors state that both </w:t>
      </w:r>
      <w:r>
        <w:rPr>
          <w:rFonts w:ascii="Perpetua" w:hAnsi="Perpetua"/>
          <w:sz w:val="22"/>
          <w:szCs w:val="22"/>
        </w:rPr>
        <w:lastRenderedPageBreak/>
        <w:t>increased parental visitation and Family Group Decision Making, when studied, failed to demonstrate a positive impact on re-entry, although the practices may have other benefits.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25"/>
        <w:gridCol w:w="5040"/>
      </w:tblGrid>
      <w:tr w:rsidR="00D86A11">
        <w:trPr>
          <w:cantSplit/>
          <w:tblHeader/>
        </w:trPr>
        <w:tc>
          <w:tcPr>
            <w:tcW w:w="42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rsidP="00D86A11">
            <w:pPr>
              <w:rPr>
                <w:rFonts w:cs="Perpetua"/>
                <w:b/>
                <w:sz w:val="20"/>
              </w:rPr>
            </w:pPr>
            <w:r>
              <w:rPr>
                <w:rFonts w:cs="Perpetua"/>
                <w:b/>
                <w:sz w:val="20"/>
              </w:rPr>
              <w:t xml:space="preserve">Practice/System Factors </w:t>
            </w:r>
          </w:p>
          <w:p w:rsidR="00D86A11" w:rsidRDefault="00D86A11" w:rsidP="00D86A11">
            <w:pPr>
              <w:rPr>
                <w:rFonts w:cs="Perpetua"/>
                <w:b/>
                <w:sz w:val="20"/>
              </w:rPr>
            </w:pPr>
            <w:r>
              <w:rPr>
                <w:rFonts w:cs="Perpetua"/>
                <w:b/>
                <w:sz w:val="20"/>
              </w:rPr>
              <w:t>Associated with Re-Entry</w:t>
            </w:r>
          </w:p>
        </w:tc>
        <w:tc>
          <w:tcPr>
            <w:tcW w:w="504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rsidP="00D86A11">
            <w:pPr>
              <w:rPr>
                <w:rFonts w:cs="Perpetua"/>
                <w:b/>
                <w:sz w:val="20"/>
              </w:rPr>
            </w:pPr>
            <w:r>
              <w:rPr>
                <w:rFonts w:cs="Perpetua"/>
                <w:b/>
                <w:sz w:val="20"/>
              </w:rPr>
              <w:t>Cited Articles</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1. Length of stay in foster care (short stays of 3-6 months correlated with re-entry)</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Wulczyn (1991); Connell, Katz, Saunders &amp; Tebes (2006); Fuller, Wells, &amp; Cotton (2001); Grigsby (1990); Berrick et al (1998); Courtney et al (1997); Fuller (2005); Koh (2007); Marshall &amp; English (1999); McDonald et al (2006); Shaw (2006); K. Wells &amp; Guo (1999); Westat and Chapin Hall Center for Children (2006); F. H. Wulczyn, Hislop, &amp; Goerge (2000); Yampolskaya, et.al. (2007)</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2. Placement instability/number of placements</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Tam &amp; Ho (1996); Connell, et.al. (2006); Block &amp; Libowitz (1983); Wells &amp; Guo (1999); Grigsby (1990); Courtney et al (1997); Fuller (2005); Jonson-Reid (2003); Koh (2007); Westat and Chapin Hall Center for Children (2006); Goerge (1990)</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3. Engagement – frequent worker/parent visits, frequency and quality of parent/child contact, involvement in case planning</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autoSpaceDE w:val="0"/>
              <w:autoSpaceDN w:val="0"/>
              <w:adjustRightInd w:val="0"/>
              <w:rPr>
                <w:rFonts w:cs="Perpetua"/>
                <w:sz w:val="20"/>
              </w:rPr>
            </w:pPr>
            <w:r>
              <w:rPr>
                <w:rFonts w:cs="Perpetua"/>
                <w:sz w:val="20"/>
              </w:rPr>
              <w:t xml:space="preserve">Leathers (2002); Mech (1985); Grigsby (1990); Noble (1997); Tam &amp; Ho (1996); Fein (1993); Leathers (2002); Turner (1984); Miller, Fisher, Fetrow &amp; Jordan (2006); Farmer (1996) </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4. Type of placement -- children in Kin/NREFM placements may take longer to reunify; however, children in non-kin placements and congregate care are more likely to re-enter</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Fuller (2005); Miller (2004); Miller, Fox, Garcia-Beckwith (1999); Connell, Katz, Saunders &amp; Tebes (2006); Wulczyn, Orlebeke &amp; Melamid (2000); Fuller, Wells, &amp; Cotton (2001); Courtney (1995); Berrick (1997); Frame et al (2000); Jonson-Reid (2003); Shaw (2006); Wells &amp; Guo (1999)</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5. In-home and after-care services</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Courtney et al (2001); Lee, Jonson-Reid &amp; Drake (2012)</w:t>
            </w:r>
          </w:p>
        </w:tc>
      </w:tr>
      <w:tr w:rsidR="00D86A11">
        <w:tc>
          <w:tcPr>
            <w:tcW w:w="422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6. Prior child welfare involvement (reports and placements)</w:t>
            </w:r>
          </w:p>
        </w:tc>
        <w:tc>
          <w:tcPr>
            <w:tcW w:w="5040"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Terling (1999); Vanderploeg et. al. (2007); Noble (1997); Barth et.al. (2008); English et al. (1999)</w:t>
            </w:r>
          </w:p>
        </w:tc>
      </w:tr>
    </w:tbl>
    <w:p w:rsidR="00D86A11" w:rsidRDefault="00D86A11" w:rsidP="00D86A11">
      <w:pPr>
        <w:pStyle w:val="Heading3"/>
        <w:rPr>
          <w:rFonts w:ascii="Perpetua" w:hAnsi="Perpetua"/>
          <w:b w:val="0"/>
        </w:rPr>
      </w:pPr>
      <w:r>
        <w:rPr>
          <w:rFonts w:ascii="Perpetua" w:hAnsi="Perpetua"/>
        </w:rPr>
        <w:t xml:space="preserve">Promising Practices </w:t>
      </w:r>
    </w:p>
    <w:p w:rsidR="00D86A11" w:rsidRDefault="00D86A11" w:rsidP="00D86A11">
      <w:pPr>
        <w:pStyle w:val="NormalWeb"/>
        <w:shd w:val="clear" w:color="auto" w:fill="FFFFFF"/>
        <w:spacing w:before="0" w:beforeAutospacing="0" w:after="120" w:afterAutospacing="0"/>
        <w:rPr>
          <w:rFonts w:ascii="Perpetua" w:hAnsi="Perpetua"/>
          <w:sz w:val="22"/>
          <w:szCs w:val="22"/>
        </w:rPr>
      </w:pPr>
      <w:r>
        <w:rPr>
          <w:rFonts w:ascii="Perpetua" w:hAnsi="Perpetua"/>
          <w:sz w:val="22"/>
          <w:szCs w:val="22"/>
        </w:rPr>
        <w:t xml:space="preserve">Despite a rigorous, systematic review of 71 articles, Bronson and associates found that the limited number of rigorous research studies (experimental or quasi-experimental research) on reunification and re-entry made it impossible to draw definitive conclusions on the effectiveness of existing programs (Bronson, et al, 2008).  However, their analysis did identify numerous program models and factors that are </w:t>
      </w:r>
      <w:r>
        <w:rPr>
          <w:rFonts w:ascii="Perpetua" w:hAnsi="Perpetua"/>
          <w:i/>
          <w:sz w:val="22"/>
          <w:szCs w:val="22"/>
        </w:rPr>
        <w:t>associated</w:t>
      </w:r>
      <w:r>
        <w:rPr>
          <w:rFonts w:ascii="Perpetua" w:hAnsi="Perpetua"/>
          <w:sz w:val="22"/>
          <w:szCs w:val="22"/>
        </w:rPr>
        <w:t xml:space="preserve"> with reduced re-entry. Their recommendations based on the service components found in the literature to be associated with reduced re-entry are provided below:</w:t>
      </w:r>
    </w:p>
    <w:p w:rsidR="000B1863" w:rsidRDefault="00D86A11">
      <w:pPr>
        <w:pStyle w:val="NormalWeb"/>
        <w:numPr>
          <w:ilvl w:val="0"/>
          <w:numId w:val="20"/>
        </w:numPr>
        <w:shd w:val="clear" w:color="auto" w:fill="FFFFFF"/>
        <w:spacing w:before="0" w:beforeAutospacing="0" w:after="0" w:afterAutospacing="0"/>
        <w:rPr>
          <w:rFonts w:ascii="Perpetua" w:hAnsi="Perpetua"/>
          <w:sz w:val="22"/>
          <w:szCs w:val="22"/>
        </w:rPr>
      </w:pPr>
      <w:r>
        <w:rPr>
          <w:rFonts w:ascii="Perpetua" w:hAnsi="Perpetua"/>
          <w:sz w:val="22"/>
          <w:szCs w:val="22"/>
        </w:rPr>
        <w:t>Use assessment tools, such as the North Carolina Family Assessment Scale for Reunification (NCFAS-R), to determine the appropriateness of reunification and the best timing for reunification.</w:t>
      </w:r>
    </w:p>
    <w:p w:rsidR="000B1863" w:rsidRDefault="00D86A11">
      <w:pPr>
        <w:pStyle w:val="NormalWeb"/>
        <w:numPr>
          <w:ilvl w:val="0"/>
          <w:numId w:val="20"/>
        </w:numPr>
        <w:shd w:val="clear" w:color="auto" w:fill="FFFFFF"/>
        <w:spacing w:before="0" w:beforeAutospacing="0" w:after="0" w:afterAutospacing="0"/>
        <w:rPr>
          <w:rFonts w:ascii="Perpetua" w:hAnsi="Perpetua"/>
          <w:sz w:val="22"/>
          <w:szCs w:val="22"/>
        </w:rPr>
      </w:pPr>
      <w:r>
        <w:rPr>
          <w:rFonts w:ascii="Perpetua" w:hAnsi="Perpetua"/>
          <w:sz w:val="22"/>
          <w:szCs w:val="22"/>
        </w:rPr>
        <w:t>Identify family factors that have been correlated with re-entry and provide specialized services. For example, develop programs for older youth who are reunifying as well as for parents with infants and young children since these age groups are most likely to re-enter.</w:t>
      </w:r>
    </w:p>
    <w:p w:rsidR="000B1863" w:rsidRDefault="00D86A11">
      <w:pPr>
        <w:pStyle w:val="NormalWeb"/>
        <w:numPr>
          <w:ilvl w:val="0"/>
          <w:numId w:val="20"/>
        </w:numPr>
        <w:shd w:val="clear" w:color="auto" w:fill="FFFFFF"/>
        <w:spacing w:before="0" w:beforeAutospacing="0" w:after="0" w:afterAutospacing="0"/>
        <w:rPr>
          <w:rFonts w:ascii="Perpetua" w:hAnsi="Perpetua"/>
          <w:sz w:val="22"/>
          <w:szCs w:val="22"/>
        </w:rPr>
      </w:pPr>
      <w:r>
        <w:rPr>
          <w:rFonts w:ascii="Perpetua" w:hAnsi="Perpetua"/>
          <w:sz w:val="22"/>
          <w:szCs w:val="22"/>
        </w:rPr>
        <w:t>Introduce cognitive-behavior programs to deal with child behavior problems and train parents in the use of behavioral parenting methods.</w:t>
      </w:r>
    </w:p>
    <w:p w:rsidR="000B1863" w:rsidRDefault="00D86A11">
      <w:pPr>
        <w:pStyle w:val="NormalWeb"/>
        <w:numPr>
          <w:ilvl w:val="0"/>
          <w:numId w:val="20"/>
        </w:numPr>
        <w:shd w:val="clear" w:color="auto" w:fill="FFFFFF"/>
        <w:spacing w:before="0" w:beforeAutospacing="0" w:after="160" w:afterAutospacing="0"/>
        <w:rPr>
          <w:rFonts w:ascii="Perpetua" w:hAnsi="Perpetua"/>
          <w:sz w:val="22"/>
          <w:szCs w:val="22"/>
        </w:rPr>
      </w:pPr>
      <w:r>
        <w:rPr>
          <w:rFonts w:ascii="Perpetua" w:hAnsi="Perpetua"/>
          <w:sz w:val="22"/>
          <w:szCs w:val="22"/>
        </w:rPr>
        <w:t>Maintain reunification services for at least 12 months after reunification.</w:t>
      </w:r>
    </w:p>
    <w:p w:rsidR="00D86A11" w:rsidRDefault="00D86A11" w:rsidP="00D86A11">
      <w:pPr>
        <w:rPr>
          <w:rFonts w:cs="Helvetica"/>
          <w:color w:val="212121"/>
        </w:rPr>
      </w:pPr>
      <w:r>
        <w:t>The “</w:t>
      </w:r>
      <w:hyperlink r:id="rId78" w:tgtFrame="_blank" w:history="1">
        <w:r>
          <w:rPr>
            <w:rStyle w:val="Hyperlink"/>
            <w:rFonts w:ascii="Perpetua" w:hAnsi="Perpetua"/>
            <w:bCs/>
            <w:color w:val="212121"/>
          </w:rPr>
          <w:t>Hennepin-University Partnership (HUP) Child Well-Being Re-entry to Foster Care Report</w:t>
        </w:r>
      </w:hyperlink>
      <w:r>
        <w:rPr>
          <w:bCs/>
          <w:color w:val="212121"/>
        </w:rPr>
        <w:t>”</w:t>
      </w:r>
      <w:r>
        <w:rPr>
          <w:rStyle w:val="apple-converted-space"/>
          <w:rFonts w:cs="Helvetica"/>
          <w:color w:val="212121"/>
        </w:rPr>
        <w:t> </w:t>
      </w:r>
      <w:r>
        <w:rPr>
          <w:rFonts w:cs="Helvetica"/>
          <w:color w:val="212121"/>
        </w:rPr>
        <w:t xml:space="preserve">(Jones &amp; LaLiberte, 2010) provides a comprehensive literature review on risk and protective factors as well as evidence on effective </w:t>
      </w:r>
      <w:r>
        <w:rPr>
          <w:rFonts w:cs="Helvetica"/>
          <w:color w:val="212121"/>
        </w:rPr>
        <w:lastRenderedPageBreak/>
        <w:t xml:space="preserve">practices related to foster care re-entry. They found that very few programs have been rigorously studied. According to their review, two programs have been found to be effective in reducing re-entry rates -- the Homebuilders Program and Multidimensional Treatment Foster Care for Preschoolers. They also identified two programs as “promising practices” that show promising results but need more research -- the Child Endangerment Risk Assessment Protocol (CERAP) and Structured Decision Making (SDM).  Two practices that have been studied and failed to demonstrate an impact on re-entry (although they may have other benefits) are -- increased parental visitation and Family Group Decision Making. While parental visitation has been shown to be a predictor for reunification, some studies have found that visitation frequency was not a predictor of re-entry. However, these studies did not look at the “quality” of the visits. </w:t>
      </w:r>
    </w:p>
    <w:p w:rsidR="00D86A11" w:rsidRDefault="00D86A11" w:rsidP="00D86A11">
      <w:r>
        <w:rPr>
          <w:rFonts w:cs="Helvetica"/>
          <w:color w:val="212121"/>
        </w:rPr>
        <w:t>Based on their review, Jones and LaLiberte offer several policy and practice recommendations to reduce re-entry rates:</w:t>
      </w:r>
    </w:p>
    <w:p w:rsidR="000B1863" w:rsidRDefault="00D86A11">
      <w:pPr>
        <w:pStyle w:val="NormalWeb"/>
        <w:numPr>
          <w:ilvl w:val="0"/>
          <w:numId w:val="21"/>
        </w:numPr>
        <w:shd w:val="clear" w:color="auto" w:fill="FFFFFF"/>
        <w:spacing w:before="0" w:beforeAutospacing="0" w:after="0" w:afterAutospacing="0"/>
        <w:rPr>
          <w:rFonts w:ascii="Perpetua" w:hAnsi="Perpetua"/>
          <w:sz w:val="22"/>
          <w:szCs w:val="22"/>
        </w:rPr>
      </w:pPr>
      <w:r>
        <w:rPr>
          <w:rFonts w:ascii="Perpetua" w:hAnsi="Perpetua"/>
          <w:sz w:val="22"/>
          <w:szCs w:val="22"/>
        </w:rPr>
        <w:t>Provide greater attention to assessment, planning and follow-up support to maintain children in their home after reunification with their families</w:t>
      </w:r>
    </w:p>
    <w:p w:rsidR="000B1863" w:rsidRDefault="00D86A11">
      <w:pPr>
        <w:pStyle w:val="NormalWeb"/>
        <w:numPr>
          <w:ilvl w:val="0"/>
          <w:numId w:val="21"/>
        </w:numPr>
        <w:shd w:val="clear" w:color="auto" w:fill="FFFFFF"/>
        <w:spacing w:before="0" w:beforeAutospacing="0" w:after="0" w:afterAutospacing="0"/>
        <w:rPr>
          <w:rFonts w:ascii="Perpetua" w:hAnsi="Perpetua"/>
          <w:sz w:val="22"/>
          <w:szCs w:val="22"/>
        </w:rPr>
      </w:pPr>
      <w:r>
        <w:rPr>
          <w:rFonts w:ascii="Perpetua" w:hAnsi="Perpetua"/>
          <w:sz w:val="22"/>
          <w:szCs w:val="22"/>
        </w:rPr>
        <w:t>Assess parental readiness or ambivalence about reunification</w:t>
      </w:r>
    </w:p>
    <w:p w:rsidR="000B1863" w:rsidRDefault="00D86A11">
      <w:pPr>
        <w:pStyle w:val="NormalWeb"/>
        <w:numPr>
          <w:ilvl w:val="0"/>
          <w:numId w:val="21"/>
        </w:numPr>
        <w:shd w:val="clear" w:color="auto" w:fill="FFFFFF"/>
        <w:spacing w:before="0" w:beforeAutospacing="0" w:after="0" w:afterAutospacing="0"/>
        <w:rPr>
          <w:rFonts w:ascii="Perpetua" w:hAnsi="Perpetua"/>
          <w:sz w:val="22"/>
          <w:szCs w:val="22"/>
        </w:rPr>
      </w:pPr>
      <w:r>
        <w:rPr>
          <w:rFonts w:ascii="Perpetua" w:hAnsi="Perpetua"/>
          <w:sz w:val="22"/>
          <w:szCs w:val="22"/>
        </w:rPr>
        <w:t>Utilize effective substance abuse and mental health treatment practices</w:t>
      </w:r>
    </w:p>
    <w:p w:rsidR="000B1863" w:rsidRDefault="00D86A11">
      <w:pPr>
        <w:pStyle w:val="NormalWeb"/>
        <w:numPr>
          <w:ilvl w:val="0"/>
          <w:numId w:val="21"/>
        </w:numPr>
        <w:shd w:val="clear" w:color="auto" w:fill="FFFFFF"/>
        <w:spacing w:before="0" w:beforeAutospacing="0" w:after="0" w:afterAutospacing="0"/>
        <w:rPr>
          <w:rFonts w:ascii="Perpetua" w:hAnsi="Perpetua"/>
          <w:sz w:val="22"/>
          <w:szCs w:val="22"/>
        </w:rPr>
      </w:pPr>
      <w:r>
        <w:rPr>
          <w:rFonts w:ascii="Perpetua" w:hAnsi="Perpetua"/>
          <w:sz w:val="22"/>
          <w:szCs w:val="22"/>
        </w:rPr>
        <w:t>Assess the needs of children and parents early in a case to effectively meet the needs of the entire family</w:t>
      </w:r>
    </w:p>
    <w:p w:rsidR="000B1863" w:rsidRDefault="00D86A11">
      <w:pPr>
        <w:pStyle w:val="NormalWeb"/>
        <w:numPr>
          <w:ilvl w:val="0"/>
          <w:numId w:val="21"/>
        </w:numPr>
        <w:shd w:val="clear" w:color="auto" w:fill="FFFFFF"/>
        <w:spacing w:before="0" w:beforeAutospacing="0" w:after="0" w:afterAutospacing="0"/>
        <w:rPr>
          <w:rFonts w:ascii="Perpetua" w:hAnsi="Perpetua"/>
          <w:sz w:val="22"/>
          <w:szCs w:val="22"/>
        </w:rPr>
      </w:pPr>
      <w:r>
        <w:rPr>
          <w:rFonts w:ascii="Perpetua" w:hAnsi="Perpetua"/>
          <w:sz w:val="22"/>
          <w:szCs w:val="22"/>
        </w:rPr>
        <w:t>Promote placement stability while in care</w:t>
      </w:r>
    </w:p>
    <w:p w:rsidR="000B1863" w:rsidRDefault="00D86A11">
      <w:pPr>
        <w:pStyle w:val="NormalWeb"/>
        <w:numPr>
          <w:ilvl w:val="0"/>
          <w:numId w:val="21"/>
        </w:numPr>
        <w:shd w:val="clear" w:color="auto" w:fill="FFFFFF"/>
        <w:spacing w:before="0" w:beforeAutospacing="0" w:after="0" w:afterAutospacing="0"/>
        <w:rPr>
          <w:rFonts w:ascii="Perpetua" w:hAnsi="Perpetua"/>
          <w:sz w:val="22"/>
          <w:szCs w:val="22"/>
        </w:rPr>
      </w:pPr>
      <w:r>
        <w:rPr>
          <w:rFonts w:ascii="Perpetua" w:hAnsi="Perpetua"/>
          <w:sz w:val="22"/>
          <w:szCs w:val="22"/>
        </w:rPr>
        <w:t xml:space="preserve">Increase efforts to find, identify, and engage relatives in order to place children in relative homes when out-of-home care is warranted </w:t>
      </w:r>
    </w:p>
    <w:p w:rsidR="000B1863" w:rsidRDefault="00D86A11">
      <w:pPr>
        <w:pStyle w:val="NormalWeb"/>
        <w:numPr>
          <w:ilvl w:val="0"/>
          <w:numId w:val="21"/>
        </w:numPr>
        <w:shd w:val="clear" w:color="auto" w:fill="FFFFFF"/>
        <w:spacing w:before="0" w:beforeAutospacing="0" w:after="0" w:afterAutospacing="0"/>
        <w:rPr>
          <w:rFonts w:ascii="Perpetua" w:hAnsi="Perpetua"/>
          <w:sz w:val="22"/>
          <w:szCs w:val="22"/>
        </w:rPr>
      </w:pPr>
      <w:r>
        <w:rPr>
          <w:rFonts w:ascii="Perpetua" w:hAnsi="Perpetua"/>
          <w:sz w:val="22"/>
          <w:szCs w:val="22"/>
        </w:rPr>
        <w:t>Provide extra support and follow-up services for children with physical, emotional, behavioral health needs</w:t>
      </w:r>
    </w:p>
    <w:p w:rsidR="000B1863" w:rsidRDefault="00D86A11">
      <w:pPr>
        <w:pStyle w:val="NormalWeb"/>
        <w:numPr>
          <w:ilvl w:val="0"/>
          <w:numId w:val="21"/>
        </w:numPr>
        <w:shd w:val="clear" w:color="auto" w:fill="FFFFFF"/>
        <w:spacing w:before="0" w:beforeAutospacing="0" w:after="0" w:afterAutospacing="0"/>
        <w:rPr>
          <w:rFonts w:ascii="Perpetua" w:hAnsi="Perpetua"/>
          <w:sz w:val="22"/>
          <w:szCs w:val="22"/>
        </w:rPr>
      </w:pPr>
      <w:r>
        <w:rPr>
          <w:rFonts w:ascii="Perpetua" w:hAnsi="Perpetua"/>
          <w:sz w:val="22"/>
          <w:szCs w:val="22"/>
        </w:rPr>
        <w:t xml:space="preserve">Explore the use of resiliency models at individual, family and community levels in developing protective factors to reduce rates of reentry </w:t>
      </w:r>
    </w:p>
    <w:p w:rsidR="000B1863" w:rsidRDefault="00D86A11">
      <w:pPr>
        <w:pStyle w:val="NormalWeb"/>
        <w:numPr>
          <w:ilvl w:val="0"/>
          <w:numId w:val="21"/>
        </w:numPr>
        <w:shd w:val="clear" w:color="auto" w:fill="FFFFFF"/>
        <w:spacing w:before="0" w:beforeAutospacing="0" w:after="0" w:afterAutospacing="0"/>
        <w:rPr>
          <w:rFonts w:ascii="Perpetua" w:hAnsi="Perpetua"/>
          <w:sz w:val="22"/>
          <w:szCs w:val="22"/>
        </w:rPr>
      </w:pPr>
      <w:r>
        <w:rPr>
          <w:rFonts w:ascii="Perpetua" w:hAnsi="Perpetua"/>
          <w:sz w:val="22"/>
          <w:szCs w:val="22"/>
        </w:rPr>
        <w:t>Consider worker caseload size and ability to develop relationships and increase engagement with families in need of services</w:t>
      </w:r>
    </w:p>
    <w:p w:rsidR="000B1863" w:rsidRDefault="00D86A11">
      <w:pPr>
        <w:pStyle w:val="NormalWeb"/>
        <w:numPr>
          <w:ilvl w:val="0"/>
          <w:numId w:val="21"/>
        </w:numPr>
        <w:shd w:val="clear" w:color="auto" w:fill="FFFFFF"/>
        <w:spacing w:before="0" w:beforeAutospacing="0" w:after="160" w:afterAutospacing="0"/>
        <w:rPr>
          <w:rFonts w:ascii="Perpetua" w:hAnsi="Perpetua"/>
          <w:sz w:val="22"/>
          <w:szCs w:val="22"/>
        </w:rPr>
      </w:pPr>
      <w:r>
        <w:rPr>
          <w:rFonts w:ascii="Perpetua" w:hAnsi="Perpetua"/>
          <w:sz w:val="22"/>
          <w:szCs w:val="22"/>
        </w:rPr>
        <w:t xml:space="preserve">Continue to build partnerships with communities to ensure appropriate services available </w:t>
      </w:r>
    </w:p>
    <w:p w:rsidR="00D86A11" w:rsidRPr="004760EA" w:rsidRDefault="00D86A11" w:rsidP="00D86A11">
      <w:pPr>
        <w:pStyle w:val="Heading2"/>
        <w:rPr>
          <w:rFonts w:ascii="Perpetua" w:hAnsi="Perpetua"/>
        </w:rPr>
      </w:pPr>
      <w:r>
        <w:rPr>
          <w:rFonts w:ascii="Perpetua" w:hAnsi="Perpetua"/>
        </w:rPr>
        <w:t>Programs/Services of Interest</w:t>
      </w:r>
    </w:p>
    <w:p w:rsidR="00D86A11" w:rsidRDefault="00D86A11" w:rsidP="00D86A11">
      <w:r>
        <w:t>As noted earlier, there are few programs that can truly be described as evidence-based. Therefore, information is provided below on several programs that were selected because they address areas in which the County of San Diego has expressed an interest and they show promise and/or are innovative.</w:t>
      </w:r>
    </w:p>
    <w:p w:rsidR="00D86A11" w:rsidRDefault="00D86A11" w:rsidP="00D86A11">
      <w:pPr>
        <w:pStyle w:val="NormalWeb"/>
        <w:spacing w:before="0" w:beforeAutospacing="0" w:after="160" w:afterAutospacing="0"/>
        <w:rPr>
          <w:rFonts w:ascii="Perpetua" w:hAnsi="Perpetua"/>
          <w:sz w:val="22"/>
          <w:szCs w:val="22"/>
        </w:rPr>
      </w:pPr>
      <w:r>
        <w:rPr>
          <w:rFonts w:ascii="Perpetua" w:hAnsi="Perpetua"/>
          <w:sz w:val="22"/>
          <w:szCs w:val="22"/>
          <w:u w:val="single"/>
        </w:rPr>
        <w:t>The Child Wellbeing Project</w:t>
      </w:r>
      <w:r>
        <w:rPr>
          <w:rFonts w:ascii="Perpetua" w:hAnsi="Perpetua"/>
          <w:sz w:val="22"/>
          <w:szCs w:val="22"/>
        </w:rPr>
        <w:t xml:space="preserve">, in Catawba County North Carolina, is a long-term research project funded by The Duke Endowment to provide an array of voluntary services to children ages 0-15 and their families when they leave foster care for a permanent placement (reunification, adoption or guardianship). The array of services provided is described below: </w:t>
      </w:r>
    </w:p>
    <w:p w:rsidR="00D86A11" w:rsidRDefault="00D86A11" w:rsidP="00D86A11">
      <w:pPr>
        <w:numPr>
          <w:ilvl w:val="0"/>
          <w:numId w:val="38"/>
        </w:numPr>
        <w:spacing w:after="0" w:line="240" w:lineRule="auto"/>
      </w:pPr>
      <w:r>
        <w:rPr>
          <w:b/>
          <w:bCs/>
        </w:rPr>
        <w:t>Success Coach:</w:t>
      </w:r>
      <w:r>
        <w:t> This is a voluntary, in-home service where the Success Coach works in partnership with the family to assess needs, set goals, coordinate services, build and reinforce skills and provide crisis intervention. Referrals to other agency and community resources are provided and discretionary funds (material supports) may be provided to families to support child well-being or crisis needs.  </w:t>
      </w:r>
    </w:p>
    <w:p w:rsidR="00D86A11" w:rsidRDefault="00D86A11" w:rsidP="00D86A11">
      <w:pPr>
        <w:numPr>
          <w:ilvl w:val="0"/>
          <w:numId w:val="38"/>
        </w:numPr>
        <w:spacing w:after="0" w:line="240" w:lineRule="auto"/>
      </w:pPr>
      <w:r>
        <w:rPr>
          <w:b/>
          <w:bCs/>
        </w:rPr>
        <w:t>Educational Services:</w:t>
      </w:r>
      <w:r>
        <w:t> An Educational Advocate coordinates services between public schools and DSS to promote educational achievement, stability and continuity. An "Educational Passport" summarizing each child's educational progress is also provided to parents/guardians of all children leaving foster care.  </w:t>
      </w:r>
    </w:p>
    <w:p w:rsidR="00D86A11" w:rsidRDefault="00D86A11" w:rsidP="00D86A11">
      <w:pPr>
        <w:numPr>
          <w:ilvl w:val="0"/>
          <w:numId w:val="38"/>
        </w:numPr>
        <w:spacing w:after="0" w:line="240" w:lineRule="auto"/>
      </w:pPr>
      <w:r>
        <w:rPr>
          <w:b/>
          <w:bCs/>
        </w:rPr>
        <w:t>Post-Care Clinical Services</w:t>
      </w:r>
      <w:r>
        <w:t xml:space="preserve">: A therapist provides clinical services and consultation on mental health issues to families and provides post-adoption educational and support group activities for families. </w:t>
      </w:r>
      <w:r w:rsidRPr="00D31B48">
        <w:rPr>
          <w:szCs w:val="22"/>
        </w:rPr>
        <w:t>(</w:t>
      </w:r>
      <w:hyperlink r:id="rId79" w:history="1">
        <w:r w:rsidRPr="00D31B48">
          <w:rPr>
            <w:rStyle w:val="Hyperlink"/>
            <w:rFonts w:ascii="Perpetua" w:hAnsi="Perpetua"/>
            <w:szCs w:val="22"/>
          </w:rPr>
          <w:t>http://www.catawbacountync.gov/dss/PW/ChildWellbeing.asp</w:t>
        </w:r>
      </w:hyperlink>
      <w:r w:rsidRPr="00D31B48">
        <w:rPr>
          <w:szCs w:val="22"/>
        </w:rPr>
        <w:t>(</w:t>
      </w:r>
      <w:hyperlink r:id="rId80" w:history="1">
        <w:r w:rsidRPr="00D31B48">
          <w:rPr>
            <w:rStyle w:val="Hyperlink"/>
            <w:rFonts w:ascii="Perpetua" w:hAnsi="Perpetua"/>
            <w:szCs w:val="22"/>
          </w:rPr>
          <w:t>http://www.catawbacountync.gov/dss/PW/ChildWellbeing.asp</w:t>
        </w:r>
      </w:hyperlink>
      <w:r w:rsidRPr="00D31B48">
        <w:rPr>
          <w:szCs w:val="22"/>
        </w:rPr>
        <w:t>(</w:t>
      </w:r>
      <w:hyperlink r:id="rId81" w:history="1">
        <w:r w:rsidRPr="00D31B48">
          <w:rPr>
            <w:rStyle w:val="Hyperlink"/>
            <w:rFonts w:ascii="Perpetua" w:hAnsi="Perpetua"/>
            <w:szCs w:val="22"/>
          </w:rPr>
          <w:t>http://www.catawbacountync.gov/dss/PW/ChildWellbeing.asp</w:t>
        </w:r>
      </w:hyperlink>
      <w:r w:rsidRPr="00D31B48">
        <w:rPr>
          <w:szCs w:val="22"/>
        </w:rPr>
        <w:t>)</w:t>
      </w:r>
    </w:p>
    <w:p w:rsidR="00D86A11" w:rsidRDefault="00D86A11" w:rsidP="00D86A11">
      <w:pPr>
        <w:spacing w:after="0" w:line="240" w:lineRule="auto"/>
        <w:ind w:left="525"/>
      </w:pPr>
    </w:p>
    <w:p w:rsidR="00D86A11" w:rsidRDefault="00D86A11" w:rsidP="00D86A11">
      <w:r>
        <w:t xml:space="preserve">According to a </w:t>
      </w:r>
      <w:r>
        <w:rPr>
          <w:i/>
        </w:rPr>
        <w:t xml:space="preserve">Youth Thrive Brief </w:t>
      </w:r>
      <w:r>
        <w:t>(Center for the Study of Social Policy), the program has thus far completed a process and outcomes evaluation of the pilot phase. Data indicate that Success Coach services are a stabilizing influence on families with 97.4% maintaining permanence, compared to 95.2% of families who decline services. The project was designed and implemented with technical assistance from the National Implementation Research Network and won an Outstanding Achievement in Local Government Innovations Award from the Alliance for Innovation in 2014.</w:t>
      </w:r>
    </w:p>
    <w:p w:rsidR="00D86A11" w:rsidRDefault="00D86A11" w:rsidP="00D86A11">
      <w:r>
        <w:t xml:space="preserve">The </w:t>
      </w:r>
      <w:r>
        <w:rPr>
          <w:u w:val="single"/>
        </w:rPr>
        <w:t>Michigan Family Reunification Program</w:t>
      </w:r>
      <w:r>
        <w:t xml:space="preserve"> was started in 1992 and by 2011 had expanded to 26 counties. The program includes: assessment, case management; transportation services, 24-hour service availability, flexible funds, in-home services, and two staff (one master’s level, one bachelor’s level) for each family. Families are required to participate in assessments, family or individual therapy, and workshops on parenting. Services are home-based and intensive, averaging 8-12 hours per week for the first two weeks after children are placed back in the home, and four hours per week for 4-6 months. Services are strength-based and focus on child safety. Family reunification workers maintain small caseloads (six families), and the Team Leader provides 90 minutes of weekly family therapy and carries a larger case load (up to 12 families) during an intervention period. </w:t>
      </w:r>
    </w:p>
    <w:p w:rsidR="00D86A11" w:rsidRDefault="00D86A11" w:rsidP="00D86A11">
      <w:pPr>
        <w:spacing w:after="0"/>
      </w:pPr>
      <w:r>
        <w:t>An evaluation of the program demonstrated twelve months after exiting the program, 73% of the 813 children in the treatment group had returned home and remained safely with their families versus 69% of children in the comparison group. At 24 months following reunification, 81% of the treatment families remained reunified versus only 60% of the comparison group families. Furthermore, the research indicated that children in the treatment group who did re-enter out-of-home care tended to spend less time out of the home. The agency calculated that it saved more than $5,000 per family for those participating in the program. In follow-up interviews, families gave the highest ratings to: the use of two-worker teams, the services offered in the family home, the 24-hour service availability, the use of a solution-focused service delivery, the skill-teaching in both individual and child management techniques, and concrete services (e.g., transportation, home repairs, etc.)</w:t>
      </w:r>
    </w:p>
    <w:p w:rsidR="00D86A11" w:rsidRDefault="00D86A11" w:rsidP="00D86A11">
      <w:pPr>
        <w:spacing w:after="0"/>
      </w:pPr>
    </w:p>
    <w:p w:rsidR="00D86A11" w:rsidRDefault="00D86A11" w:rsidP="00D86A11">
      <w:pPr>
        <w:spacing w:after="120"/>
        <w:rPr>
          <w:i/>
        </w:rPr>
      </w:pPr>
      <w:r>
        <w:rPr>
          <w:i/>
        </w:rPr>
        <w:t>The following program descriptions are excerpted from Preventing Re-Entry to Foster Care by Sarah Carnochan, et.al. (2013):</w:t>
      </w:r>
    </w:p>
    <w:p w:rsidR="00D86A11" w:rsidRDefault="00D86A11" w:rsidP="00D86A11">
      <w:pPr>
        <w:spacing w:after="0"/>
        <w:rPr>
          <w:u w:val="single"/>
        </w:rPr>
      </w:pPr>
      <w:r>
        <w:rPr>
          <w:u w:val="single"/>
        </w:rPr>
        <w:t>The Incredible Years (IY)</w:t>
      </w:r>
    </w:p>
    <w:p w:rsidR="00D86A11" w:rsidRDefault="00D86A11" w:rsidP="00D86A11">
      <w:pPr>
        <w:spacing w:after="120"/>
      </w:pPr>
      <w:r>
        <w:t xml:space="preserve">IY provides child, parent and teacher training designed to reduce behavior problems in young children, increase emotional/social competence, and promote positive parenting practices. The program does not directly attempt to reduce re-entry but works to reduce factors that can contribute to re-entry. The program has been found to improve positive parenting and reduce child conduct problems at home and school. A CDSS report in 2007 found that children whose parents completed the IY program experienced a maltreatment recurrence rate that was two to six percentage points lower than children whose parents did not complete the program. </w:t>
      </w:r>
    </w:p>
    <w:p w:rsidR="00D86A11" w:rsidRDefault="00D86A11" w:rsidP="00D86A11">
      <w:pPr>
        <w:spacing w:after="0"/>
        <w:rPr>
          <w:u w:val="single"/>
        </w:rPr>
      </w:pPr>
      <w:r>
        <w:rPr>
          <w:u w:val="single"/>
        </w:rPr>
        <w:t>Intensive Family Preservation Services (IFPS), including Homebuilders</w:t>
      </w:r>
    </w:p>
    <w:p w:rsidR="00D86A11" w:rsidRDefault="00D86A11" w:rsidP="00D86A11">
      <w:r>
        <w:t>The goals of IFPS programs such as Homebuilders are to prevent placement, facilitate safe reunifications, reduce risk factors, strengthen families, and connect families with community resources. Homebuilders is the only program that has achieved a scientific rating by the California Evidence-based Clearinghouse (CEBC) in the category of “post-permanency services.” CEBC gave Homebuilders a rating of 2, “supported by research evidence.” Two studies that demonstrated positive results are a study by Blythe and Jayaratne (2002) that found that 93% of children in an IFPS program remained in their home after 12 months compared to 43% in the control group; and an earlier, randomized controlled study in Utah (Fraser et al 1996) that found that at the end of a 15-month follow up period, 70% of the children who were in the program remained home after reunification compared to 47% in the control group (</w:t>
      </w:r>
      <w:r>
        <w:rPr>
          <w:rFonts w:cs="Helvetica"/>
          <w:color w:val="212121"/>
        </w:rPr>
        <w:t xml:space="preserve">Jones and LaLiberte, 2010). </w:t>
      </w:r>
      <w:r>
        <w:t>In a study of specific Homebuilders components Ryan and Sheurman (2004) found that cash assistance reduced the risk of subsequent foster care placements.</w:t>
      </w:r>
    </w:p>
    <w:p w:rsidR="00D86A11" w:rsidRDefault="00D86A11" w:rsidP="00D86A11">
      <w:pPr>
        <w:spacing w:after="0"/>
        <w:rPr>
          <w:u w:val="single"/>
        </w:rPr>
      </w:pPr>
    </w:p>
    <w:p w:rsidR="00D86A11" w:rsidRDefault="00D86A11" w:rsidP="00D86A11">
      <w:pPr>
        <w:spacing w:after="0"/>
        <w:rPr>
          <w:u w:val="single"/>
        </w:rPr>
      </w:pPr>
      <w:r>
        <w:rPr>
          <w:u w:val="single"/>
        </w:rPr>
        <w:t>Multi-Dimensional Treatment Foster Care (MTFC)</w:t>
      </w:r>
    </w:p>
    <w:p w:rsidR="00D86A11" w:rsidRDefault="00D86A11" w:rsidP="00D86A11">
      <w:pPr>
        <w:spacing w:after="0"/>
      </w:pPr>
      <w:r>
        <w:t>MTFC is a resiliency-based model that promotes and enhances family strengths for the parent and the child. MTFC aims to decrease problem behaviors and increase prosocial behaviors in children and adolescents. MTFC has demonstrated a lower rate of re-entry into foster care or the juvenile justice system for youth at risk of, or living in, congregate care. Evaluation results have also indicated that MTFC is more cost effective and leads to better outcomes than residential treatment (Casey Practice Digest, Jan. 2013). At least two randomized controlled studies of MTFC for preschoolers have shown higher permanent placement success rates for families that received services as compared to control groups (</w:t>
      </w:r>
      <w:r>
        <w:rPr>
          <w:rFonts w:cs="Helvetica"/>
          <w:color w:val="212121"/>
        </w:rPr>
        <w:t>Jones and LaLiberte, 2010).</w:t>
      </w:r>
    </w:p>
    <w:p w:rsidR="00D86A11" w:rsidRDefault="00D86A11" w:rsidP="00D86A11">
      <w:pPr>
        <w:spacing w:after="0"/>
      </w:pPr>
    </w:p>
    <w:p w:rsidR="00D86A11" w:rsidRDefault="00D86A11" w:rsidP="00D86A11">
      <w:pPr>
        <w:spacing w:after="0"/>
        <w:rPr>
          <w:u w:val="single"/>
        </w:rPr>
      </w:pPr>
      <w:r>
        <w:rPr>
          <w:u w:val="single"/>
        </w:rPr>
        <w:t>Shared Family Care (SFC)</w:t>
      </w:r>
    </w:p>
    <w:p w:rsidR="00D86A11" w:rsidRDefault="00D86A11" w:rsidP="00D86A11">
      <w:r>
        <w:t xml:space="preserve">In SFC, whole families are placed in the homes of community members who mentor the families and work with a team of professionals to help the families obtain the skills and resources they need. The placements last 6-12 months and provide the families with the benefits of both in-home services and out-of-home placements. Services typically include careful matching with mentors, rights and responsibilities agreements, a family support team, wraparound services and aftercare services. Clients tend to be low income, single mothers. A study in Contra Costa County of 87 families found that average family income doubled after graduation and all families found permanent housing with assistance from a housing specialist. Researchers have also found that families that graduated had a lower percentage of children re-entering foster care than families that did not graduate. </w:t>
      </w:r>
    </w:p>
    <w:p w:rsidR="00D86A11" w:rsidRDefault="00D86A11" w:rsidP="00D86A11">
      <w:r>
        <w:t xml:space="preserve">In a literature review on reunification and re-entry published by the Northern California Training Academy </w:t>
      </w:r>
      <w:r w:rsidRPr="001D2284">
        <w:t>(</w:t>
      </w:r>
      <w:r w:rsidRPr="001D2284">
        <w:rPr>
          <w:rStyle w:val="Hyperlink"/>
          <w:rFonts w:ascii="Perpetua" w:hAnsi="Perpetua"/>
          <w:color w:val="auto"/>
        </w:rPr>
        <w:t xml:space="preserve">Honomichl, et al, </w:t>
      </w:r>
      <w:r w:rsidRPr="001D2284">
        <w:t>2009),</w:t>
      </w:r>
      <w:r>
        <w:t xml:space="preserve"> they note that the University of California at Berkeley has evaluated several SFC demonstration programs in Colorado and California. They found that re-entry rates and the duration of foster care placements are significantly lower for SFC families. In one study, they found that 15% of families that completed SFC re-entered foster care while 44% of families that did not complete the program re-entered. The biggest challenges for SFC programs are funding and recruitment of mentor families (McGhee, 2005).</w:t>
      </w:r>
    </w:p>
    <w:p w:rsidR="00D86A11" w:rsidRPr="004760EA" w:rsidRDefault="00D86A11" w:rsidP="00D86A11">
      <w:pPr>
        <w:pStyle w:val="Heading2"/>
        <w:rPr>
          <w:rFonts w:ascii="Perpetua" w:hAnsi="Perpetua"/>
        </w:rPr>
      </w:pPr>
      <w:r>
        <w:rPr>
          <w:rFonts w:ascii="Perpetua" w:hAnsi="Perpetua"/>
        </w:rPr>
        <w:t>References</w:t>
      </w:r>
    </w:p>
    <w:p w:rsidR="00D86A11" w:rsidRPr="00F47C57" w:rsidRDefault="00D86A11" w:rsidP="00D86A11">
      <w:pPr>
        <w:pStyle w:val="EndnoteText"/>
        <w:spacing w:after="120"/>
        <w:rPr>
          <w:rStyle w:val="Strong"/>
          <w:rFonts w:cs="Helvetica"/>
          <w:color w:val="000000"/>
          <w:sz w:val="22"/>
          <w:szCs w:val="22"/>
        </w:rPr>
      </w:pPr>
      <w:r w:rsidRPr="00F47C57">
        <w:rPr>
          <w:rFonts w:ascii="Perpetua" w:hAnsi="Perpetua" w:cs="Helvetica"/>
          <w:color w:val="212121"/>
          <w:sz w:val="22"/>
          <w:szCs w:val="22"/>
        </w:rPr>
        <w:t>Bronson, Saunders, Holt, &amp; Beck (2008),</w:t>
      </w:r>
      <w:r w:rsidRPr="00F47C57">
        <w:rPr>
          <w:rFonts w:ascii="Perpetua" w:hAnsi="Perpetua" w:cs="Helvetica"/>
          <w:b/>
          <w:color w:val="212121"/>
          <w:sz w:val="22"/>
          <w:szCs w:val="22"/>
        </w:rPr>
        <w:t xml:space="preserve"> </w:t>
      </w:r>
      <w:hyperlink r:id="rId82" w:tgtFrame="_blank" w:history="1">
        <w:r w:rsidRPr="00F47C57">
          <w:rPr>
            <w:rStyle w:val="Strong"/>
            <w:rFonts w:cs="Helvetica"/>
            <w:b w:val="0"/>
            <w:color w:val="000000"/>
            <w:sz w:val="22"/>
            <w:szCs w:val="22"/>
          </w:rPr>
          <w:t>A Systematic Review of Strategies to Promote Successful Reunification and to Reduce Re-Entry to Care for Abused, Neglected, and Unruly Children: Final Report</w:t>
        </w:r>
      </w:hyperlink>
    </w:p>
    <w:p w:rsidR="00D86A11" w:rsidRPr="00F47C57" w:rsidRDefault="00D86A11" w:rsidP="00D86A11">
      <w:pPr>
        <w:pStyle w:val="EndnoteText"/>
        <w:spacing w:after="120"/>
        <w:rPr>
          <w:rFonts w:ascii="Perpetua" w:hAnsi="Perpetua"/>
          <w:color w:val="212121"/>
          <w:sz w:val="22"/>
          <w:szCs w:val="22"/>
        </w:rPr>
      </w:pPr>
      <w:r w:rsidRPr="00F47C57">
        <w:rPr>
          <w:rFonts w:ascii="Perpetua" w:hAnsi="Perpetua" w:cs="Helvetica"/>
          <w:color w:val="212121"/>
          <w:sz w:val="22"/>
          <w:szCs w:val="22"/>
        </w:rPr>
        <w:t xml:space="preserve">Brook, J., &amp; McDonald, T. P. (2007). Evaluating the effects of comprehensive substance abuse intervention on successful reunification. </w:t>
      </w:r>
      <w:r w:rsidRPr="00F47C57">
        <w:rPr>
          <w:rFonts w:ascii="Perpetua" w:hAnsi="Perpetua" w:cs="Helvetica"/>
          <w:i/>
          <w:color w:val="212121"/>
          <w:sz w:val="22"/>
          <w:szCs w:val="22"/>
        </w:rPr>
        <w:t>Research on Social Work Practice.</w:t>
      </w:r>
    </w:p>
    <w:p w:rsidR="00D86A11" w:rsidRPr="00F47C57" w:rsidRDefault="00D86A11" w:rsidP="00D86A11">
      <w:pPr>
        <w:pStyle w:val="EndnoteText"/>
        <w:spacing w:after="120"/>
        <w:rPr>
          <w:rFonts w:ascii="Perpetua" w:hAnsi="Perpetua"/>
          <w:sz w:val="22"/>
          <w:szCs w:val="22"/>
        </w:rPr>
      </w:pPr>
      <w:r w:rsidRPr="00F47C57">
        <w:rPr>
          <w:rFonts w:ascii="Perpetua" w:hAnsi="Perpetua"/>
          <w:sz w:val="22"/>
          <w:szCs w:val="22"/>
        </w:rPr>
        <w:t xml:space="preserve">California Department of Social Services (CDSS), Outcomes and Accountability System (OAS) </w:t>
      </w:r>
      <w:hyperlink r:id="rId83" w:history="1">
        <w:r w:rsidRPr="00F47C57">
          <w:rPr>
            <w:rStyle w:val="Hyperlink"/>
            <w:rFonts w:ascii="Perpetua" w:hAnsi="Perpetua"/>
            <w:sz w:val="22"/>
            <w:szCs w:val="22"/>
          </w:rPr>
          <w:t>http://www.childsworld.ca.gov/PG1356.htm</w:t>
        </w:r>
      </w:hyperlink>
      <w:hyperlink r:id="rId84" w:history="1">
        <w:r w:rsidRPr="00F47C57">
          <w:rPr>
            <w:rStyle w:val="Hyperlink"/>
            <w:rFonts w:ascii="Perpetua" w:hAnsi="Perpetua"/>
            <w:sz w:val="22"/>
            <w:szCs w:val="22"/>
          </w:rPr>
          <w:t>http://www.childsworld.ca.gov/PG1356.htm</w:t>
        </w:r>
      </w:hyperlink>
      <w:hyperlink r:id="rId85" w:history="1">
        <w:r w:rsidRPr="00F47C57">
          <w:rPr>
            <w:rStyle w:val="Hyperlink"/>
            <w:rFonts w:ascii="Perpetua" w:hAnsi="Perpetua"/>
            <w:sz w:val="22"/>
            <w:szCs w:val="22"/>
          </w:rPr>
          <w:t>http://www.childsworld.ca.gov/PG1356.htm</w:t>
        </w:r>
      </w:hyperlink>
    </w:p>
    <w:p w:rsidR="00D86A11" w:rsidRPr="00F47C57" w:rsidRDefault="00D86A11" w:rsidP="00D86A11">
      <w:pPr>
        <w:rPr>
          <w:szCs w:val="22"/>
        </w:rPr>
      </w:pPr>
      <w:r w:rsidRPr="00F47C57">
        <w:rPr>
          <w:szCs w:val="22"/>
        </w:rPr>
        <w:t xml:space="preserve">Carnochan, S., Rizik-Baer, D., &amp; Austin, M. Preventing Re-Entry to Foster Care (2013). Bay Area Social Service Consortium, </w:t>
      </w:r>
      <w:r w:rsidRPr="00F47C57">
        <w:rPr>
          <w:i/>
          <w:szCs w:val="22"/>
        </w:rPr>
        <w:t>Journal of Evidence-Based Social Work</w:t>
      </w:r>
      <w:r w:rsidRPr="00F47C57">
        <w:rPr>
          <w:szCs w:val="22"/>
        </w:rPr>
        <w:t>. 10(3), 196-209</w:t>
      </w:r>
    </w:p>
    <w:p w:rsidR="00D86A11" w:rsidRPr="00F47C57" w:rsidRDefault="00D86A11" w:rsidP="00D86A11">
      <w:pPr>
        <w:rPr>
          <w:rStyle w:val="Hyperlink"/>
          <w:rFonts w:ascii="Perpetua" w:hAnsi="Perpetua"/>
          <w:color w:val="auto"/>
          <w:szCs w:val="22"/>
        </w:rPr>
      </w:pPr>
      <w:r w:rsidRPr="00F47C57">
        <w:rPr>
          <w:szCs w:val="22"/>
        </w:rPr>
        <w:t>Casey Family Programs (2013). Re-Entries into Care.</w:t>
      </w:r>
      <w:r w:rsidRPr="00F47C57">
        <w:rPr>
          <w:i/>
          <w:szCs w:val="22"/>
        </w:rPr>
        <w:t xml:space="preserve"> Casey Practice Digest.</w:t>
      </w:r>
      <w:r w:rsidRPr="00F47C57">
        <w:rPr>
          <w:szCs w:val="22"/>
        </w:rPr>
        <w:t xml:space="preserve"> Issue 3. </w:t>
      </w:r>
      <w:hyperlink r:id="rId86" w:history="1">
        <w:r w:rsidRPr="00F47C57">
          <w:rPr>
            <w:rStyle w:val="Hyperlink"/>
            <w:rFonts w:ascii="Perpetua" w:hAnsi="Perpetua"/>
            <w:szCs w:val="22"/>
          </w:rPr>
          <w:t>http://centerforchildwelfare.fmhi.usf.edu/kb/cirres/CaseyPracticeDigest3-ReEntries.pdf</w:t>
        </w:r>
      </w:hyperlink>
      <w:hyperlink r:id="rId87" w:history="1">
        <w:r w:rsidRPr="00F47C57">
          <w:rPr>
            <w:rStyle w:val="Hyperlink"/>
            <w:rFonts w:ascii="Perpetua" w:hAnsi="Perpetua"/>
            <w:szCs w:val="22"/>
          </w:rPr>
          <w:t>http://centerforchildwelfare.fmhi.usf.edu/kb/cirres/CaseyPracticeDigest3-ReEntries.pdf</w:t>
        </w:r>
      </w:hyperlink>
      <w:hyperlink r:id="rId88" w:history="1">
        <w:r w:rsidRPr="00F47C57">
          <w:rPr>
            <w:rStyle w:val="Hyperlink"/>
            <w:rFonts w:ascii="Perpetua" w:hAnsi="Perpetua"/>
            <w:szCs w:val="22"/>
          </w:rPr>
          <w:t>http://centerforchildwelfare.fmhi.usf.edu/kb/cirres/CaseyPracticeDigest3-ReEntries.pdf</w:t>
        </w:r>
      </w:hyperlink>
    </w:p>
    <w:p w:rsidR="00D86A11" w:rsidRPr="00F47C57" w:rsidRDefault="00D86A11" w:rsidP="00D86A11">
      <w:pPr>
        <w:spacing w:after="200"/>
        <w:rPr>
          <w:szCs w:val="22"/>
        </w:rPr>
      </w:pPr>
      <w:r w:rsidRPr="00F47C57">
        <w:rPr>
          <w:szCs w:val="22"/>
        </w:rPr>
        <w:t xml:space="preserve">Center for the Study of Social Policy. Child WellBeing Project: Catawba County Social Services. </w:t>
      </w:r>
      <w:r w:rsidRPr="00F47C57">
        <w:rPr>
          <w:i/>
          <w:szCs w:val="22"/>
        </w:rPr>
        <w:t>Youth Thrive Brief.</w:t>
      </w:r>
      <w:r w:rsidRPr="00F47C57">
        <w:rPr>
          <w:szCs w:val="22"/>
        </w:rPr>
        <w:t xml:space="preserve">  </w:t>
      </w:r>
      <w:hyperlink r:id="rId89" w:history="1">
        <w:r w:rsidRPr="00F47C57">
          <w:rPr>
            <w:rStyle w:val="Hyperlink"/>
            <w:rFonts w:ascii="Perpetua" w:hAnsi="Perpetua"/>
            <w:szCs w:val="22"/>
          </w:rPr>
          <w:t>http://www.cssp.org/reform/child-welfare/youth-thrive/ei-profiles/Child-Wellbeing-Profile-2-27.pdf</w:t>
        </w:r>
      </w:hyperlink>
      <w:hyperlink r:id="rId90" w:history="1">
        <w:r w:rsidRPr="00F47C57">
          <w:rPr>
            <w:rStyle w:val="Hyperlink"/>
            <w:rFonts w:ascii="Perpetua" w:hAnsi="Perpetua"/>
            <w:szCs w:val="22"/>
          </w:rPr>
          <w:t>http://www.cssp.org/reform/child-welfare/youth-thrive/ei-profiles/Child-Wellbeing-Profile-2-27.pdf</w:t>
        </w:r>
      </w:hyperlink>
    </w:p>
    <w:p w:rsidR="00D86A11" w:rsidRPr="00F47C57" w:rsidRDefault="00D86A11" w:rsidP="00D86A11">
      <w:pPr>
        <w:rPr>
          <w:rFonts w:cs="Helvetica"/>
          <w:szCs w:val="22"/>
        </w:rPr>
      </w:pPr>
      <w:r w:rsidRPr="00F47C57">
        <w:rPr>
          <w:rStyle w:val="Hyperlink"/>
          <w:rFonts w:ascii="Perpetua" w:hAnsi="Perpetua"/>
          <w:color w:val="auto"/>
          <w:szCs w:val="22"/>
        </w:rPr>
        <w:lastRenderedPageBreak/>
        <w:t xml:space="preserve">Child Welfare Information Gateway (February 2012). Supporting Reunification and Preventing Reentry Into Out-of-Home Care, </w:t>
      </w:r>
      <w:r w:rsidRPr="00F47C57">
        <w:rPr>
          <w:rStyle w:val="Hyperlink"/>
          <w:rFonts w:ascii="Perpetua" w:hAnsi="Perpetua"/>
          <w:i/>
          <w:color w:val="auto"/>
          <w:szCs w:val="22"/>
        </w:rPr>
        <w:t>Bulletin for Professionals.</w:t>
      </w:r>
      <w:r w:rsidRPr="00F47C57">
        <w:rPr>
          <w:rStyle w:val="Hyperlink"/>
          <w:rFonts w:ascii="Perpetua" w:hAnsi="Perpetua"/>
          <w:color w:val="auto"/>
          <w:szCs w:val="22"/>
        </w:rPr>
        <w:t xml:space="preserve"> </w:t>
      </w:r>
      <w:hyperlink r:id="rId91" w:history="1">
        <w:r w:rsidRPr="00F47C57">
          <w:rPr>
            <w:rStyle w:val="Hyperlink"/>
            <w:rFonts w:ascii="Perpetua" w:hAnsi="Perpetua"/>
            <w:szCs w:val="22"/>
          </w:rPr>
          <w:t>http://www.childwelfare.gov/pubPDFs/srpr.pdf</w:t>
        </w:r>
      </w:hyperlink>
      <w:hyperlink r:id="rId92" w:history="1">
        <w:r w:rsidRPr="00F47C57">
          <w:rPr>
            <w:rStyle w:val="Hyperlink"/>
            <w:rFonts w:ascii="Perpetua" w:hAnsi="Perpetua"/>
            <w:szCs w:val="22"/>
          </w:rPr>
          <w:t>http://www.childwelfare.gov/pubPDFs/srpr.pdf</w:t>
        </w:r>
      </w:hyperlink>
      <w:hyperlink r:id="rId93" w:history="1">
        <w:r w:rsidRPr="00F47C57">
          <w:rPr>
            <w:rStyle w:val="Hyperlink"/>
            <w:rFonts w:ascii="Perpetua" w:hAnsi="Perpetua"/>
            <w:szCs w:val="22"/>
          </w:rPr>
          <w:t>http://www.childwelfare.gov/pubPDFs/srpr.pdf</w:t>
        </w:r>
      </w:hyperlink>
    </w:p>
    <w:p w:rsidR="00D86A11" w:rsidRPr="00F47C57" w:rsidRDefault="00D86A11" w:rsidP="00D86A11">
      <w:pPr>
        <w:rPr>
          <w:rFonts w:cs="Helvetica"/>
          <w:szCs w:val="22"/>
        </w:rPr>
      </w:pPr>
      <w:r w:rsidRPr="00F47C57">
        <w:rPr>
          <w:szCs w:val="22"/>
        </w:rPr>
        <w:t xml:space="preserve">Hatton, H., &amp; Brooks, S. (2008). Preventing Re-entry into the Child Welfare System: A Literature Review of Promising Practices. </w:t>
      </w:r>
      <w:hyperlink r:id="rId94" w:history="1">
        <w:r w:rsidRPr="00F47C57">
          <w:rPr>
            <w:rStyle w:val="Hyperlink"/>
            <w:rFonts w:ascii="Perpetua" w:hAnsi="Perpetua"/>
            <w:szCs w:val="22"/>
          </w:rPr>
          <w:t>http://www.childsworld.ca.gov/res/pdf/PreventingRe-entry.pdf</w:t>
        </w:r>
      </w:hyperlink>
      <w:hyperlink r:id="rId95" w:history="1">
        <w:r w:rsidRPr="00F47C57">
          <w:rPr>
            <w:rStyle w:val="Hyperlink"/>
            <w:rFonts w:ascii="Perpetua" w:hAnsi="Perpetua"/>
            <w:szCs w:val="22"/>
          </w:rPr>
          <w:t>http://www.childsworld.ca.gov/res/pdf/PreventingRe-entry.pdf</w:t>
        </w:r>
      </w:hyperlink>
      <w:hyperlink r:id="rId96" w:history="1">
        <w:r w:rsidRPr="00F47C57">
          <w:rPr>
            <w:rStyle w:val="Hyperlink"/>
            <w:rFonts w:ascii="Perpetua" w:hAnsi="Perpetua"/>
            <w:szCs w:val="22"/>
          </w:rPr>
          <w:t>http://www.childsworld.ca.gov/res/pdf/PreventingRe-entry.pdf</w:t>
        </w:r>
      </w:hyperlink>
    </w:p>
    <w:p w:rsidR="00D86A11" w:rsidRPr="00F47C57" w:rsidRDefault="00D86A11" w:rsidP="00D86A11">
      <w:pPr>
        <w:rPr>
          <w:rFonts w:cs="Helvetica"/>
          <w:szCs w:val="22"/>
        </w:rPr>
      </w:pPr>
      <w:r w:rsidRPr="00F47C57">
        <w:rPr>
          <w:rStyle w:val="Hyperlink"/>
          <w:rFonts w:ascii="Perpetua" w:hAnsi="Perpetua"/>
          <w:color w:val="auto"/>
          <w:szCs w:val="22"/>
        </w:rPr>
        <w:t xml:space="preserve">Honomichl, R., </w:t>
      </w:r>
      <w:r w:rsidRPr="00F47C57">
        <w:rPr>
          <w:szCs w:val="22"/>
        </w:rPr>
        <w:t xml:space="preserve">Hatton, H., &amp; Brooks, S. (2009). </w:t>
      </w:r>
      <w:r w:rsidRPr="00F47C57">
        <w:rPr>
          <w:rStyle w:val="Hyperlink"/>
          <w:rFonts w:ascii="Perpetua" w:hAnsi="Perpetua"/>
          <w:color w:val="auto"/>
          <w:szCs w:val="22"/>
        </w:rPr>
        <w:t xml:space="preserve">Factors, Characteristics and Promising Practices Related to Reunification and Re-Entry: A Literature Review for the Peer Quality Case Review Process. </w:t>
      </w:r>
      <w:hyperlink r:id="rId97" w:history="1">
        <w:r w:rsidRPr="00F47C57">
          <w:rPr>
            <w:rStyle w:val="Hyperlink"/>
            <w:rFonts w:ascii="Perpetua" w:hAnsi="Perpetua"/>
            <w:szCs w:val="22"/>
          </w:rPr>
          <w:t>http://academy.extensiondlc.net/file.php/1/resources/LR-ReentryReunificaton.pdf</w:t>
        </w:r>
      </w:hyperlink>
      <w:hyperlink r:id="rId98" w:history="1">
        <w:r w:rsidRPr="00F47C57">
          <w:rPr>
            <w:rStyle w:val="Hyperlink"/>
            <w:rFonts w:ascii="Perpetua" w:hAnsi="Perpetua"/>
            <w:szCs w:val="22"/>
          </w:rPr>
          <w:t>http://academy.extensiondlc.net/file.php/1/resources/LR-ReentryReunificaton.pdf</w:t>
        </w:r>
      </w:hyperlink>
      <w:hyperlink r:id="rId99" w:history="1">
        <w:r w:rsidRPr="00F47C57">
          <w:rPr>
            <w:rStyle w:val="Hyperlink"/>
            <w:rFonts w:ascii="Perpetua" w:hAnsi="Perpetua"/>
            <w:szCs w:val="22"/>
          </w:rPr>
          <w:t>http://academy.extensiondlc.net/file.php/1/resources/LR-ReentryReunificaton.pdf</w:t>
        </w:r>
      </w:hyperlink>
    </w:p>
    <w:p w:rsidR="00D86A11" w:rsidRPr="00F47C57" w:rsidRDefault="00D86A11" w:rsidP="00D86A11">
      <w:pPr>
        <w:rPr>
          <w:rFonts w:cs="Helvetica"/>
          <w:szCs w:val="22"/>
        </w:rPr>
      </w:pPr>
      <w:r w:rsidRPr="00F47C57">
        <w:rPr>
          <w:rStyle w:val="Hyperlink"/>
          <w:rFonts w:ascii="Perpetua" w:hAnsi="Perpetua"/>
          <w:color w:val="auto"/>
          <w:szCs w:val="22"/>
        </w:rPr>
        <w:t xml:space="preserve">Honomichl, R., </w:t>
      </w:r>
      <w:r w:rsidRPr="00F47C57">
        <w:rPr>
          <w:szCs w:val="22"/>
        </w:rPr>
        <w:t xml:space="preserve">Brooks, S. &amp; Hatton, H. (2009). Issues and Challenges in Aftercare Services: A Literature Review </w:t>
      </w:r>
    </w:p>
    <w:p w:rsidR="00D86A11" w:rsidRPr="00F47C57" w:rsidRDefault="00D86A11" w:rsidP="00D86A11">
      <w:pPr>
        <w:rPr>
          <w:rStyle w:val="Hyperlink"/>
          <w:rFonts w:ascii="Perpetua" w:hAnsi="Perpetua" w:cs="Helvetica"/>
          <w:szCs w:val="22"/>
        </w:rPr>
      </w:pPr>
      <w:r w:rsidRPr="00F47C57">
        <w:rPr>
          <w:rFonts w:cs="Helvetica"/>
          <w:szCs w:val="22"/>
        </w:rPr>
        <w:t xml:space="preserve">Jones, A., &amp; LaLiberte, T. (2010). </w:t>
      </w:r>
      <w:r w:rsidRPr="00F47C57">
        <w:rPr>
          <w:rStyle w:val="Strong"/>
          <w:rFonts w:cs="Helvetica"/>
          <w:b w:val="0"/>
          <w:color w:val="auto"/>
          <w:szCs w:val="22"/>
        </w:rPr>
        <w:t>Re-entry to Foster Care Report. Hennepin-University Partnership (HUP) Child Well-Being.</w:t>
      </w:r>
      <w:r w:rsidRPr="00F47C57">
        <w:rPr>
          <w:rFonts w:cs="Helvetica"/>
          <w:b/>
          <w:szCs w:val="22"/>
        </w:rPr>
        <w:t xml:space="preserve"> </w:t>
      </w:r>
      <w:hyperlink r:id="rId100" w:history="1">
        <w:r w:rsidRPr="00F47C57">
          <w:rPr>
            <w:rStyle w:val="Hyperlink"/>
            <w:rFonts w:ascii="Perpetua" w:hAnsi="Perpetua" w:cs="Helvetica"/>
            <w:szCs w:val="22"/>
          </w:rPr>
          <w:t>http://cascw.umn.edu/wp-content/uploads/2014/02/Re-entry-Report_Feb-2010_Final_rev.pdf</w:t>
        </w:r>
      </w:hyperlink>
      <w:hyperlink r:id="rId101" w:history="1">
        <w:r w:rsidRPr="00F47C57">
          <w:rPr>
            <w:rStyle w:val="Hyperlink"/>
            <w:rFonts w:ascii="Perpetua" w:hAnsi="Perpetua" w:cs="Helvetica"/>
            <w:szCs w:val="22"/>
          </w:rPr>
          <w:t>http://cascw.umn.edu/wp-content/uploads/2014/02/Re-entry-Report_Feb-2010_Final_rev.pdf</w:t>
        </w:r>
      </w:hyperlink>
      <w:hyperlink r:id="rId102" w:history="1">
        <w:r w:rsidRPr="00F47C57">
          <w:rPr>
            <w:rStyle w:val="Hyperlink"/>
            <w:rFonts w:ascii="Perpetua" w:hAnsi="Perpetua" w:cs="Helvetica"/>
            <w:szCs w:val="22"/>
          </w:rPr>
          <w:t>http://cascw.umn.edu/wp-content/uploads/2014/02/Re-entry-Report_Feb-2010_Final_rev.pdf</w:t>
        </w:r>
      </w:hyperlink>
    </w:p>
    <w:p w:rsidR="00D86A11" w:rsidRPr="00F47C57" w:rsidRDefault="00D86A11" w:rsidP="00D86A11">
      <w:pPr>
        <w:rPr>
          <w:color w:val="212121"/>
          <w:szCs w:val="22"/>
        </w:rPr>
      </w:pPr>
      <w:r w:rsidRPr="00F47C57">
        <w:rPr>
          <w:szCs w:val="22"/>
        </w:rPr>
        <w:t xml:space="preserve">McGhee, E. (2005). Shared Family Care in Contra Costa County: An Opportunity for Change, Executive Summary. </w:t>
      </w:r>
      <w:hyperlink r:id="rId103" w:history="1">
        <w:r w:rsidRPr="00F47C57">
          <w:rPr>
            <w:rStyle w:val="Hyperlink"/>
            <w:rFonts w:ascii="Perpetua" w:hAnsi="Perpetua"/>
            <w:szCs w:val="22"/>
          </w:rPr>
          <w:t>http://cssr.berkeley.edu/bassc/cases/2005/McGhee.pdf</w:t>
        </w:r>
      </w:hyperlink>
      <w:hyperlink r:id="rId104" w:history="1">
        <w:r w:rsidRPr="00F47C57">
          <w:rPr>
            <w:rStyle w:val="Hyperlink"/>
            <w:rFonts w:ascii="Perpetua" w:hAnsi="Perpetua"/>
            <w:szCs w:val="22"/>
          </w:rPr>
          <w:t>http://cssr.berkeley.edu/bassc/cases/2005/McGhee.pdf</w:t>
        </w:r>
      </w:hyperlink>
      <w:hyperlink r:id="rId105" w:history="1">
        <w:r w:rsidRPr="00F47C57">
          <w:rPr>
            <w:rStyle w:val="Hyperlink"/>
            <w:rFonts w:ascii="Perpetua" w:hAnsi="Perpetua"/>
            <w:szCs w:val="22"/>
          </w:rPr>
          <w:t>http://cssr.berkeley.edu/bassc/cases/2005/McGhee.pdf</w:t>
        </w:r>
      </w:hyperlink>
    </w:p>
    <w:p w:rsidR="00D86A11" w:rsidRPr="00F47C57" w:rsidRDefault="00D86A11" w:rsidP="00D86A11">
      <w:pPr>
        <w:rPr>
          <w:rStyle w:val="Hyperlink"/>
          <w:rFonts w:ascii="Perpetua" w:hAnsi="Perpetua" w:cs="Helvetica"/>
          <w:noProof/>
          <w:szCs w:val="22"/>
        </w:rPr>
      </w:pPr>
      <w:r w:rsidRPr="00F47C57">
        <w:rPr>
          <w:rFonts w:cs="Helvetica"/>
          <w:color w:val="212121"/>
          <w:szCs w:val="22"/>
        </w:rPr>
        <w:t>Minnesota Department of Human Services (2013</w:t>
      </w:r>
      <w:r w:rsidRPr="00F47C57">
        <w:rPr>
          <w:rFonts w:cs="Helvetica"/>
          <w:color w:val="auto"/>
          <w:szCs w:val="22"/>
        </w:rPr>
        <w:t xml:space="preserve">). </w:t>
      </w:r>
      <w:r w:rsidRPr="00F47C57">
        <w:rPr>
          <w:rStyle w:val="Strong"/>
          <w:rFonts w:cs="Helvetica"/>
          <w:b w:val="0"/>
          <w:color w:val="auto"/>
          <w:szCs w:val="22"/>
        </w:rPr>
        <w:t>Minnesota Child Welfare Continuous Improvement Brief Examining Child Re-Entry into Out-of-Home Care</w:t>
      </w:r>
      <w:r w:rsidRPr="00F47C57">
        <w:rPr>
          <w:rStyle w:val="Strong"/>
          <w:rFonts w:cs="Helvetica"/>
          <w:b w:val="0"/>
          <w:szCs w:val="22"/>
        </w:rPr>
        <w:t xml:space="preserve"> </w:t>
      </w:r>
      <w:hyperlink r:id="rId106" w:history="1">
        <w:r w:rsidRPr="00F47C57">
          <w:rPr>
            <w:rStyle w:val="Hyperlink"/>
            <w:rFonts w:ascii="Perpetua" w:hAnsi="Perpetua" w:cs="Helvetica"/>
            <w:noProof/>
            <w:szCs w:val="22"/>
          </w:rPr>
          <w:t>https://edocs.dhs.state.mn.us/lfserver/Public/DHS-6637A-ENG</w:t>
        </w:r>
      </w:hyperlink>
      <w:hyperlink r:id="rId107" w:history="1">
        <w:r w:rsidRPr="00F47C57">
          <w:rPr>
            <w:rStyle w:val="Hyperlink"/>
            <w:rFonts w:ascii="Perpetua" w:hAnsi="Perpetua" w:cs="Helvetica"/>
            <w:noProof/>
            <w:szCs w:val="22"/>
          </w:rPr>
          <w:t>https://edocs.dhs.state.mn.us/lfserver/Public/DHS-6637A-ENG</w:t>
        </w:r>
      </w:hyperlink>
      <w:hyperlink r:id="rId108" w:history="1">
        <w:r w:rsidRPr="00F47C57">
          <w:rPr>
            <w:rStyle w:val="Hyperlink"/>
            <w:rFonts w:ascii="Perpetua" w:hAnsi="Perpetua" w:cs="Helvetica"/>
            <w:noProof/>
            <w:szCs w:val="22"/>
          </w:rPr>
          <w:t>https://edocs.dhs.state.mn.us/lfserver/Public/DHS-6637A-ENG</w:t>
        </w:r>
      </w:hyperlink>
    </w:p>
    <w:p w:rsidR="00D86A11" w:rsidRPr="00F47C57" w:rsidRDefault="00D86A11" w:rsidP="00D86A11">
      <w:pPr>
        <w:rPr>
          <w:szCs w:val="22"/>
        </w:rPr>
      </w:pPr>
      <w:r w:rsidRPr="00F47C57">
        <w:rPr>
          <w:rFonts w:cs="Helvetica"/>
          <w:color w:val="212121"/>
          <w:szCs w:val="22"/>
          <w:shd w:val="clear" w:color="auto" w:fill="FFFFFF"/>
        </w:rPr>
        <w:t xml:space="preserve">National Resource Center for In-Home Services, A Service of the Children’s Bureau (July 2014). In-Home Services and Evidence-Based Practice Registries. </w:t>
      </w:r>
      <w:hyperlink r:id="rId109" w:history="1">
        <w:r w:rsidRPr="00F47C57">
          <w:rPr>
            <w:rStyle w:val="Hyperlink"/>
            <w:rFonts w:ascii="Perpetua" w:hAnsi="Perpetua" w:cs="Helvetica"/>
            <w:szCs w:val="22"/>
            <w:shd w:val="clear" w:color="auto" w:fill="FFFFFF"/>
          </w:rPr>
          <w:t>http://www.uiowa.edu/nrcihs/files/nrcihs/files/In-Home%20Services%20and%20EBP%20registries.pdf</w:t>
        </w:r>
      </w:hyperlink>
      <w:hyperlink r:id="rId110" w:history="1">
        <w:r w:rsidRPr="00F47C57">
          <w:rPr>
            <w:rStyle w:val="Hyperlink"/>
            <w:rFonts w:ascii="Perpetua" w:hAnsi="Perpetua" w:cs="Helvetica"/>
            <w:szCs w:val="22"/>
            <w:shd w:val="clear" w:color="auto" w:fill="FFFFFF"/>
          </w:rPr>
          <w:t>http://www.uiowa.edu/nrcihs/files/nrcihs/files/In-Home%20Services%20and%20EBP%20registries.pdf</w:t>
        </w:r>
      </w:hyperlink>
      <w:hyperlink r:id="rId111" w:history="1">
        <w:r w:rsidRPr="00F47C57">
          <w:rPr>
            <w:rStyle w:val="Hyperlink"/>
            <w:rFonts w:ascii="Perpetua" w:hAnsi="Perpetua" w:cs="Helvetica"/>
            <w:szCs w:val="22"/>
            <w:shd w:val="clear" w:color="auto" w:fill="FFFFFF"/>
          </w:rPr>
          <w:t>http://www.uiowa.edu/nrcihs/files/nrcihs/files/In-Home%20Services%20and%20EBP%20registries.pdf</w:t>
        </w:r>
      </w:hyperlink>
    </w:p>
    <w:p w:rsidR="00D86A11" w:rsidRPr="000A648C" w:rsidRDefault="00D86A11" w:rsidP="00D86A11">
      <w:pPr>
        <w:rPr>
          <w:rStyle w:val="Hyperlink"/>
          <w:rFonts w:ascii="Perpetua" w:hAnsi="Perpetua"/>
          <w:szCs w:val="22"/>
        </w:rPr>
      </w:pPr>
      <w:r w:rsidRPr="00F47C57">
        <w:rPr>
          <w:szCs w:val="22"/>
        </w:rPr>
        <w:t xml:space="preserve">Sphere Institute (2006). Factors Affecting Reentry into Foster Care in San Mateo County. </w:t>
      </w:r>
      <w:hyperlink r:id="rId112" w:history="1">
        <w:r w:rsidRPr="000A648C">
          <w:rPr>
            <w:rStyle w:val="Hyperlink"/>
            <w:rFonts w:ascii="Perpetua" w:hAnsi="Perpetua"/>
            <w:szCs w:val="22"/>
          </w:rPr>
          <w:t>http://www.sphereinstitute.org/publications/Reentry_Final.pdf</w:t>
        </w:r>
      </w:hyperlink>
      <w:hyperlink r:id="rId113" w:history="1">
        <w:r w:rsidRPr="000A648C">
          <w:rPr>
            <w:rStyle w:val="Hyperlink"/>
            <w:rFonts w:ascii="Perpetua" w:hAnsi="Perpetua"/>
            <w:szCs w:val="22"/>
          </w:rPr>
          <w:t>http://www.sphereinstitute.org/publications/Reentry_Final.pdf</w:t>
        </w:r>
      </w:hyperlink>
    </w:p>
    <w:p w:rsidR="00D86A11" w:rsidRPr="00F47C57" w:rsidRDefault="00D86A11" w:rsidP="00D86A11">
      <w:pPr>
        <w:rPr>
          <w:rFonts w:cs="Helvetica"/>
          <w:color w:val="212121"/>
          <w:szCs w:val="22"/>
          <w:shd w:val="clear" w:color="auto" w:fill="FFFFFF"/>
        </w:rPr>
      </w:pPr>
      <w:r w:rsidRPr="000A648C">
        <w:rPr>
          <w:rFonts w:cs="Helvetica"/>
          <w:color w:val="212121"/>
          <w:szCs w:val="22"/>
          <w:shd w:val="clear" w:color="auto" w:fill="FFFFFF"/>
        </w:rPr>
        <w:t xml:space="preserve">Wells, K., &amp; Guo, S. (1999). </w:t>
      </w:r>
      <w:r w:rsidRPr="00F47C57">
        <w:rPr>
          <w:rFonts w:cs="Helvetica"/>
          <w:color w:val="212121"/>
          <w:szCs w:val="22"/>
          <w:shd w:val="clear" w:color="auto" w:fill="FFFFFF"/>
        </w:rPr>
        <w:t xml:space="preserve">Reunification and reentry of foster children. </w:t>
      </w:r>
      <w:r w:rsidRPr="00F47C57">
        <w:rPr>
          <w:rFonts w:cs="Helvetica"/>
          <w:i/>
          <w:color w:val="212121"/>
          <w:szCs w:val="22"/>
          <w:shd w:val="clear" w:color="auto" w:fill="FFFFFF"/>
        </w:rPr>
        <w:t>Children and Youth Services Review</w:t>
      </w:r>
      <w:r w:rsidRPr="00F47C57">
        <w:rPr>
          <w:rFonts w:cs="Helvetica"/>
          <w:color w:val="212121"/>
          <w:szCs w:val="22"/>
          <w:shd w:val="clear" w:color="auto" w:fill="FFFFFF"/>
        </w:rPr>
        <w:t>,</w:t>
      </w:r>
      <w:r w:rsidRPr="00F47C57">
        <w:rPr>
          <w:rFonts w:cs="Helvetica"/>
          <w:color w:val="212121"/>
          <w:szCs w:val="22"/>
        </w:rPr>
        <w:t> </w:t>
      </w:r>
      <w:r w:rsidRPr="00F47C57">
        <w:rPr>
          <w:rFonts w:cs="Helvetica"/>
          <w:color w:val="212121"/>
          <w:szCs w:val="22"/>
          <w:shd w:val="clear" w:color="auto" w:fill="FFFFFF"/>
        </w:rPr>
        <w:t>21(4), 273-294.</w:t>
      </w:r>
    </w:p>
    <w:p w:rsidR="00D86A11" w:rsidRDefault="00D86A11" w:rsidP="00D86A11"/>
    <w:p w:rsidR="00D86A11" w:rsidRDefault="00D86A11" w:rsidP="00D86A11"/>
    <w:p w:rsidR="00D86A11" w:rsidRDefault="00D86A11" w:rsidP="00D86A11">
      <w:pPr>
        <w:pStyle w:val="Title"/>
        <w:rPr>
          <w:rFonts w:ascii="Perpetua" w:hAnsi="Perpetua"/>
          <w:b w:val="0"/>
          <w:sz w:val="52"/>
          <w:szCs w:val="52"/>
        </w:rPr>
      </w:pPr>
      <w:r>
        <w:rPr>
          <w:b w:val="0"/>
          <w:smallCaps w:val="0"/>
        </w:rPr>
        <w:br w:type="page"/>
      </w:r>
      <w:r>
        <w:rPr>
          <w:rFonts w:ascii="Perpetua" w:hAnsi="Perpetua"/>
          <w:sz w:val="52"/>
          <w:szCs w:val="52"/>
        </w:rPr>
        <w:lastRenderedPageBreak/>
        <w:t xml:space="preserve">Literature Review: </w:t>
      </w:r>
    </w:p>
    <w:p w:rsidR="00D86A11" w:rsidRDefault="00D86A11" w:rsidP="00D86A11">
      <w:pPr>
        <w:pStyle w:val="Title"/>
        <w:rPr>
          <w:rFonts w:ascii="Perpetua" w:hAnsi="Perpetua"/>
          <w:b w:val="0"/>
          <w:sz w:val="52"/>
          <w:szCs w:val="52"/>
        </w:rPr>
      </w:pPr>
      <w:r>
        <w:rPr>
          <w:rFonts w:ascii="Perpetua" w:hAnsi="Perpetua"/>
          <w:sz w:val="52"/>
          <w:szCs w:val="52"/>
        </w:rPr>
        <w:t xml:space="preserve">PERMANENCY FOR CHILDREN IN </w:t>
      </w:r>
    </w:p>
    <w:p w:rsidR="00D86A11" w:rsidRDefault="00D86A11" w:rsidP="00D86A11">
      <w:pPr>
        <w:pStyle w:val="Title"/>
        <w:rPr>
          <w:rFonts w:ascii="Perpetua" w:hAnsi="Perpetua"/>
          <w:b w:val="0"/>
          <w:sz w:val="52"/>
          <w:szCs w:val="52"/>
        </w:rPr>
      </w:pPr>
      <w:r>
        <w:rPr>
          <w:rFonts w:ascii="Perpetua" w:hAnsi="Perpetua"/>
          <w:sz w:val="52"/>
          <w:szCs w:val="52"/>
        </w:rPr>
        <w:t>the Child Welfare System</w:t>
      </w:r>
    </w:p>
    <w:p w:rsidR="00D86A11" w:rsidRPr="004760EA" w:rsidRDefault="00D86A11" w:rsidP="00D86A11">
      <w:pPr>
        <w:pStyle w:val="Heading2"/>
        <w:rPr>
          <w:rFonts w:ascii="Perpetua" w:hAnsi="Perpetua"/>
        </w:rPr>
      </w:pPr>
      <w:r>
        <w:rPr>
          <w:rFonts w:ascii="Perpetua" w:hAnsi="Perpetua"/>
        </w:rPr>
        <w:t>Purpose of this Review</w:t>
      </w:r>
    </w:p>
    <w:p w:rsidR="00D86A11" w:rsidRDefault="00D86A11" w:rsidP="00D86A11">
      <w:r>
        <w:t xml:space="preserve">Every five years, the County of San Diego is required to conduct a County Self-Assessment (CSA) as part of the California Child and Family Services Review process (C-CFSR). To enrich and support the CSA analysis, counties are required to review and discuss existing research literature in the CSA report. Several helpful literature reviews are available on the CDSS Outcomes and Accountability website, but they were all conducted at least seven years ago. The purpose of this review is to summarize the findings of the previous literature reviews on permanency and incorporate findings from more recent research. </w:t>
      </w:r>
    </w:p>
    <w:p w:rsidR="00D86A11" w:rsidRDefault="00D86A11" w:rsidP="00D86A11">
      <w:pPr>
        <w:pStyle w:val="Heading2"/>
        <w:rPr>
          <w:rFonts w:ascii="Perpetua" w:hAnsi="Perpetua"/>
          <w:b w:val="0"/>
        </w:rPr>
      </w:pPr>
      <w:r>
        <w:rPr>
          <w:rFonts w:ascii="Perpetua" w:hAnsi="Perpetua"/>
        </w:rPr>
        <w:t>Findings</w:t>
      </w:r>
    </w:p>
    <w:p w:rsidR="00D86A11" w:rsidRDefault="00D86A11" w:rsidP="00D86A11">
      <w:r>
        <w:t xml:space="preserve">In 2015, new and revised federal CFSR outcome measures were implemented including five permanency measures. In the current CSA, the County of San Diego Child Welfare Services is focusing on </w:t>
      </w:r>
      <w:r>
        <w:rPr>
          <w:i/>
        </w:rPr>
        <w:t>Measure P1, the percentage of children who entered foster care during the year and were discharged to permanency (reunification, adoption or guardianship) within 12 months.</w:t>
      </w:r>
      <w:r>
        <w:t xml:space="preserve"> Most of the research literature on permanency focuses on permanency through reunification but with varying timelines. Therefore, it is assumed for the purposes of this literature review, that the risk factors, protective factors, and promising practices that have been found to be relevant in the reunification literature, also impact the subset of children defined in the federal measure. </w:t>
      </w:r>
    </w:p>
    <w:p w:rsidR="00D86A11" w:rsidRDefault="00D86A11" w:rsidP="00D86A11">
      <w:r>
        <w:t xml:space="preserve">Findings from the research literature have been organized into four sections: Child Factors, Family Factors, Practice/System Factors, and Best &amp; Promising Practices. The cited articles in the following tables were identified in the published literature reviews and articles that are listed in the References section of this report. </w:t>
      </w:r>
    </w:p>
    <w:p w:rsidR="00D86A11" w:rsidRDefault="00D86A11" w:rsidP="00D86A11">
      <w:pPr>
        <w:pStyle w:val="Heading2"/>
        <w:rPr>
          <w:rFonts w:ascii="Perpetua" w:hAnsi="Perpetua"/>
        </w:rPr>
      </w:pPr>
      <w:r>
        <w:rPr>
          <w:rFonts w:ascii="Perpetua" w:hAnsi="Perpetua"/>
        </w:rPr>
        <w:t>Child Factors</w:t>
      </w:r>
    </w:p>
    <w:p w:rsidR="00D86A11" w:rsidRDefault="00D86A11" w:rsidP="00D86A11">
      <w:r>
        <w:t>Several child characteristics have been associated in the literature with a reduced likelihood of reunification (permanency). However, most of the findings are based on correlational studies and not experimental studies. Minority children often remain in out-of-home care longer as do children under the age of two and teens. Children removed due to behavioral problems are less likely to reunify than those removed due to neglect. In addition, several studies have demonstrated that children with developmental disabilities are less likely to leave foster care. The following table provides a list of the child characteristics related to permanency identified in multiple research studies along with a list of the relevant articles cited in the publications reviewed for this report.</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5"/>
        <w:gridCol w:w="4950"/>
      </w:tblGrid>
      <w:tr w:rsidR="00D86A11">
        <w:trPr>
          <w:cantSplit/>
          <w:tblHeader/>
        </w:trPr>
        <w:tc>
          <w:tcPr>
            <w:tcW w:w="440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rsidP="00D86A11">
            <w:pPr>
              <w:rPr>
                <w:rFonts w:cs="Perpetua"/>
                <w:b/>
                <w:sz w:val="20"/>
              </w:rPr>
            </w:pPr>
            <w:r>
              <w:rPr>
                <w:rFonts w:cs="Perpetua"/>
                <w:b/>
                <w:sz w:val="20"/>
              </w:rPr>
              <w:t xml:space="preserve">Child Factors </w:t>
            </w:r>
          </w:p>
          <w:p w:rsidR="00D86A11" w:rsidRDefault="00D86A11" w:rsidP="00D86A11">
            <w:pPr>
              <w:rPr>
                <w:rFonts w:cs="Perpetua"/>
                <w:b/>
                <w:sz w:val="20"/>
              </w:rPr>
            </w:pPr>
            <w:r>
              <w:rPr>
                <w:rFonts w:cs="Perpetua"/>
                <w:b/>
                <w:sz w:val="20"/>
              </w:rPr>
              <w:t>Associated with Permanency</w:t>
            </w:r>
          </w:p>
        </w:tc>
        <w:tc>
          <w:tcPr>
            <w:tcW w:w="4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rsidP="00D86A11">
            <w:pPr>
              <w:rPr>
                <w:rFonts w:cs="Perpetua"/>
                <w:b/>
                <w:sz w:val="20"/>
              </w:rPr>
            </w:pPr>
            <w:r>
              <w:rPr>
                <w:rFonts w:cs="Perpetua"/>
                <w:b/>
                <w:sz w:val="20"/>
              </w:rPr>
              <w:t>Cited Articles</w:t>
            </w:r>
          </w:p>
        </w:tc>
      </w:tr>
      <w:tr w:rsidR="00D86A11">
        <w:trPr>
          <w:trHeight w:val="1484"/>
        </w:trPr>
        <w:tc>
          <w:tcPr>
            <w:tcW w:w="440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1. Race/ethnicity – African-American children often remain in care longer, are more likely to re-enter care and in some studies were less likely to reunify.</w:t>
            </w:r>
          </w:p>
        </w:tc>
        <w:tc>
          <w:tcPr>
            <w:tcW w:w="4950" w:type="dxa"/>
            <w:tcBorders>
              <w:top w:val="single" w:sz="4" w:space="0" w:color="000000"/>
              <w:left w:val="single" w:sz="4" w:space="0" w:color="000000"/>
              <w:bottom w:val="single" w:sz="4" w:space="0" w:color="000000"/>
              <w:right w:val="single" w:sz="4" w:space="0" w:color="000000"/>
            </w:tcBorders>
          </w:tcPr>
          <w:p w:rsidR="00D86A11" w:rsidRDefault="00D86A11">
            <w:pPr>
              <w:autoSpaceDE w:val="0"/>
              <w:autoSpaceDN w:val="0"/>
              <w:adjustRightInd w:val="0"/>
              <w:rPr>
                <w:rFonts w:cs="Arial"/>
                <w:sz w:val="20"/>
              </w:rPr>
            </w:pPr>
            <w:r>
              <w:rPr>
                <w:rFonts w:cs="Arial"/>
                <w:sz w:val="20"/>
              </w:rPr>
              <w:t>Albers, Reilly,&amp; Rittner (1993); Connell, Katz, Saunders &amp; Tebes (2006); Yampolskaya, Kershaw &amp; Banks (2006);</w:t>
            </w:r>
          </w:p>
          <w:p w:rsidR="00D86A11" w:rsidRDefault="00D86A11">
            <w:pPr>
              <w:autoSpaceDE w:val="0"/>
              <w:autoSpaceDN w:val="0"/>
              <w:adjustRightInd w:val="0"/>
              <w:rPr>
                <w:rFonts w:cs="Perpetua"/>
                <w:sz w:val="20"/>
              </w:rPr>
            </w:pPr>
            <w:r>
              <w:rPr>
                <w:rFonts w:cs="Arial"/>
                <w:sz w:val="20"/>
              </w:rPr>
              <w:t>Shaw (2006); Wells &amp; Guo (1999); Grogan-Kaylor (2001); Terling (1999); Jones (1998); Webster, Schlonsky, Shaw &amp; Brookhart (2005); Harris &amp; Courtney (2003)</w:t>
            </w:r>
          </w:p>
        </w:tc>
      </w:tr>
      <w:tr w:rsidR="00D86A11">
        <w:tc>
          <w:tcPr>
            <w:tcW w:w="440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lastRenderedPageBreak/>
              <w:t>2. Age – children under the age of 2 and teens often remain in care longer, are less likely to reunify (particularly the younger children) and are more likely to re-enter care.</w:t>
            </w:r>
          </w:p>
        </w:tc>
        <w:tc>
          <w:tcPr>
            <w:tcW w:w="4950"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McDonald, Bryson, Poertner (2006); Epstein, Jayanthi, Dennis, et al (1998); Wulczyn (1991); Fuller (2005); Miller (2004); Festinger (1996); Marsh, Ryan, Choi &amp; Testa (2006); Connell, Katz, Saunders &amp; Tebes (2006); Fuller,</w:t>
            </w:r>
          </w:p>
          <w:p w:rsidR="00D86A11" w:rsidRDefault="00D86A11">
            <w:pPr>
              <w:rPr>
                <w:rFonts w:cs="Perpetua"/>
                <w:sz w:val="20"/>
              </w:rPr>
            </w:pPr>
            <w:r>
              <w:rPr>
                <w:rFonts w:cs="Perpetua"/>
                <w:sz w:val="20"/>
              </w:rPr>
              <w:t>Wells, &amp; Cotton (2001); Yampolskaya, Kershaw &amp; Banks (2006); Block &amp; Libowitz (1983); Shaw (2006); Wells &amp;</w:t>
            </w:r>
          </w:p>
          <w:p w:rsidR="00D86A11" w:rsidRDefault="00D86A11">
            <w:pPr>
              <w:rPr>
                <w:rFonts w:cs="Perpetua"/>
                <w:sz w:val="20"/>
              </w:rPr>
            </w:pPr>
            <w:r>
              <w:rPr>
                <w:rFonts w:cs="Perpetua"/>
                <w:sz w:val="20"/>
              </w:rPr>
              <w:t>Guo (1999); Grogan-Kaylor (2001); Webster, Schlonsky, Shaw &amp; Brookhart (2005) Courtney (1995); Farmer (1996);</w:t>
            </w:r>
          </w:p>
          <w:p w:rsidR="00D86A11" w:rsidRDefault="00D86A11">
            <w:pPr>
              <w:rPr>
                <w:rFonts w:cs="Perpetua"/>
                <w:sz w:val="20"/>
              </w:rPr>
            </w:pPr>
            <w:r>
              <w:rPr>
                <w:rFonts w:cs="Perpetua"/>
                <w:sz w:val="20"/>
              </w:rPr>
              <w:t>Vanderploeg, et al (2007); Courtney, Pilavin &amp; Wright (1997); Grogan-Kaylor (2000)</w:t>
            </w:r>
          </w:p>
        </w:tc>
      </w:tr>
      <w:tr w:rsidR="00D86A11">
        <w:tc>
          <w:tcPr>
            <w:tcW w:w="440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3. Health &amp; behavioral problems – children with mental health/behavioral problems (including difficult externalizing behaviors), developmental delays, and physical health problems are less likely to reunify</w:t>
            </w:r>
          </w:p>
        </w:tc>
        <w:tc>
          <w:tcPr>
            <w:tcW w:w="4950" w:type="dxa"/>
            <w:tcBorders>
              <w:top w:val="single" w:sz="4" w:space="0" w:color="000000"/>
              <w:left w:val="single" w:sz="4" w:space="0" w:color="000000"/>
              <w:bottom w:val="single" w:sz="4" w:space="0" w:color="000000"/>
              <w:right w:val="single" w:sz="4" w:space="0" w:color="000000"/>
            </w:tcBorders>
          </w:tcPr>
          <w:p w:rsidR="00D86A11" w:rsidRDefault="00D86A11">
            <w:pPr>
              <w:autoSpaceDE w:val="0"/>
              <w:autoSpaceDN w:val="0"/>
              <w:adjustRightInd w:val="0"/>
              <w:rPr>
                <w:rFonts w:cs="Perpetua"/>
                <w:sz w:val="20"/>
              </w:rPr>
            </w:pPr>
            <w:r>
              <w:rPr>
                <w:rFonts w:cs="Arial"/>
                <w:sz w:val="20"/>
              </w:rPr>
              <w:t>Connell, Katz, Saunders &amp; Tebes (2006); Yampolskaya, Kershaw &amp; Banks (2006); Block &amp; Libowitz (1983); Turner (1984); Grogan-Kaylor (2001); Romney, Litrownik, Newton &amp; Lau (2006); Jones (1998); Courtney, Pilavin &amp; Wright (1997); Landy &amp; Munro (1998); Rosenberg &amp; Robinson (2004); Baker (2006); Becker, Jordan &amp; Larsen (2007)</w:t>
            </w:r>
          </w:p>
        </w:tc>
      </w:tr>
    </w:tbl>
    <w:p w:rsidR="00D86A11" w:rsidRDefault="00D86A11" w:rsidP="00D86A11">
      <w:pPr>
        <w:pStyle w:val="Heading2"/>
        <w:rPr>
          <w:rFonts w:ascii="Perpetua" w:hAnsi="Perpetua"/>
        </w:rPr>
      </w:pPr>
      <w:r>
        <w:rPr>
          <w:rFonts w:ascii="Perpetua" w:hAnsi="Perpetua"/>
        </w:rPr>
        <w:t>Family Factors</w:t>
      </w:r>
    </w:p>
    <w:p w:rsidR="00D86A11" w:rsidRDefault="00D86A11" w:rsidP="00D86A11">
      <w:r>
        <w:t xml:space="preserve">Key family characteristics that can reduce the likelihood of reunification include poverty, child neglect, parental mental illness and substance abuse. While some studies suggest that participation in substance abuse treatment leads to successful reunification, other studies suggest that participation in drug court or other services may delay reunification. Encouragingly, one longitudinal study of 1,911 mothers described in a Child Welfare Gateway Information Brief (2011), found that those who entered substance abuse treatment faster, stayed in treatment longer, and completed at least one course of treatment were significantly more likely to be reunified with their children.  </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5"/>
        <w:gridCol w:w="4950"/>
      </w:tblGrid>
      <w:tr w:rsidR="00D86A11">
        <w:trPr>
          <w:cantSplit/>
          <w:tblHeader/>
        </w:trPr>
        <w:tc>
          <w:tcPr>
            <w:tcW w:w="440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rsidP="00D86A11">
            <w:pPr>
              <w:rPr>
                <w:rFonts w:cs="Perpetua"/>
                <w:b/>
                <w:sz w:val="20"/>
              </w:rPr>
            </w:pPr>
            <w:r>
              <w:rPr>
                <w:rFonts w:cs="Perpetua"/>
                <w:b/>
                <w:sz w:val="20"/>
              </w:rPr>
              <w:t xml:space="preserve">Family Factors </w:t>
            </w:r>
          </w:p>
          <w:p w:rsidR="00D86A11" w:rsidRDefault="00D86A11" w:rsidP="00D86A11">
            <w:pPr>
              <w:rPr>
                <w:rFonts w:cs="Perpetua"/>
                <w:b/>
                <w:sz w:val="20"/>
              </w:rPr>
            </w:pPr>
            <w:r>
              <w:rPr>
                <w:rFonts w:cs="Perpetua"/>
                <w:b/>
                <w:sz w:val="20"/>
              </w:rPr>
              <w:t>Associated with Permanency</w:t>
            </w:r>
          </w:p>
        </w:tc>
        <w:tc>
          <w:tcPr>
            <w:tcW w:w="4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rsidP="00D86A11">
            <w:pPr>
              <w:rPr>
                <w:rFonts w:cs="Perpetua"/>
                <w:b/>
                <w:sz w:val="20"/>
              </w:rPr>
            </w:pPr>
            <w:r>
              <w:rPr>
                <w:rFonts w:cs="Perpetua"/>
                <w:b/>
                <w:sz w:val="20"/>
              </w:rPr>
              <w:t>Cited Articles</w:t>
            </w:r>
          </w:p>
        </w:tc>
      </w:tr>
      <w:tr w:rsidR="00D86A11">
        <w:tc>
          <w:tcPr>
            <w:tcW w:w="440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 xml:space="preserve">1. Parental substance abuse  </w:t>
            </w:r>
          </w:p>
        </w:tc>
        <w:tc>
          <w:tcPr>
            <w:tcW w:w="4950" w:type="dxa"/>
            <w:tcBorders>
              <w:top w:val="single" w:sz="4" w:space="0" w:color="000000"/>
              <w:left w:val="single" w:sz="4" w:space="0" w:color="000000"/>
              <w:bottom w:val="single" w:sz="4" w:space="0" w:color="000000"/>
              <w:right w:val="single" w:sz="4" w:space="0" w:color="000000"/>
            </w:tcBorders>
          </w:tcPr>
          <w:p w:rsidR="00D86A11" w:rsidRDefault="00D86A11">
            <w:pPr>
              <w:autoSpaceDE w:val="0"/>
              <w:autoSpaceDN w:val="0"/>
              <w:adjustRightInd w:val="0"/>
              <w:rPr>
                <w:rFonts w:cs="Arial"/>
                <w:sz w:val="20"/>
              </w:rPr>
            </w:pPr>
            <w:r>
              <w:rPr>
                <w:rFonts w:cs="Arial"/>
                <w:sz w:val="20"/>
              </w:rPr>
              <w:t>Epstein, et al (1998); Shaw (2006); Terling (1999); Courtney, Pilavin &amp; Wright (1997); Vanderploeg, et al (2007); Brook and McDonald (2007); Boles, Young, Moore &amp; DiPirro-Beard (2007); Noble (1997); Green, Rockhill &amp; Furrer (2007)</w:t>
            </w:r>
          </w:p>
        </w:tc>
      </w:tr>
      <w:tr w:rsidR="00D86A11">
        <w:tc>
          <w:tcPr>
            <w:tcW w:w="440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 xml:space="preserve">2. Socio-economic status – poverty, parental employment, housing, welfare income, safe neighborhoods </w:t>
            </w:r>
          </w:p>
        </w:tc>
        <w:tc>
          <w:tcPr>
            <w:tcW w:w="4950" w:type="dxa"/>
            <w:tcBorders>
              <w:top w:val="single" w:sz="4" w:space="0" w:color="000000"/>
              <w:left w:val="single" w:sz="4" w:space="0" w:color="000000"/>
              <w:bottom w:val="single" w:sz="4" w:space="0" w:color="000000"/>
              <w:right w:val="single" w:sz="4" w:space="0" w:color="000000"/>
            </w:tcBorders>
          </w:tcPr>
          <w:p w:rsidR="00D86A11" w:rsidRDefault="00D86A11">
            <w:pPr>
              <w:autoSpaceDE w:val="0"/>
              <w:autoSpaceDN w:val="0"/>
              <w:adjustRightInd w:val="0"/>
              <w:rPr>
                <w:rFonts w:cs="Perpetua"/>
                <w:sz w:val="20"/>
              </w:rPr>
            </w:pPr>
            <w:r>
              <w:rPr>
                <w:rFonts w:cs="Arial"/>
                <w:sz w:val="20"/>
              </w:rPr>
              <w:t>Jones (1998); Courtney (1995); Jones, 1998; Jonson-Reid, 2003; Shaw (2006); Miller et al (2006)</w:t>
            </w:r>
          </w:p>
        </w:tc>
      </w:tr>
      <w:tr w:rsidR="00D86A11">
        <w:tc>
          <w:tcPr>
            <w:tcW w:w="440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3. Type of maltreatment – neglect cases are slower to reunify</w:t>
            </w:r>
          </w:p>
        </w:tc>
        <w:tc>
          <w:tcPr>
            <w:tcW w:w="4950" w:type="dxa"/>
            <w:tcBorders>
              <w:top w:val="single" w:sz="4" w:space="0" w:color="000000"/>
              <w:left w:val="single" w:sz="4" w:space="0" w:color="000000"/>
              <w:bottom w:val="single" w:sz="4" w:space="0" w:color="000000"/>
              <w:right w:val="single" w:sz="4" w:space="0" w:color="000000"/>
            </w:tcBorders>
          </w:tcPr>
          <w:p w:rsidR="00D86A11" w:rsidRDefault="00D86A11">
            <w:pPr>
              <w:autoSpaceDE w:val="0"/>
              <w:autoSpaceDN w:val="0"/>
              <w:adjustRightInd w:val="0"/>
              <w:rPr>
                <w:rFonts w:cs="Perpetua"/>
                <w:sz w:val="20"/>
              </w:rPr>
            </w:pPr>
            <w:r>
              <w:rPr>
                <w:rFonts w:cs="Arial"/>
                <w:sz w:val="20"/>
              </w:rPr>
              <w:t>Wells &amp; Guo (1999); Courtney, Pilavin &amp; Wright (1997); Wells &amp; Guo (2006); Barth, Guo &amp; Caplick (2007)</w:t>
            </w:r>
          </w:p>
        </w:tc>
      </w:tr>
      <w:tr w:rsidR="00D86A11">
        <w:tc>
          <w:tcPr>
            <w:tcW w:w="440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 xml:space="preserve">4. Parental mental illness, unmet mental health needs, health problems and incarceration </w:t>
            </w:r>
          </w:p>
        </w:tc>
        <w:tc>
          <w:tcPr>
            <w:tcW w:w="4950"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Fuller (2005); Fuller, Wells, &amp; Cotton (2001); Block &amp; Libowitz (1983)</w:t>
            </w:r>
          </w:p>
        </w:tc>
      </w:tr>
      <w:tr w:rsidR="00D86A11">
        <w:tc>
          <w:tcPr>
            <w:tcW w:w="440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lastRenderedPageBreak/>
              <w:t>5. Single parent household -- children returning to single parent homes are more likely to reunify than children in two-parent homes</w:t>
            </w:r>
          </w:p>
        </w:tc>
        <w:tc>
          <w:tcPr>
            <w:tcW w:w="4950"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Fuller (2005); Block &amp; Libowitz (1983); Wells &amp; Guo (1999); Courtney, Pilavin &amp; Wright (1997)</w:t>
            </w:r>
          </w:p>
        </w:tc>
      </w:tr>
    </w:tbl>
    <w:p w:rsidR="00D86A11" w:rsidRPr="004C12B4" w:rsidRDefault="00D86A11" w:rsidP="00D86A11">
      <w:pPr>
        <w:pStyle w:val="Heading2"/>
        <w:rPr>
          <w:rFonts w:ascii="Perpetua" w:hAnsi="Perpetua"/>
        </w:rPr>
      </w:pPr>
      <w:r>
        <w:rPr>
          <w:rFonts w:ascii="Perpetua" w:hAnsi="Perpetua"/>
        </w:rPr>
        <w:t>Practice/System Factors</w:t>
      </w:r>
    </w:p>
    <w:p w:rsidR="00D86A11" w:rsidRDefault="00D86A11" w:rsidP="00D86A11">
      <w:pPr>
        <w:rPr>
          <w:rFonts w:cs="Arial"/>
        </w:rPr>
      </w:pPr>
      <w:r>
        <w:t xml:space="preserve">Several studies have found that parental visitation, and increased contact in general between parents and children, is associated with an increased likelihood of reunification and reduced time in out-of-home care. In addition, a study by Barth, Landsverk and associates (2005) found that pairing visitation with a parenting program is an effective way to increase reunification. Frequent caseworker visits with parents are also associated with </w:t>
      </w:r>
      <w:r>
        <w:rPr>
          <w:rFonts w:cs="Arial"/>
        </w:rPr>
        <w:t xml:space="preserve">stronger performance in areas of reunification, guardianship and permanent placement with relatives. </w:t>
      </w:r>
    </w:p>
    <w:p w:rsidR="00D86A11" w:rsidRDefault="00D86A11" w:rsidP="00D86A11">
      <w:r>
        <w:rPr>
          <w:rFonts w:cs="Arial"/>
        </w:rPr>
        <w:t xml:space="preserve">Research has demonstrated a somewhat surprising link between kinship care and slower reunification. In addition, youth in group homes and residential treatment centers are more likely to exit the system without a permanent placement. </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5"/>
        <w:gridCol w:w="4950"/>
      </w:tblGrid>
      <w:tr w:rsidR="00D86A11">
        <w:trPr>
          <w:cantSplit/>
          <w:tblHeader/>
        </w:trPr>
        <w:tc>
          <w:tcPr>
            <w:tcW w:w="440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rsidP="00D86A11">
            <w:pPr>
              <w:rPr>
                <w:rFonts w:cs="Perpetua"/>
                <w:b/>
                <w:sz w:val="20"/>
              </w:rPr>
            </w:pPr>
            <w:r>
              <w:rPr>
                <w:rFonts w:cs="Perpetua"/>
                <w:b/>
                <w:sz w:val="20"/>
              </w:rPr>
              <w:t xml:space="preserve">Practice/System Factors </w:t>
            </w:r>
          </w:p>
          <w:p w:rsidR="00D86A11" w:rsidRDefault="00D86A11" w:rsidP="00D86A11">
            <w:pPr>
              <w:rPr>
                <w:rFonts w:cs="Perpetua"/>
                <w:b/>
                <w:sz w:val="20"/>
              </w:rPr>
            </w:pPr>
            <w:r>
              <w:rPr>
                <w:rFonts w:cs="Perpetua"/>
                <w:b/>
                <w:sz w:val="20"/>
              </w:rPr>
              <w:t>Associated with Permanency</w:t>
            </w:r>
          </w:p>
        </w:tc>
        <w:tc>
          <w:tcPr>
            <w:tcW w:w="49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D86A11" w:rsidRDefault="00D86A11" w:rsidP="00D86A11">
            <w:pPr>
              <w:rPr>
                <w:rFonts w:cs="Perpetua"/>
                <w:b/>
                <w:sz w:val="20"/>
              </w:rPr>
            </w:pPr>
            <w:r>
              <w:rPr>
                <w:rFonts w:cs="Perpetua"/>
                <w:b/>
                <w:sz w:val="20"/>
              </w:rPr>
              <w:t>Cited Articles</w:t>
            </w:r>
          </w:p>
        </w:tc>
      </w:tr>
      <w:tr w:rsidR="00D86A11">
        <w:tc>
          <w:tcPr>
            <w:tcW w:w="440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1. Placement instability/number of placements</w:t>
            </w:r>
          </w:p>
        </w:tc>
        <w:tc>
          <w:tcPr>
            <w:tcW w:w="4950"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Tam &amp; Ho (1996); Connel, Katz, Saunders &amp; Tebes; Block &amp; Libowitz (1983); Wells &amp; Guo (1999); Grigsby (1990)</w:t>
            </w:r>
          </w:p>
        </w:tc>
      </w:tr>
      <w:tr w:rsidR="00D86A11">
        <w:tc>
          <w:tcPr>
            <w:tcW w:w="440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 xml:space="preserve">2. Engagement – frequent worker/parent visits, frequency and quality of parent/child contact, involvement in case planning </w:t>
            </w:r>
          </w:p>
          <w:p w:rsidR="00D86A11" w:rsidRDefault="00D86A11">
            <w:pPr>
              <w:rPr>
                <w:rFonts w:cs="Perpetua"/>
                <w:sz w:val="20"/>
              </w:rPr>
            </w:pPr>
          </w:p>
          <w:p w:rsidR="00D86A11" w:rsidRDefault="00D86A11">
            <w:pPr>
              <w:rPr>
                <w:rFonts w:cs="Perpetua"/>
                <w:sz w:val="20"/>
              </w:rPr>
            </w:pPr>
          </w:p>
        </w:tc>
        <w:tc>
          <w:tcPr>
            <w:tcW w:w="4950" w:type="dxa"/>
            <w:tcBorders>
              <w:top w:val="single" w:sz="4" w:space="0" w:color="000000"/>
              <w:left w:val="single" w:sz="4" w:space="0" w:color="000000"/>
              <w:bottom w:val="single" w:sz="4" w:space="0" w:color="000000"/>
              <w:right w:val="single" w:sz="4" w:space="0" w:color="000000"/>
            </w:tcBorders>
          </w:tcPr>
          <w:p w:rsidR="00D86A11" w:rsidRDefault="00D86A11">
            <w:pPr>
              <w:autoSpaceDE w:val="0"/>
              <w:autoSpaceDN w:val="0"/>
              <w:adjustRightInd w:val="0"/>
              <w:rPr>
                <w:rFonts w:cs="Perpetua"/>
                <w:sz w:val="20"/>
              </w:rPr>
            </w:pPr>
            <w:r>
              <w:rPr>
                <w:rFonts w:cs="Perpetua"/>
                <w:sz w:val="20"/>
              </w:rPr>
              <w:t>Leathers (2002); Mech (1985); Grigsby (1990); Noble (1997); Tam &amp; Ho (1996); Fein (1993); Turner (1984); Miller, Fisher, Fetrow &amp; Jordan (2006);</w:t>
            </w:r>
            <w:r>
              <w:rPr>
                <w:rFonts w:cs="Arial"/>
              </w:rPr>
              <w:t xml:space="preserve"> </w:t>
            </w:r>
            <w:r>
              <w:rPr>
                <w:rFonts w:cs="Arial"/>
                <w:sz w:val="20"/>
              </w:rPr>
              <w:t xml:space="preserve">Farmer (1996); Mallon (2011); </w:t>
            </w:r>
            <w:r>
              <w:rPr>
                <w:rFonts w:cs="Perpetua"/>
                <w:sz w:val="20"/>
              </w:rPr>
              <w:t>Davis, Landsverk, Newton, &amp; Ganger (1996);</w:t>
            </w:r>
            <w:r>
              <w:rPr>
                <w:rFonts w:cs="Perpetua"/>
              </w:rPr>
              <w:t xml:space="preserve"> </w:t>
            </w:r>
            <w:r>
              <w:rPr>
                <w:rFonts w:cs="Arial"/>
                <w:sz w:val="20"/>
              </w:rPr>
              <w:t>Lee &amp; Ayon (2004); Children’s Bureau (2009); Mallon &amp; Hess (2005); Hess (2003);</w:t>
            </w:r>
            <w:r>
              <w:rPr>
                <w:rFonts w:cs="Perpetua"/>
                <w:sz w:val="20"/>
              </w:rPr>
              <w:t xml:space="preserve"> Barth, Landsverk et al (2005)</w:t>
            </w:r>
          </w:p>
        </w:tc>
      </w:tr>
      <w:tr w:rsidR="00D86A11">
        <w:tc>
          <w:tcPr>
            <w:tcW w:w="4405"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sz w:val="20"/>
              </w:rPr>
            </w:pPr>
            <w:r>
              <w:rPr>
                <w:rFonts w:cs="Perpetua"/>
                <w:sz w:val="20"/>
              </w:rPr>
              <w:t>3. Type of placement -- children in Kin/NREFM placements may take longer to reunify; children in congregate care or hospital setting less likely to reunify</w:t>
            </w:r>
          </w:p>
        </w:tc>
        <w:tc>
          <w:tcPr>
            <w:tcW w:w="4950" w:type="dxa"/>
            <w:tcBorders>
              <w:top w:val="single" w:sz="4" w:space="0" w:color="000000"/>
              <w:left w:val="single" w:sz="4" w:space="0" w:color="000000"/>
              <w:bottom w:val="single" w:sz="4" w:space="0" w:color="000000"/>
              <w:right w:val="single" w:sz="4" w:space="0" w:color="000000"/>
            </w:tcBorders>
          </w:tcPr>
          <w:p w:rsidR="00D86A11" w:rsidRDefault="00D86A11">
            <w:pPr>
              <w:rPr>
                <w:rFonts w:cs="Perpetua"/>
                <w:i/>
                <w:sz w:val="20"/>
              </w:rPr>
            </w:pPr>
            <w:r>
              <w:rPr>
                <w:rFonts w:cs="Perpetua"/>
                <w:sz w:val="20"/>
              </w:rPr>
              <w:t>Fuller (2005); Miller (2004); Miller, Fox, Garcia-Beckwith (1999); Connell, Katz, Saunders &amp; Tebes (2006); Wulczyn, Orlebeke &amp; Melamid (2000); Fuller, Wells, &amp; Cotton (2001); Courtney (1995)</w:t>
            </w:r>
          </w:p>
        </w:tc>
      </w:tr>
    </w:tbl>
    <w:p w:rsidR="00D86A11" w:rsidRPr="004C12B4" w:rsidRDefault="00D86A11" w:rsidP="00D86A11">
      <w:pPr>
        <w:pStyle w:val="Heading2"/>
        <w:rPr>
          <w:rFonts w:ascii="Perpetua" w:hAnsi="Perpetua"/>
        </w:rPr>
      </w:pPr>
      <w:r>
        <w:rPr>
          <w:rFonts w:ascii="Perpetua" w:hAnsi="Perpetua"/>
        </w:rPr>
        <w:t>Best &amp; Promising Practices</w:t>
      </w:r>
    </w:p>
    <w:p w:rsidR="00D86A11" w:rsidRPr="00D31B48" w:rsidRDefault="00D86A11" w:rsidP="00D86A11">
      <w:pPr>
        <w:pStyle w:val="NormalWeb"/>
        <w:shd w:val="clear" w:color="auto" w:fill="FFFFFF"/>
        <w:spacing w:before="0" w:beforeAutospacing="0" w:after="120" w:afterAutospacing="0"/>
        <w:rPr>
          <w:rFonts w:ascii="Perpetua" w:hAnsi="Perpetua"/>
          <w:sz w:val="22"/>
          <w:szCs w:val="22"/>
        </w:rPr>
      </w:pPr>
      <w:r w:rsidRPr="00D31B48">
        <w:rPr>
          <w:rFonts w:ascii="Perpetua" w:hAnsi="Perpetua"/>
          <w:sz w:val="22"/>
          <w:szCs w:val="22"/>
        </w:rPr>
        <w:t>There are several excellent resources that provide lists of child welfare related programs with descriptions of the evidence supporting them, including:</w:t>
      </w:r>
    </w:p>
    <w:p w:rsidR="00D86A11" w:rsidRPr="00D31B48" w:rsidRDefault="00D86A11" w:rsidP="00D86A11">
      <w:pPr>
        <w:pStyle w:val="NormalWeb"/>
        <w:numPr>
          <w:ilvl w:val="0"/>
          <w:numId w:val="22"/>
        </w:numPr>
        <w:shd w:val="clear" w:color="auto" w:fill="FFFFFF"/>
        <w:spacing w:before="0" w:beforeAutospacing="0" w:after="120" w:afterAutospacing="0"/>
        <w:rPr>
          <w:rStyle w:val="Hyperlink"/>
          <w:rFonts w:ascii="Perpetua" w:hAnsi="Perpetua"/>
          <w:sz w:val="22"/>
          <w:szCs w:val="22"/>
        </w:rPr>
      </w:pPr>
      <w:r w:rsidRPr="00D31B48">
        <w:rPr>
          <w:rFonts w:ascii="Perpetua" w:hAnsi="Perpetua"/>
          <w:sz w:val="22"/>
          <w:szCs w:val="22"/>
        </w:rPr>
        <w:t xml:space="preserve">“In-Home Services and Evidence-Based Practice Registries” by the National Resource Center for In-Home Services (a service of the Children’s Bureau), which provides a list of programs described in the California Evidence-Based Clearinghouse (CEBC) that have the highest relevance to child welfare in-home services. Programs are divided into categories such as casework practice, parent training, interventions for neglect, etc., with the CEBC scientific evidence rating provided for each. </w:t>
      </w:r>
      <w:hyperlink r:id="rId114" w:history="1">
        <w:r w:rsidRPr="00D31B48">
          <w:rPr>
            <w:rStyle w:val="Hyperlink"/>
            <w:rFonts w:ascii="Perpetua" w:hAnsi="Perpetua" w:cs="Helvetica"/>
            <w:sz w:val="22"/>
            <w:szCs w:val="22"/>
            <w:shd w:val="clear" w:color="auto" w:fill="FFFFFF"/>
          </w:rPr>
          <w:t>http://www.uiowa.edu/nrcihs/files/nrcihs/files/In-Home%20Services%20and%20EBP%20registries.pdf</w:t>
        </w:r>
      </w:hyperlink>
      <w:hyperlink r:id="rId115" w:history="1">
        <w:r w:rsidRPr="00D31B48">
          <w:rPr>
            <w:rStyle w:val="Hyperlink"/>
            <w:rFonts w:ascii="Perpetua" w:hAnsi="Perpetua" w:cs="Helvetica"/>
            <w:sz w:val="22"/>
            <w:szCs w:val="22"/>
            <w:shd w:val="clear" w:color="auto" w:fill="FFFFFF"/>
          </w:rPr>
          <w:t>http://www.uiowa.edu/nrcihs/files/nrcihs/files/In-Home%20Services%20and%20EBP%20registries.pdf</w:t>
        </w:r>
      </w:hyperlink>
      <w:hyperlink r:id="rId116" w:history="1">
        <w:r w:rsidRPr="00D31B48">
          <w:rPr>
            <w:rStyle w:val="Hyperlink"/>
            <w:rFonts w:ascii="Perpetua" w:hAnsi="Perpetua" w:cs="Helvetica"/>
            <w:sz w:val="22"/>
            <w:szCs w:val="22"/>
            <w:shd w:val="clear" w:color="auto" w:fill="FFFFFF"/>
          </w:rPr>
          <w:t>http://www.uiowa.edu/nrcihs/files/nrcihs/files/In-Home%20Services%20and%20EBP%20registries.pdf</w:t>
        </w:r>
      </w:hyperlink>
    </w:p>
    <w:p w:rsidR="000B1863" w:rsidRDefault="00D86A11">
      <w:pPr>
        <w:pStyle w:val="ColorfulList-Accent11"/>
        <w:numPr>
          <w:ilvl w:val="0"/>
          <w:numId w:val="22"/>
        </w:numPr>
        <w:spacing w:after="200" w:line="276" w:lineRule="auto"/>
      </w:pPr>
      <w:r w:rsidRPr="00D31B48">
        <w:rPr>
          <w:rFonts w:ascii="Perpetua" w:hAnsi="Perpetua"/>
          <w:sz w:val="22"/>
          <w:szCs w:val="22"/>
        </w:rPr>
        <w:lastRenderedPageBreak/>
        <w:t>“</w:t>
      </w:r>
      <w:hyperlink r:id="rId117" w:tgtFrame="_blank" w:history="1">
        <w:r w:rsidRPr="00D31B48">
          <w:rPr>
            <w:rStyle w:val="Hyperlink"/>
            <w:rFonts w:ascii="Perpetua" w:hAnsi="Perpetua"/>
            <w:color w:val="auto"/>
            <w:sz w:val="22"/>
            <w:szCs w:val="22"/>
          </w:rPr>
          <w:t>A Systematic Review of Strategies to Promote Successful Reunification and to Reduce Re-Entry to Care for Abused, Neglected, and Unruly Children: Final Report</w:t>
        </w:r>
      </w:hyperlink>
      <w:r w:rsidRPr="00D31B48">
        <w:rPr>
          <w:rFonts w:ascii="Perpetua" w:hAnsi="Perpetua"/>
          <w:sz w:val="22"/>
          <w:szCs w:val="22"/>
        </w:rPr>
        <w:t> Presented to the Ohio Department of Job and Family Services,” (Bronson et al, 2008) provides a summary beginning on page 53 (Table 11) that describes models, program names, key components, outcomes and level of evaluation.</w:t>
      </w:r>
      <w:r w:rsidRPr="00D31B48">
        <w:rPr>
          <w:rFonts w:ascii="Perpetua" w:hAnsi="Perpetua"/>
          <w:bCs/>
          <w:sz w:val="22"/>
          <w:szCs w:val="22"/>
        </w:rPr>
        <w:t xml:space="preserve"> </w:t>
      </w:r>
      <w:hyperlink r:id="rId118" w:history="1">
        <w:r w:rsidRPr="00D31B48">
          <w:rPr>
            <w:rStyle w:val="Hyperlink"/>
            <w:rFonts w:ascii="Perpetua" w:hAnsi="Perpetua"/>
            <w:bCs/>
            <w:sz w:val="22"/>
            <w:szCs w:val="22"/>
          </w:rPr>
          <w:t>http://www.ocwtp.net/pdfs/reun-reentry%20final%20report.pdf</w:t>
        </w:r>
      </w:hyperlink>
      <w:r w:rsidRPr="00D31B48">
        <w:rPr>
          <w:rFonts w:ascii="Perpetua" w:hAnsi="Perpetua"/>
          <w:bCs/>
          <w:sz w:val="22"/>
          <w:szCs w:val="22"/>
        </w:rPr>
        <w:t xml:space="preserve"> </w:t>
      </w:r>
    </w:p>
    <w:p w:rsidR="00D86A11" w:rsidRPr="00D31B48" w:rsidRDefault="00D86A11" w:rsidP="00D86A11">
      <w:pPr>
        <w:pStyle w:val="NormalWeb"/>
        <w:shd w:val="clear" w:color="auto" w:fill="FFFFFF"/>
        <w:spacing w:before="0" w:beforeAutospacing="0" w:after="120" w:afterAutospacing="0"/>
        <w:rPr>
          <w:rFonts w:ascii="Perpetua" w:hAnsi="Perpetua"/>
          <w:sz w:val="22"/>
          <w:szCs w:val="22"/>
        </w:rPr>
      </w:pPr>
      <w:r w:rsidRPr="00D31B48">
        <w:rPr>
          <w:rFonts w:ascii="Perpetua" w:hAnsi="Perpetua"/>
          <w:sz w:val="22"/>
          <w:szCs w:val="22"/>
        </w:rPr>
        <w:t>In addition, one of the best resources for identifying evidence-based practices is the California Evidence-Based Clearinghouse (CEBC) for Child Welfare (</w:t>
      </w:r>
      <w:hyperlink r:id="rId119" w:history="1">
        <w:r w:rsidRPr="00D31B48">
          <w:rPr>
            <w:rStyle w:val="Hyperlink"/>
            <w:rFonts w:ascii="Perpetua" w:hAnsi="Perpetua"/>
            <w:sz w:val="22"/>
            <w:szCs w:val="22"/>
          </w:rPr>
          <w:t>http://www.cebc4cw.org/</w:t>
        </w:r>
      </w:hyperlink>
      <w:r w:rsidRPr="00D31B48">
        <w:rPr>
          <w:rFonts w:ascii="Perpetua" w:hAnsi="Perpetua"/>
          <w:sz w:val="22"/>
          <w:szCs w:val="22"/>
        </w:rPr>
        <w:t xml:space="preserve">). Below is a table summarizing some specific areas of interest to the County of San Diego Child Welfare Services. Where possible, programs were limited to a CEBC Scientific Rating of 1-3 (well supported by research; supported; promising), a Child Welfare System Relevance rating of High or Medium (designed for CWS clients; commonly used with similar clients), and the outcome of “permanency.”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0"/>
        <w:gridCol w:w="5365"/>
        <w:gridCol w:w="1209"/>
        <w:gridCol w:w="1266"/>
      </w:tblGrid>
      <w:tr w:rsidR="00D86A11" w:rsidRPr="004C12B4">
        <w:trPr>
          <w:cantSplit/>
          <w:tblHeader/>
        </w:trPr>
        <w:tc>
          <w:tcPr>
            <w:tcW w:w="1525" w:type="dxa"/>
            <w:tcBorders>
              <w:top w:val="single" w:sz="4" w:space="0" w:color="000000"/>
              <w:left w:val="single" w:sz="4" w:space="0" w:color="000000"/>
              <w:bottom w:val="single" w:sz="4" w:space="0" w:color="000000"/>
              <w:right w:val="single" w:sz="4" w:space="0" w:color="000000"/>
            </w:tcBorders>
            <w:shd w:val="clear" w:color="auto" w:fill="DBE5F1"/>
          </w:tcPr>
          <w:p w:rsidR="00D86A11" w:rsidRPr="004C12B4" w:rsidRDefault="00D86A11">
            <w:pPr>
              <w:pStyle w:val="Heading4"/>
              <w:spacing w:before="0"/>
              <w:rPr>
                <w:rFonts w:ascii="Perpetua" w:hAnsi="Perpetua" w:cs="Perpetua"/>
                <w:color w:val="auto"/>
                <w:sz w:val="20"/>
              </w:rPr>
            </w:pPr>
            <w:r w:rsidRPr="004C12B4">
              <w:rPr>
                <w:rFonts w:ascii="Perpetua" w:hAnsi="Perpetua" w:cs="Perpetua"/>
                <w:color w:val="auto"/>
                <w:sz w:val="20"/>
              </w:rPr>
              <w:t>Topic</w:t>
            </w:r>
          </w:p>
        </w:tc>
        <w:tc>
          <w:tcPr>
            <w:tcW w:w="5580" w:type="dxa"/>
            <w:tcBorders>
              <w:top w:val="single" w:sz="4" w:space="0" w:color="000000"/>
              <w:left w:val="single" w:sz="4" w:space="0" w:color="000000"/>
              <w:bottom w:val="single" w:sz="4" w:space="0" w:color="000000"/>
              <w:right w:val="single" w:sz="4" w:space="0" w:color="000000"/>
            </w:tcBorders>
            <w:shd w:val="clear" w:color="auto" w:fill="DBE5F1"/>
          </w:tcPr>
          <w:p w:rsidR="00D86A11" w:rsidRPr="004C12B4" w:rsidRDefault="00D86A11">
            <w:pPr>
              <w:pStyle w:val="Heading4"/>
              <w:spacing w:before="0"/>
              <w:rPr>
                <w:rFonts w:ascii="Perpetua" w:hAnsi="Perpetua" w:cs="Perpetua"/>
                <w:color w:val="auto"/>
                <w:sz w:val="20"/>
              </w:rPr>
            </w:pPr>
            <w:r w:rsidRPr="004C12B4">
              <w:rPr>
                <w:rFonts w:ascii="Perpetua" w:hAnsi="Perpetua" w:cs="Perpetua"/>
                <w:color w:val="auto"/>
                <w:sz w:val="20"/>
              </w:rPr>
              <w:t>Programs</w:t>
            </w:r>
          </w:p>
        </w:tc>
        <w:tc>
          <w:tcPr>
            <w:tcW w:w="1170" w:type="dxa"/>
            <w:tcBorders>
              <w:top w:val="single" w:sz="4" w:space="0" w:color="000000"/>
              <w:left w:val="single" w:sz="4" w:space="0" w:color="000000"/>
              <w:bottom w:val="single" w:sz="4" w:space="0" w:color="000000"/>
              <w:right w:val="single" w:sz="4" w:space="0" w:color="000000"/>
            </w:tcBorders>
            <w:shd w:val="clear" w:color="auto" w:fill="DBE5F1"/>
          </w:tcPr>
          <w:p w:rsidR="00D86A11" w:rsidRPr="004C12B4" w:rsidRDefault="00D86A11">
            <w:pPr>
              <w:pStyle w:val="Heading4"/>
              <w:spacing w:before="0"/>
              <w:rPr>
                <w:rFonts w:ascii="Perpetua" w:hAnsi="Perpetua" w:cs="Perpetua"/>
                <w:color w:val="auto"/>
                <w:sz w:val="20"/>
              </w:rPr>
            </w:pPr>
            <w:r w:rsidRPr="004C12B4">
              <w:rPr>
                <w:rFonts w:ascii="Perpetua" w:hAnsi="Perpetua" w:cs="Perpetua"/>
                <w:color w:val="auto"/>
                <w:sz w:val="20"/>
              </w:rPr>
              <w:t xml:space="preserve">Scientific </w:t>
            </w:r>
          </w:p>
          <w:p w:rsidR="00D86A11" w:rsidRPr="004C12B4" w:rsidRDefault="00D86A11">
            <w:pPr>
              <w:pStyle w:val="Heading4"/>
              <w:spacing w:before="0"/>
              <w:rPr>
                <w:rFonts w:ascii="Perpetua" w:hAnsi="Perpetua" w:cs="Perpetua"/>
                <w:color w:val="auto"/>
                <w:sz w:val="20"/>
              </w:rPr>
            </w:pPr>
            <w:r w:rsidRPr="004C12B4">
              <w:rPr>
                <w:rFonts w:ascii="Perpetua" w:hAnsi="Perpetua" w:cs="Perpetua"/>
                <w:color w:val="auto"/>
                <w:sz w:val="20"/>
              </w:rPr>
              <w:t>Rating, 1-3</w:t>
            </w:r>
          </w:p>
        </w:tc>
        <w:tc>
          <w:tcPr>
            <w:tcW w:w="1035" w:type="dxa"/>
            <w:tcBorders>
              <w:top w:val="single" w:sz="4" w:space="0" w:color="000000"/>
              <w:left w:val="single" w:sz="4" w:space="0" w:color="000000"/>
              <w:bottom w:val="single" w:sz="4" w:space="0" w:color="000000"/>
              <w:right w:val="single" w:sz="4" w:space="0" w:color="000000"/>
            </w:tcBorders>
            <w:shd w:val="clear" w:color="auto" w:fill="DBE5F1"/>
          </w:tcPr>
          <w:p w:rsidR="00D86A11" w:rsidRPr="004C12B4" w:rsidRDefault="00D86A11">
            <w:pPr>
              <w:pStyle w:val="Heading4"/>
              <w:spacing w:before="0"/>
              <w:rPr>
                <w:rFonts w:ascii="Perpetua" w:hAnsi="Perpetua" w:cs="Perpetua"/>
                <w:color w:val="auto"/>
                <w:sz w:val="20"/>
              </w:rPr>
            </w:pPr>
            <w:r w:rsidRPr="004C12B4">
              <w:rPr>
                <w:rFonts w:ascii="Perpetua" w:hAnsi="Perpetua" w:cs="Perpetua"/>
                <w:color w:val="auto"/>
                <w:sz w:val="20"/>
              </w:rPr>
              <w:t>CWS</w:t>
            </w:r>
          </w:p>
          <w:p w:rsidR="00D86A11" w:rsidRPr="004C12B4" w:rsidRDefault="00D86A11">
            <w:pPr>
              <w:pStyle w:val="Heading4"/>
              <w:spacing w:before="0"/>
              <w:rPr>
                <w:rFonts w:ascii="Perpetua" w:hAnsi="Perpetua" w:cs="Perpetua"/>
                <w:color w:val="auto"/>
                <w:sz w:val="20"/>
              </w:rPr>
            </w:pPr>
            <w:r w:rsidRPr="004C12B4">
              <w:rPr>
                <w:rFonts w:ascii="Perpetua" w:hAnsi="Perpetua" w:cs="Perpetua"/>
                <w:color w:val="auto"/>
                <w:sz w:val="20"/>
              </w:rPr>
              <w:t>Relevance</w:t>
            </w:r>
          </w:p>
        </w:tc>
      </w:tr>
      <w:tr w:rsidR="00D86A11">
        <w:tc>
          <w:tcPr>
            <w:tcW w:w="1525"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rPr>
                <w:rFonts w:ascii="Perpetua" w:hAnsi="Perpetua"/>
                <w:i/>
                <w:sz w:val="22"/>
                <w:szCs w:val="22"/>
              </w:rPr>
            </w:pPr>
            <w:r w:rsidRPr="005958F2">
              <w:rPr>
                <w:rFonts w:ascii="Perpetua" w:hAnsi="Perpetua"/>
                <w:i/>
                <w:sz w:val="22"/>
                <w:szCs w:val="22"/>
              </w:rPr>
              <w:t>Father Involvement*</w:t>
            </w:r>
          </w:p>
        </w:tc>
        <w:tc>
          <w:tcPr>
            <w:tcW w:w="558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rPr>
                <w:rFonts w:ascii="Perpetua" w:hAnsi="Perpetua"/>
                <w:sz w:val="22"/>
                <w:szCs w:val="22"/>
              </w:rPr>
            </w:pPr>
            <w:r w:rsidRPr="005958F2">
              <w:rPr>
                <w:rFonts w:ascii="Perpetua" w:hAnsi="Perpetua"/>
                <w:sz w:val="22"/>
                <w:szCs w:val="22"/>
              </w:rPr>
              <w:t>Supporting Father Involvement – preventive intervention designed to enhance fathers’ positive involvement with their children.</w:t>
            </w:r>
          </w:p>
        </w:tc>
        <w:tc>
          <w:tcPr>
            <w:tcW w:w="117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2</w:t>
            </w:r>
          </w:p>
        </w:tc>
        <w:tc>
          <w:tcPr>
            <w:tcW w:w="1035" w:type="dxa"/>
            <w:tcBorders>
              <w:top w:val="single" w:sz="4" w:space="0" w:color="000000"/>
              <w:left w:val="single" w:sz="4" w:space="0" w:color="000000"/>
              <w:bottom w:val="single" w:sz="4" w:space="0" w:color="000000"/>
              <w:right w:val="single" w:sz="4" w:space="0" w:color="000000"/>
            </w:tcBorders>
          </w:tcPr>
          <w:p w:rsidR="00D86A11" w:rsidRPr="005958F2" w:rsidRDefault="00B34F6B">
            <w:pPr>
              <w:pStyle w:val="NormalWeb"/>
              <w:spacing w:before="0" w:beforeAutospacing="0" w:after="0" w:afterAutospacing="0"/>
              <w:jc w:val="center"/>
              <w:rPr>
                <w:rFonts w:ascii="Perpetua" w:hAnsi="Perpetua"/>
                <w:sz w:val="22"/>
                <w:szCs w:val="22"/>
              </w:rPr>
            </w:pPr>
            <w:r w:rsidRPr="005958F2">
              <w:rPr>
                <w:rFonts w:ascii="Perpetua" w:hAnsi="Perpetua"/>
                <w:sz w:val="22"/>
                <w:szCs w:val="22"/>
              </w:rPr>
              <w:t>M</w:t>
            </w:r>
            <w:r w:rsidR="00D86A11" w:rsidRPr="005958F2">
              <w:rPr>
                <w:rFonts w:ascii="Perpetua" w:hAnsi="Perpetua"/>
                <w:sz w:val="22"/>
                <w:szCs w:val="22"/>
              </w:rPr>
              <w:t>edium</w:t>
            </w:r>
          </w:p>
        </w:tc>
      </w:tr>
      <w:tr w:rsidR="00D86A11">
        <w:tc>
          <w:tcPr>
            <w:tcW w:w="1525" w:type="dxa"/>
            <w:vMerge w:val="restart"/>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rPr>
                <w:rFonts w:ascii="Perpetua" w:hAnsi="Perpetua"/>
                <w:i/>
                <w:sz w:val="22"/>
                <w:szCs w:val="22"/>
              </w:rPr>
            </w:pPr>
            <w:r w:rsidRPr="005958F2">
              <w:rPr>
                <w:rFonts w:ascii="Perpetua" w:hAnsi="Perpetua"/>
                <w:i/>
                <w:sz w:val="22"/>
                <w:szCs w:val="22"/>
              </w:rPr>
              <w:t>Substance Abuse</w:t>
            </w:r>
          </w:p>
          <w:p w:rsidR="00D86A11" w:rsidRPr="005958F2" w:rsidRDefault="00D86A11">
            <w:pPr>
              <w:pStyle w:val="NormalWeb"/>
              <w:spacing w:before="0" w:beforeAutospacing="0" w:after="0" w:afterAutospacing="0"/>
              <w:rPr>
                <w:rFonts w:ascii="Perpetua" w:hAnsi="Perpetua"/>
                <w:i/>
                <w:sz w:val="22"/>
                <w:szCs w:val="22"/>
              </w:rPr>
            </w:pPr>
          </w:p>
          <w:p w:rsidR="00D86A11" w:rsidRPr="005958F2" w:rsidRDefault="00D86A11">
            <w:pPr>
              <w:pStyle w:val="NormalWeb"/>
              <w:spacing w:before="0" w:beforeAutospacing="0" w:after="0" w:afterAutospacing="0"/>
              <w:rPr>
                <w:rFonts w:ascii="Perpetua" w:hAnsi="Perpetua"/>
                <w:i/>
                <w:sz w:val="22"/>
                <w:szCs w:val="22"/>
              </w:rPr>
            </w:pPr>
            <w:r w:rsidRPr="005958F2">
              <w:rPr>
                <w:rFonts w:ascii="Perpetua" w:hAnsi="Perpetua"/>
                <w:i/>
                <w:sz w:val="22"/>
                <w:szCs w:val="22"/>
              </w:rPr>
              <w:t>(also see Project Connect under Reunification)</w:t>
            </w:r>
          </w:p>
        </w:tc>
        <w:tc>
          <w:tcPr>
            <w:tcW w:w="558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rPr>
                <w:rFonts w:ascii="Perpetua" w:hAnsi="Perpetua"/>
                <w:sz w:val="22"/>
                <w:szCs w:val="22"/>
              </w:rPr>
            </w:pPr>
            <w:r w:rsidRPr="005958F2">
              <w:rPr>
                <w:rFonts w:ascii="Perpetua" w:hAnsi="Perpetua"/>
                <w:sz w:val="22"/>
                <w:szCs w:val="22"/>
              </w:rPr>
              <w:t>Parent-Child Assistance Program – serves high-risk mothers who abuse alcohol/drugs during pregnancy by providing regular home visitation, helping clients to obtain treatment and stay in recovery, and connecting families with comprehensive services</w:t>
            </w:r>
          </w:p>
        </w:tc>
        <w:tc>
          <w:tcPr>
            <w:tcW w:w="117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3</w:t>
            </w:r>
          </w:p>
        </w:tc>
        <w:tc>
          <w:tcPr>
            <w:tcW w:w="1035" w:type="dxa"/>
            <w:tcBorders>
              <w:top w:val="single" w:sz="4" w:space="0" w:color="000000"/>
              <w:left w:val="single" w:sz="4" w:space="0" w:color="000000"/>
              <w:bottom w:val="single" w:sz="4" w:space="0" w:color="000000"/>
              <w:right w:val="single" w:sz="4" w:space="0" w:color="000000"/>
            </w:tcBorders>
          </w:tcPr>
          <w:p w:rsidR="00D86A11" w:rsidRPr="005958F2" w:rsidRDefault="00B34F6B">
            <w:pPr>
              <w:pStyle w:val="NormalWeb"/>
              <w:spacing w:before="0" w:beforeAutospacing="0" w:after="0" w:afterAutospacing="0"/>
              <w:jc w:val="center"/>
              <w:rPr>
                <w:rFonts w:ascii="Perpetua" w:hAnsi="Perpetua"/>
                <w:sz w:val="22"/>
                <w:szCs w:val="22"/>
              </w:rPr>
            </w:pPr>
            <w:r w:rsidRPr="005958F2">
              <w:rPr>
                <w:rFonts w:ascii="Perpetua" w:hAnsi="Perpetua"/>
                <w:sz w:val="22"/>
                <w:szCs w:val="22"/>
              </w:rPr>
              <w:t>M</w:t>
            </w:r>
            <w:r w:rsidR="00D86A11" w:rsidRPr="005958F2">
              <w:rPr>
                <w:rFonts w:ascii="Perpetua" w:hAnsi="Perpetua"/>
                <w:sz w:val="22"/>
                <w:szCs w:val="22"/>
              </w:rPr>
              <w:t>edium</w:t>
            </w:r>
          </w:p>
        </w:tc>
      </w:tr>
      <w:tr w:rsidR="00D86A11">
        <w:tc>
          <w:tcPr>
            <w:tcW w:w="0" w:type="auto"/>
            <w:vMerge/>
            <w:tcBorders>
              <w:top w:val="single" w:sz="4" w:space="0" w:color="000000"/>
              <w:left w:val="single" w:sz="4" w:space="0" w:color="000000"/>
              <w:bottom w:val="single" w:sz="4" w:space="0" w:color="000000"/>
              <w:right w:val="single" w:sz="4" w:space="0" w:color="000000"/>
            </w:tcBorders>
            <w:vAlign w:val="center"/>
          </w:tcPr>
          <w:p w:rsidR="00D86A11" w:rsidRPr="005958F2" w:rsidRDefault="00D86A11">
            <w:pPr>
              <w:spacing w:after="0" w:line="240" w:lineRule="auto"/>
              <w:rPr>
                <w:rFonts w:eastAsia="Times New Roman"/>
                <w:i/>
                <w:color w:val="auto"/>
                <w:szCs w:val="22"/>
                <w:lang w:eastAsia="zh-TW"/>
              </w:rPr>
            </w:pPr>
          </w:p>
        </w:tc>
        <w:tc>
          <w:tcPr>
            <w:tcW w:w="5580" w:type="dxa"/>
            <w:tcBorders>
              <w:top w:val="single" w:sz="4" w:space="0" w:color="000000"/>
              <w:left w:val="single" w:sz="4" w:space="0" w:color="000000"/>
              <w:bottom w:val="single" w:sz="4" w:space="0" w:color="000000"/>
              <w:right w:val="single" w:sz="4" w:space="0" w:color="000000"/>
            </w:tcBorders>
          </w:tcPr>
          <w:p w:rsidR="00D86A11" w:rsidRPr="005958F2" w:rsidRDefault="00D86A11" w:rsidP="00D86A11">
            <w:pPr>
              <w:shd w:val="clear" w:color="auto" w:fill="FFFFFF"/>
              <w:spacing w:after="0" w:line="240" w:lineRule="auto"/>
              <w:rPr>
                <w:rFonts w:cs="Perpetua"/>
                <w:szCs w:val="22"/>
              </w:rPr>
            </w:pPr>
            <w:r w:rsidRPr="005958F2">
              <w:rPr>
                <w:rFonts w:cs="Perpetua"/>
                <w:szCs w:val="22"/>
              </w:rPr>
              <w:t>Adult Focused Family Behavior Therapy (FBT) ** – includes more than a dozen treatments including treatment planning, behavioral goals and rewards, contingency management skills training, communication skills training, child management skills training, job-getting skills training, self-control, environmental control, home safety and tele-therapy to improve session attendance (there also is FBT for adolescents). The overall goals are to: decrease alcohol and drug use; decrease depression; decrease conduct problems; decrease family dysfunction; decrease days absent from work/school; decrease child abuse potential; decrease HIV Risk Behaviors.</w:t>
            </w:r>
          </w:p>
        </w:tc>
        <w:tc>
          <w:tcPr>
            <w:tcW w:w="117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2</w:t>
            </w:r>
          </w:p>
        </w:tc>
        <w:tc>
          <w:tcPr>
            <w:tcW w:w="1035"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high</w:t>
            </w:r>
          </w:p>
        </w:tc>
      </w:tr>
      <w:tr w:rsidR="00D86A11">
        <w:tc>
          <w:tcPr>
            <w:tcW w:w="1525" w:type="dxa"/>
            <w:vMerge w:val="restart"/>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rPr>
                <w:rFonts w:ascii="Perpetua" w:hAnsi="Perpetua"/>
                <w:i/>
                <w:sz w:val="22"/>
                <w:szCs w:val="22"/>
              </w:rPr>
            </w:pPr>
            <w:r w:rsidRPr="005958F2">
              <w:rPr>
                <w:rFonts w:ascii="Perpetua" w:hAnsi="Perpetua"/>
                <w:i/>
                <w:sz w:val="22"/>
                <w:szCs w:val="22"/>
              </w:rPr>
              <w:t>Reunification</w:t>
            </w:r>
          </w:p>
        </w:tc>
        <w:tc>
          <w:tcPr>
            <w:tcW w:w="5580" w:type="dxa"/>
            <w:tcBorders>
              <w:top w:val="single" w:sz="4" w:space="0" w:color="000000"/>
              <w:left w:val="single" w:sz="4" w:space="0" w:color="000000"/>
              <w:bottom w:val="single" w:sz="4" w:space="0" w:color="000000"/>
              <w:right w:val="single" w:sz="4" w:space="0" w:color="000000"/>
            </w:tcBorders>
          </w:tcPr>
          <w:p w:rsidR="00D86A11" w:rsidRPr="005958F2" w:rsidRDefault="00D86A11" w:rsidP="00D86A11">
            <w:pPr>
              <w:shd w:val="clear" w:color="auto" w:fill="FFFFFF"/>
              <w:spacing w:after="0" w:line="240" w:lineRule="auto"/>
              <w:rPr>
                <w:rFonts w:cs="Perpetua"/>
                <w:szCs w:val="22"/>
              </w:rPr>
            </w:pPr>
            <w:r w:rsidRPr="005958F2">
              <w:rPr>
                <w:rFonts w:cs="Perpetua"/>
                <w:szCs w:val="22"/>
              </w:rPr>
              <w:t>Homebuilders – is a home and community-based intensive family preservation services treatment program. Goals include reducing family conflict, reducing child behavior problems, and teaching families the skills they need to prevent placement or successfully reunify with their children.</w:t>
            </w:r>
          </w:p>
        </w:tc>
        <w:tc>
          <w:tcPr>
            <w:tcW w:w="117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2</w:t>
            </w:r>
          </w:p>
        </w:tc>
        <w:tc>
          <w:tcPr>
            <w:tcW w:w="1035"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high</w:t>
            </w:r>
          </w:p>
        </w:tc>
      </w:tr>
      <w:tr w:rsidR="00D86A11">
        <w:tc>
          <w:tcPr>
            <w:tcW w:w="0" w:type="auto"/>
            <w:vMerge/>
            <w:tcBorders>
              <w:top w:val="single" w:sz="4" w:space="0" w:color="000000"/>
              <w:left w:val="single" w:sz="4" w:space="0" w:color="000000"/>
              <w:bottom w:val="single" w:sz="4" w:space="0" w:color="000000"/>
              <w:right w:val="single" w:sz="4" w:space="0" w:color="000000"/>
            </w:tcBorders>
            <w:vAlign w:val="center"/>
          </w:tcPr>
          <w:p w:rsidR="00D86A11" w:rsidRPr="005958F2" w:rsidRDefault="00D86A11">
            <w:pPr>
              <w:spacing w:after="0" w:line="240" w:lineRule="auto"/>
              <w:rPr>
                <w:rFonts w:eastAsia="Times New Roman"/>
                <w:i/>
                <w:color w:val="auto"/>
                <w:szCs w:val="22"/>
                <w:lang w:eastAsia="zh-TW"/>
              </w:rPr>
            </w:pPr>
          </w:p>
        </w:tc>
        <w:tc>
          <w:tcPr>
            <w:tcW w:w="558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rPr>
                <w:rFonts w:ascii="Perpetua" w:hAnsi="Perpetua"/>
                <w:sz w:val="22"/>
                <w:szCs w:val="22"/>
              </w:rPr>
            </w:pPr>
            <w:r w:rsidRPr="005958F2">
              <w:rPr>
                <w:rFonts w:ascii="Perpetua" w:hAnsi="Perpetua"/>
                <w:sz w:val="22"/>
                <w:szCs w:val="22"/>
              </w:rPr>
              <w:t xml:space="preserve">Project Connect </w:t>
            </w:r>
            <w:r w:rsidRPr="005958F2">
              <w:rPr>
                <w:rFonts w:ascii="Perpetua" w:hAnsi="Perpetua"/>
                <w:sz w:val="22"/>
                <w:szCs w:val="22"/>
              </w:rPr>
              <w:softHyphen/>
              <w:t>– works with high-risk families affected by parental substance abuse and involved in the child welfare system. The program offers home-based counseling, substance abuse monitoring, nursing, referrals, home-based parent education, parenting groups, and an ongoing support group for mothers in recovery.</w:t>
            </w:r>
          </w:p>
        </w:tc>
        <w:tc>
          <w:tcPr>
            <w:tcW w:w="117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3</w:t>
            </w:r>
          </w:p>
        </w:tc>
        <w:tc>
          <w:tcPr>
            <w:tcW w:w="1035"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high</w:t>
            </w:r>
          </w:p>
        </w:tc>
      </w:tr>
      <w:tr w:rsidR="00D86A11">
        <w:tc>
          <w:tcPr>
            <w:tcW w:w="0" w:type="auto"/>
            <w:vMerge/>
            <w:tcBorders>
              <w:top w:val="single" w:sz="4" w:space="0" w:color="000000"/>
              <w:left w:val="single" w:sz="4" w:space="0" w:color="000000"/>
              <w:bottom w:val="single" w:sz="4" w:space="0" w:color="000000"/>
              <w:right w:val="single" w:sz="4" w:space="0" w:color="000000"/>
            </w:tcBorders>
            <w:vAlign w:val="center"/>
          </w:tcPr>
          <w:p w:rsidR="00D86A11" w:rsidRPr="005958F2" w:rsidRDefault="00D86A11">
            <w:pPr>
              <w:spacing w:after="0" w:line="240" w:lineRule="auto"/>
              <w:rPr>
                <w:rFonts w:eastAsia="Times New Roman"/>
                <w:i/>
                <w:color w:val="auto"/>
                <w:szCs w:val="22"/>
                <w:lang w:eastAsia="zh-TW"/>
              </w:rPr>
            </w:pPr>
          </w:p>
        </w:tc>
        <w:tc>
          <w:tcPr>
            <w:tcW w:w="558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rPr>
                <w:rFonts w:ascii="Perpetua" w:hAnsi="Perpetua"/>
                <w:sz w:val="22"/>
                <w:szCs w:val="22"/>
              </w:rPr>
            </w:pPr>
            <w:r w:rsidRPr="005958F2">
              <w:rPr>
                <w:rFonts w:ascii="Perpetua" w:hAnsi="Perpetua"/>
                <w:sz w:val="22"/>
                <w:szCs w:val="22"/>
              </w:rPr>
              <w:t>Safe Babies Court Team Project – a community engagement and systems change initiative focused on improving how the courts, child welfare agencies, and related child-serving organizations work together to improve and expedite services for young foster children ages 0 to 3.</w:t>
            </w:r>
          </w:p>
        </w:tc>
        <w:tc>
          <w:tcPr>
            <w:tcW w:w="117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3</w:t>
            </w:r>
          </w:p>
        </w:tc>
        <w:tc>
          <w:tcPr>
            <w:tcW w:w="1035"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high</w:t>
            </w:r>
          </w:p>
        </w:tc>
      </w:tr>
      <w:tr w:rsidR="00D86A11">
        <w:tc>
          <w:tcPr>
            <w:tcW w:w="1525" w:type="dxa"/>
            <w:vMerge w:val="restart"/>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120" w:afterAutospacing="0"/>
              <w:rPr>
                <w:rFonts w:ascii="Perpetua" w:hAnsi="Perpetua"/>
                <w:i/>
                <w:sz w:val="22"/>
                <w:szCs w:val="22"/>
              </w:rPr>
            </w:pPr>
            <w:r w:rsidRPr="005958F2">
              <w:rPr>
                <w:rFonts w:ascii="Perpetua" w:hAnsi="Perpetua"/>
                <w:i/>
                <w:sz w:val="22"/>
                <w:szCs w:val="22"/>
              </w:rPr>
              <w:t>Supervised Visitation***</w:t>
            </w:r>
          </w:p>
        </w:tc>
        <w:tc>
          <w:tcPr>
            <w:tcW w:w="558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rPr>
                <w:rFonts w:ascii="Perpetua" w:hAnsi="Perpetua"/>
                <w:sz w:val="22"/>
                <w:szCs w:val="22"/>
              </w:rPr>
            </w:pPr>
            <w:r w:rsidRPr="005958F2">
              <w:rPr>
                <w:rFonts w:ascii="Perpetua" w:hAnsi="Perpetua"/>
                <w:sz w:val="22"/>
                <w:szCs w:val="22"/>
              </w:rPr>
              <w:t xml:space="preserve">Eckerd Family Visitation Services – The program supports an integrated succession from visitation in a controlled office </w:t>
            </w:r>
            <w:r w:rsidRPr="005958F2">
              <w:rPr>
                <w:rFonts w:ascii="Perpetua" w:hAnsi="Perpetua"/>
                <w:sz w:val="22"/>
                <w:szCs w:val="22"/>
              </w:rPr>
              <w:lastRenderedPageBreak/>
              <w:t>setting, to a community setting and eventually to a home setting. For an average of 6 months a licensed therapist works with the families on specific skills and supports their individualized needs.</w:t>
            </w:r>
          </w:p>
        </w:tc>
        <w:tc>
          <w:tcPr>
            <w:tcW w:w="117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120" w:afterAutospacing="0"/>
              <w:jc w:val="center"/>
              <w:rPr>
                <w:rFonts w:ascii="Perpetua" w:hAnsi="Perpetua"/>
                <w:sz w:val="22"/>
                <w:szCs w:val="22"/>
              </w:rPr>
            </w:pPr>
            <w:r w:rsidRPr="005958F2">
              <w:rPr>
                <w:rFonts w:ascii="Perpetua" w:hAnsi="Perpetua"/>
                <w:sz w:val="22"/>
                <w:szCs w:val="22"/>
              </w:rPr>
              <w:lastRenderedPageBreak/>
              <w:t>No rating</w:t>
            </w:r>
          </w:p>
        </w:tc>
        <w:tc>
          <w:tcPr>
            <w:tcW w:w="1035"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120" w:afterAutospacing="0"/>
              <w:jc w:val="center"/>
              <w:rPr>
                <w:rFonts w:ascii="Perpetua" w:hAnsi="Perpetua"/>
                <w:sz w:val="22"/>
                <w:szCs w:val="22"/>
              </w:rPr>
            </w:pPr>
            <w:r w:rsidRPr="005958F2">
              <w:rPr>
                <w:rFonts w:ascii="Perpetua" w:hAnsi="Perpetua"/>
                <w:sz w:val="22"/>
                <w:szCs w:val="22"/>
              </w:rPr>
              <w:t>high</w:t>
            </w:r>
          </w:p>
        </w:tc>
      </w:tr>
      <w:tr w:rsidR="00D86A11">
        <w:tc>
          <w:tcPr>
            <w:tcW w:w="0" w:type="auto"/>
            <w:vMerge/>
            <w:tcBorders>
              <w:top w:val="single" w:sz="4" w:space="0" w:color="000000"/>
              <w:left w:val="single" w:sz="4" w:space="0" w:color="000000"/>
              <w:bottom w:val="single" w:sz="4" w:space="0" w:color="000000"/>
              <w:right w:val="single" w:sz="4" w:space="0" w:color="000000"/>
            </w:tcBorders>
            <w:vAlign w:val="center"/>
          </w:tcPr>
          <w:p w:rsidR="00D86A11" w:rsidRPr="005958F2" w:rsidRDefault="00D86A11">
            <w:pPr>
              <w:spacing w:after="0" w:line="240" w:lineRule="auto"/>
              <w:rPr>
                <w:rFonts w:eastAsia="Times New Roman"/>
                <w:i/>
                <w:color w:val="auto"/>
                <w:szCs w:val="22"/>
                <w:lang w:eastAsia="zh-TW"/>
              </w:rPr>
            </w:pPr>
          </w:p>
        </w:tc>
        <w:tc>
          <w:tcPr>
            <w:tcW w:w="558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rPr>
                <w:rFonts w:ascii="Perpetua" w:hAnsi="Perpetua"/>
                <w:sz w:val="22"/>
                <w:szCs w:val="22"/>
              </w:rPr>
            </w:pPr>
            <w:r w:rsidRPr="005958F2">
              <w:rPr>
                <w:rFonts w:ascii="Perpetua" w:hAnsi="Perpetua"/>
                <w:sz w:val="22"/>
                <w:szCs w:val="22"/>
              </w:rPr>
              <w:t>Families Together – Established by the Providence Children’s Museum (PCM) in 1992. The program provides therapeutic visits for children aged 1 to 11 and their families. The families visit PCM weekly or bi-weekly for 3 to 6 months (sometimes a long as a year) where, under the guidance of the program’s family therapists, they play and learn together. Families Together program assistants provide transportation.</w:t>
            </w:r>
          </w:p>
        </w:tc>
        <w:tc>
          <w:tcPr>
            <w:tcW w:w="117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120" w:afterAutospacing="0"/>
              <w:jc w:val="center"/>
              <w:rPr>
                <w:rFonts w:ascii="Perpetua" w:hAnsi="Perpetua"/>
                <w:sz w:val="22"/>
                <w:szCs w:val="22"/>
              </w:rPr>
            </w:pPr>
            <w:r w:rsidRPr="005958F2">
              <w:rPr>
                <w:rFonts w:ascii="Perpetua" w:hAnsi="Perpetua"/>
                <w:sz w:val="22"/>
                <w:szCs w:val="22"/>
              </w:rPr>
              <w:t>No rating</w:t>
            </w:r>
          </w:p>
        </w:tc>
        <w:tc>
          <w:tcPr>
            <w:tcW w:w="1035"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120" w:afterAutospacing="0"/>
              <w:jc w:val="center"/>
              <w:rPr>
                <w:rFonts w:ascii="Perpetua" w:hAnsi="Perpetua"/>
                <w:sz w:val="22"/>
                <w:szCs w:val="22"/>
              </w:rPr>
            </w:pPr>
            <w:r w:rsidRPr="005958F2">
              <w:rPr>
                <w:rFonts w:ascii="Perpetua" w:hAnsi="Perpetua"/>
                <w:sz w:val="22"/>
                <w:szCs w:val="22"/>
              </w:rPr>
              <w:t>high</w:t>
            </w:r>
          </w:p>
        </w:tc>
      </w:tr>
      <w:tr w:rsidR="00D86A11">
        <w:tc>
          <w:tcPr>
            <w:tcW w:w="1525"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rPr>
                <w:rFonts w:ascii="Perpetua" w:hAnsi="Perpetua"/>
                <w:i/>
                <w:sz w:val="22"/>
                <w:szCs w:val="22"/>
              </w:rPr>
            </w:pPr>
            <w:r w:rsidRPr="005958F2">
              <w:rPr>
                <w:rFonts w:ascii="Perpetua" w:hAnsi="Perpetua"/>
                <w:i/>
                <w:sz w:val="22"/>
                <w:szCs w:val="22"/>
              </w:rPr>
              <w:t>Post Permanency</w:t>
            </w:r>
          </w:p>
        </w:tc>
        <w:tc>
          <w:tcPr>
            <w:tcW w:w="558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rPr>
                <w:rFonts w:ascii="Perpetua" w:hAnsi="Perpetua"/>
                <w:sz w:val="22"/>
                <w:szCs w:val="22"/>
              </w:rPr>
            </w:pPr>
            <w:r w:rsidRPr="005958F2">
              <w:rPr>
                <w:rFonts w:ascii="Perpetua" w:hAnsi="Perpetua"/>
                <w:sz w:val="22"/>
                <w:szCs w:val="22"/>
              </w:rPr>
              <w:t>Homebuilders (see description under Reunification above)</w:t>
            </w:r>
          </w:p>
        </w:tc>
        <w:tc>
          <w:tcPr>
            <w:tcW w:w="117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2</w:t>
            </w:r>
          </w:p>
        </w:tc>
        <w:tc>
          <w:tcPr>
            <w:tcW w:w="1035"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high</w:t>
            </w:r>
          </w:p>
        </w:tc>
      </w:tr>
      <w:tr w:rsidR="00D86A11">
        <w:tc>
          <w:tcPr>
            <w:tcW w:w="1525" w:type="dxa"/>
            <w:vMerge w:val="restart"/>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rPr>
                <w:rFonts w:ascii="Perpetua" w:hAnsi="Perpetua"/>
                <w:i/>
                <w:sz w:val="22"/>
                <w:szCs w:val="22"/>
              </w:rPr>
            </w:pPr>
            <w:r w:rsidRPr="005958F2">
              <w:rPr>
                <w:rFonts w:ascii="Perpetua" w:hAnsi="Perpetua"/>
                <w:i/>
                <w:sz w:val="22"/>
                <w:szCs w:val="22"/>
              </w:rPr>
              <w:t>Reducing Racial</w:t>
            </w:r>
          </w:p>
          <w:p w:rsidR="00D86A11" w:rsidRPr="005958F2" w:rsidRDefault="00D86A11">
            <w:pPr>
              <w:pStyle w:val="NormalWeb"/>
              <w:spacing w:before="0" w:beforeAutospacing="0" w:after="0" w:afterAutospacing="0"/>
              <w:rPr>
                <w:rFonts w:ascii="Perpetua" w:hAnsi="Perpetua"/>
                <w:i/>
                <w:sz w:val="22"/>
                <w:szCs w:val="22"/>
              </w:rPr>
            </w:pPr>
            <w:r w:rsidRPr="005958F2">
              <w:rPr>
                <w:rFonts w:ascii="Perpetua" w:hAnsi="Perpetua"/>
                <w:i/>
                <w:sz w:val="22"/>
                <w:szCs w:val="22"/>
              </w:rPr>
              <w:t>Disparity</w:t>
            </w:r>
          </w:p>
        </w:tc>
        <w:tc>
          <w:tcPr>
            <w:tcW w:w="558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rPr>
                <w:rFonts w:ascii="Perpetua" w:hAnsi="Perpetua"/>
                <w:sz w:val="22"/>
                <w:szCs w:val="22"/>
              </w:rPr>
            </w:pPr>
            <w:r w:rsidRPr="005958F2">
              <w:rPr>
                <w:rFonts w:ascii="Perpetua" w:hAnsi="Perpetua"/>
                <w:sz w:val="22"/>
                <w:szCs w:val="22"/>
              </w:rPr>
              <w:t>Family Group Decision Making –  A trained coordinator, independent of the case, brings together the family group and the agency personnel to create and carry out a plan to safeguard children and other family members. </w:t>
            </w:r>
            <w:r w:rsidRPr="005958F2">
              <w:rPr>
                <w:rFonts w:ascii="Perpetua" w:hAnsi="Perpetua"/>
                <w:iCs/>
                <w:sz w:val="22"/>
                <w:szCs w:val="22"/>
              </w:rPr>
              <w:t>The process</w:t>
            </w:r>
            <w:r w:rsidRPr="005958F2">
              <w:rPr>
                <w:rFonts w:ascii="Perpetua" w:hAnsi="Perpetua"/>
                <w:sz w:val="22"/>
                <w:szCs w:val="22"/>
              </w:rPr>
              <w:t xml:space="preserve"> positions the family group to lead decision making, and the statutory authorities agree to support family group plans that adequately address agency concerns</w:t>
            </w:r>
          </w:p>
        </w:tc>
        <w:tc>
          <w:tcPr>
            <w:tcW w:w="117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3</w:t>
            </w:r>
          </w:p>
        </w:tc>
        <w:tc>
          <w:tcPr>
            <w:tcW w:w="1035"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high</w:t>
            </w:r>
          </w:p>
        </w:tc>
      </w:tr>
      <w:tr w:rsidR="00D86A11">
        <w:tc>
          <w:tcPr>
            <w:tcW w:w="0" w:type="auto"/>
            <w:vMerge/>
            <w:tcBorders>
              <w:top w:val="single" w:sz="4" w:space="0" w:color="000000"/>
              <w:left w:val="single" w:sz="4" w:space="0" w:color="000000"/>
              <w:bottom w:val="single" w:sz="4" w:space="0" w:color="000000"/>
              <w:right w:val="single" w:sz="4" w:space="0" w:color="000000"/>
            </w:tcBorders>
            <w:vAlign w:val="center"/>
          </w:tcPr>
          <w:p w:rsidR="00D86A11" w:rsidRPr="005958F2" w:rsidRDefault="00D86A11">
            <w:pPr>
              <w:spacing w:after="0" w:line="240" w:lineRule="auto"/>
              <w:rPr>
                <w:rFonts w:eastAsia="Times New Roman"/>
                <w:i/>
                <w:color w:val="auto"/>
                <w:szCs w:val="22"/>
                <w:lang w:eastAsia="zh-TW"/>
              </w:rPr>
            </w:pPr>
          </w:p>
        </w:tc>
        <w:tc>
          <w:tcPr>
            <w:tcW w:w="558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rPr>
                <w:rFonts w:ascii="Perpetua" w:hAnsi="Perpetua"/>
                <w:sz w:val="22"/>
                <w:szCs w:val="22"/>
              </w:rPr>
            </w:pPr>
            <w:r w:rsidRPr="005958F2">
              <w:rPr>
                <w:rFonts w:ascii="Perpetua" w:hAnsi="Perpetua"/>
                <w:sz w:val="22"/>
                <w:szCs w:val="22"/>
              </w:rPr>
              <w:t>Preliminary Protective Hearing Benchcard – Intended for use during initial juvenile dependency hearings, the Benchcard asks judges to reflect on the decision-making process to identify and attempt to minimize institutional bias and to consider some key inquiries, analyses, and decisions relating to removal, placement, and services. Judges and other stakeholders participate in a training focused on implicit bias and structural and institutional racism.</w:t>
            </w:r>
          </w:p>
        </w:tc>
        <w:tc>
          <w:tcPr>
            <w:tcW w:w="117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3</w:t>
            </w:r>
          </w:p>
        </w:tc>
        <w:tc>
          <w:tcPr>
            <w:tcW w:w="1035"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high</w:t>
            </w:r>
          </w:p>
        </w:tc>
      </w:tr>
      <w:tr w:rsidR="00D86A11">
        <w:tc>
          <w:tcPr>
            <w:tcW w:w="0" w:type="auto"/>
            <w:vMerge/>
            <w:tcBorders>
              <w:top w:val="single" w:sz="4" w:space="0" w:color="000000"/>
              <w:left w:val="single" w:sz="4" w:space="0" w:color="000000"/>
              <w:bottom w:val="single" w:sz="4" w:space="0" w:color="000000"/>
              <w:right w:val="single" w:sz="4" w:space="0" w:color="000000"/>
            </w:tcBorders>
            <w:vAlign w:val="center"/>
          </w:tcPr>
          <w:p w:rsidR="00D86A11" w:rsidRPr="005958F2" w:rsidRDefault="00D86A11">
            <w:pPr>
              <w:spacing w:after="0" w:line="240" w:lineRule="auto"/>
              <w:rPr>
                <w:rFonts w:eastAsia="Times New Roman"/>
                <w:i/>
                <w:color w:val="auto"/>
                <w:szCs w:val="22"/>
                <w:lang w:eastAsia="zh-TW"/>
              </w:rPr>
            </w:pPr>
          </w:p>
        </w:tc>
        <w:tc>
          <w:tcPr>
            <w:tcW w:w="558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rPr>
                <w:rFonts w:ascii="Perpetua" w:hAnsi="Perpetua"/>
                <w:sz w:val="22"/>
                <w:szCs w:val="22"/>
              </w:rPr>
            </w:pPr>
            <w:r w:rsidRPr="005958F2">
              <w:rPr>
                <w:rFonts w:ascii="Perpetua" w:hAnsi="Perpetua"/>
                <w:sz w:val="22"/>
                <w:szCs w:val="22"/>
              </w:rPr>
              <w:t>Structured Decision Making – a comprehensive case management system that allows workers to employ objective assessment procedures at major case decision points from intake to reunification to improve child welfare decision-making.</w:t>
            </w:r>
          </w:p>
        </w:tc>
        <w:tc>
          <w:tcPr>
            <w:tcW w:w="1170"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3</w:t>
            </w:r>
          </w:p>
        </w:tc>
        <w:tc>
          <w:tcPr>
            <w:tcW w:w="1035" w:type="dxa"/>
            <w:tcBorders>
              <w:top w:val="single" w:sz="4" w:space="0" w:color="000000"/>
              <w:left w:val="single" w:sz="4" w:space="0" w:color="000000"/>
              <w:bottom w:val="single" w:sz="4" w:space="0" w:color="000000"/>
              <w:right w:val="single" w:sz="4" w:space="0" w:color="000000"/>
            </w:tcBorders>
          </w:tcPr>
          <w:p w:rsidR="00D86A11" w:rsidRPr="005958F2" w:rsidRDefault="00D86A11">
            <w:pPr>
              <w:pStyle w:val="NormalWeb"/>
              <w:spacing w:before="0" w:beforeAutospacing="0" w:after="0" w:afterAutospacing="0"/>
              <w:jc w:val="center"/>
              <w:rPr>
                <w:rFonts w:ascii="Perpetua" w:hAnsi="Perpetua"/>
                <w:sz w:val="22"/>
                <w:szCs w:val="22"/>
              </w:rPr>
            </w:pPr>
            <w:r w:rsidRPr="005958F2">
              <w:rPr>
                <w:rFonts w:ascii="Perpetua" w:hAnsi="Perpetua"/>
                <w:sz w:val="22"/>
                <w:szCs w:val="22"/>
              </w:rPr>
              <w:t>high</w:t>
            </w:r>
          </w:p>
        </w:tc>
      </w:tr>
    </w:tbl>
    <w:p w:rsidR="00D86A11" w:rsidRPr="008B0AE3" w:rsidRDefault="00D86A11" w:rsidP="00D86A11">
      <w:pPr>
        <w:pStyle w:val="NormalWeb"/>
        <w:shd w:val="clear" w:color="auto" w:fill="FFFFFF"/>
        <w:spacing w:before="0" w:beforeAutospacing="0" w:after="0" w:afterAutospacing="0"/>
        <w:rPr>
          <w:rFonts w:ascii="Perpetua" w:hAnsi="Perpetua"/>
          <w:sz w:val="20"/>
          <w:szCs w:val="18"/>
        </w:rPr>
      </w:pPr>
      <w:r w:rsidRPr="008B0AE3">
        <w:rPr>
          <w:rFonts w:ascii="Perpetua" w:hAnsi="Perpetua"/>
          <w:sz w:val="20"/>
          <w:szCs w:val="18"/>
        </w:rPr>
        <w:t>* No father involvement programs were identified when the search was limited to the permanency outcomes so that filter was removed for this topic search.</w:t>
      </w:r>
    </w:p>
    <w:p w:rsidR="00D86A11" w:rsidRPr="008B0AE3" w:rsidRDefault="00D86A11" w:rsidP="00D86A11">
      <w:pPr>
        <w:pStyle w:val="NormalWeb"/>
        <w:shd w:val="clear" w:color="auto" w:fill="FFFFFF"/>
        <w:spacing w:before="0" w:beforeAutospacing="0" w:after="0" w:afterAutospacing="0"/>
        <w:rPr>
          <w:rFonts w:ascii="Perpetua" w:hAnsi="Perpetua"/>
          <w:sz w:val="20"/>
          <w:szCs w:val="18"/>
        </w:rPr>
      </w:pPr>
      <w:r w:rsidRPr="008B0AE3">
        <w:rPr>
          <w:rFonts w:ascii="Perpetua" w:hAnsi="Perpetua"/>
          <w:sz w:val="20"/>
          <w:szCs w:val="18"/>
        </w:rPr>
        <w:t xml:space="preserve">** This program has not been identified as impacting permanency outcomes but was included by request of CWS; the program does have a goal of decreasing child abuse potential. </w:t>
      </w:r>
    </w:p>
    <w:p w:rsidR="00D86A11" w:rsidRDefault="00D86A11" w:rsidP="00D86A11">
      <w:pPr>
        <w:pStyle w:val="NormalWeb"/>
        <w:shd w:val="clear" w:color="auto" w:fill="FFFFFF"/>
        <w:spacing w:before="0" w:beforeAutospacing="0" w:after="160" w:afterAutospacing="0"/>
        <w:rPr>
          <w:rFonts w:ascii="Perpetua" w:hAnsi="Perpetua"/>
          <w:sz w:val="18"/>
          <w:szCs w:val="18"/>
        </w:rPr>
      </w:pPr>
      <w:r w:rsidRPr="008B0AE3">
        <w:rPr>
          <w:rFonts w:ascii="Perpetua" w:hAnsi="Perpetua"/>
          <w:sz w:val="20"/>
          <w:szCs w:val="18"/>
        </w:rPr>
        <w:t>*** Filters for Scientific rating of 1-3 and permanency outcome were removed to find any results</w:t>
      </w:r>
      <w:r>
        <w:rPr>
          <w:rFonts w:ascii="Perpetua" w:hAnsi="Perpetua"/>
          <w:sz w:val="18"/>
          <w:szCs w:val="18"/>
        </w:rPr>
        <w:t>.</w:t>
      </w:r>
    </w:p>
    <w:p w:rsidR="00D86A11" w:rsidRDefault="00D86A11" w:rsidP="00D86A11">
      <w:pPr>
        <w:pStyle w:val="NormalWeb"/>
        <w:shd w:val="clear" w:color="auto" w:fill="FFFFFF"/>
        <w:spacing w:before="0" w:beforeAutospacing="0" w:after="120" w:afterAutospacing="0"/>
        <w:rPr>
          <w:rFonts w:ascii="Perpetua" w:hAnsi="Perpetua"/>
          <w:sz w:val="22"/>
          <w:szCs w:val="22"/>
        </w:rPr>
      </w:pPr>
      <w:r>
        <w:rPr>
          <w:rFonts w:ascii="Perpetua" w:hAnsi="Perpetua"/>
          <w:sz w:val="22"/>
          <w:szCs w:val="22"/>
        </w:rPr>
        <w:t xml:space="preserve">After a systematic review of 71 articles, Bronson, and co-authors, concluded that the limited number of rigorous research studies (experimental or quasi-experimental research) on reunification and re-entry made it impossible to draw definitive conclusions on the effectiveness of existing programs (Bronson, et al, 2008).  However, their analysis did identify numerous program models and factors that are </w:t>
      </w:r>
      <w:r>
        <w:rPr>
          <w:rFonts w:ascii="Perpetua" w:hAnsi="Perpetua"/>
          <w:i/>
          <w:sz w:val="22"/>
          <w:szCs w:val="22"/>
        </w:rPr>
        <w:t>associated</w:t>
      </w:r>
      <w:r>
        <w:rPr>
          <w:rFonts w:ascii="Perpetua" w:hAnsi="Perpetua"/>
          <w:sz w:val="22"/>
          <w:szCs w:val="22"/>
        </w:rPr>
        <w:t xml:space="preserve"> with successful family reunification. Their recommendations based on the service components found in the literature to be associated with successful reunification are provided below:</w:t>
      </w:r>
    </w:p>
    <w:p w:rsidR="00D86A11" w:rsidRDefault="00D86A11" w:rsidP="00D86A11">
      <w:pPr>
        <w:pStyle w:val="NormalWeb"/>
        <w:shd w:val="clear" w:color="auto" w:fill="FFFFFF"/>
        <w:spacing w:before="0" w:beforeAutospacing="0" w:after="0" w:afterAutospacing="0"/>
        <w:rPr>
          <w:rFonts w:ascii="Perpetua" w:hAnsi="Perpetua"/>
          <w:sz w:val="22"/>
          <w:szCs w:val="22"/>
          <w:u w:val="single"/>
        </w:rPr>
      </w:pPr>
      <w:r>
        <w:rPr>
          <w:rFonts w:ascii="Perpetua" w:hAnsi="Perpetua"/>
          <w:sz w:val="22"/>
          <w:szCs w:val="22"/>
          <w:u w:val="single"/>
        </w:rPr>
        <w:t>1. Pre-reunification Services</w:t>
      </w:r>
    </w:p>
    <w:p w:rsidR="000B1863" w:rsidRDefault="00D86A11">
      <w:pPr>
        <w:pStyle w:val="ColorfulList-Accent11"/>
        <w:numPr>
          <w:ilvl w:val="0"/>
          <w:numId w:val="24"/>
        </w:numPr>
        <w:spacing w:after="160" w:line="256" w:lineRule="auto"/>
      </w:pPr>
      <w:r w:rsidRPr="008B0AE3">
        <w:rPr>
          <w:rFonts w:ascii="Perpetua" w:hAnsi="Perpetua"/>
          <w:sz w:val="22"/>
        </w:rPr>
        <w:t>Assess parental ambivalence about the reunification and readiness using a tool such as the North Carolina Family Assessment Scale for Reunification (NCFAS-R) and address issues that are identified.</w:t>
      </w:r>
    </w:p>
    <w:p w:rsidR="000B1863" w:rsidRDefault="00D86A11">
      <w:pPr>
        <w:pStyle w:val="ColorfulList-Accent11"/>
        <w:numPr>
          <w:ilvl w:val="0"/>
          <w:numId w:val="24"/>
        </w:numPr>
        <w:spacing w:after="160" w:line="256" w:lineRule="auto"/>
      </w:pPr>
      <w:r w:rsidRPr="008B0AE3">
        <w:rPr>
          <w:rFonts w:ascii="Perpetua" w:hAnsi="Perpetua"/>
          <w:sz w:val="22"/>
        </w:rPr>
        <w:t>Prepare a detailed service plan for families.</w:t>
      </w:r>
    </w:p>
    <w:p w:rsidR="000B1863" w:rsidRDefault="00D86A11">
      <w:pPr>
        <w:pStyle w:val="ColorfulList-Accent11"/>
        <w:numPr>
          <w:ilvl w:val="0"/>
          <w:numId w:val="24"/>
        </w:numPr>
        <w:spacing w:after="160" w:line="256" w:lineRule="auto"/>
      </w:pPr>
      <w:r w:rsidRPr="008B0AE3">
        <w:rPr>
          <w:rFonts w:ascii="Perpetua" w:hAnsi="Perpetua"/>
          <w:sz w:val="22"/>
        </w:rPr>
        <w:lastRenderedPageBreak/>
        <w:t>Actively engage parents, and involve them in case planning and arrange regular contact between the parents and the child.</w:t>
      </w:r>
    </w:p>
    <w:p w:rsidR="000B1863" w:rsidRDefault="00D86A11">
      <w:pPr>
        <w:pStyle w:val="ColorfulList-Accent11"/>
        <w:numPr>
          <w:ilvl w:val="0"/>
          <w:numId w:val="24"/>
        </w:numPr>
        <w:spacing w:after="160" w:line="256" w:lineRule="auto"/>
      </w:pPr>
      <w:r w:rsidRPr="008B0AE3">
        <w:rPr>
          <w:rFonts w:ascii="Perpetua" w:hAnsi="Perpetua"/>
          <w:sz w:val="22"/>
        </w:rPr>
        <w:t>Schedule regular home visits for the child.</w:t>
      </w:r>
    </w:p>
    <w:p w:rsidR="000B1863" w:rsidRDefault="00D86A11">
      <w:pPr>
        <w:pStyle w:val="ColorfulList-Accent11"/>
        <w:numPr>
          <w:ilvl w:val="0"/>
          <w:numId w:val="24"/>
        </w:numPr>
        <w:spacing w:after="160" w:line="256" w:lineRule="auto"/>
      </w:pPr>
      <w:r w:rsidRPr="008B0AE3">
        <w:rPr>
          <w:rFonts w:ascii="Perpetua" w:hAnsi="Perpetua"/>
          <w:sz w:val="22"/>
        </w:rPr>
        <w:t>Identify family needs and match them with available community services prior to reunification.</w:t>
      </w:r>
    </w:p>
    <w:p w:rsidR="000B1863" w:rsidRDefault="00D86A11">
      <w:pPr>
        <w:pStyle w:val="ColorfulList-Accent11"/>
        <w:numPr>
          <w:ilvl w:val="0"/>
          <w:numId w:val="24"/>
        </w:numPr>
        <w:spacing w:after="160" w:line="256" w:lineRule="auto"/>
      </w:pPr>
      <w:r w:rsidRPr="008B0AE3">
        <w:rPr>
          <w:rFonts w:ascii="Perpetua" w:hAnsi="Perpetua"/>
          <w:sz w:val="22"/>
          <w:szCs w:val="22"/>
        </w:rPr>
        <w:t xml:space="preserve">Provide parenting skills training to prepare parents to deal with behavioral difficulties exhibited by their child (other articles have stressed that this training must incorporate “skill” building, practice and feedback not just classroom learning). </w:t>
      </w:r>
    </w:p>
    <w:p w:rsidR="000B1863" w:rsidRDefault="00D86A11">
      <w:pPr>
        <w:pStyle w:val="ColorfulList-Accent11"/>
        <w:numPr>
          <w:ilvl w:val="0"/>
          <w:numId w:val="24"/>
        </w:numPr>
        <w:spacing w:after="160" w:line="256" w:lineRule="auto"/>
      </w:pPr>
      <w:r w:rsidRPr="008B0AE3">
        <w:rPr>
          <w:rFonts w:ascii="Perpetua" w:hAnsi="Perpetua"/>
          <w:sz w:val="22"/>
          <w:szCs w:val="22"/>
        </w:rPr>
        <w:t>Develop training programs for workers on how to engage parents.</w:t>
      </w:r>
    </w:p>
    <w:p w:rsidR="000B1863" w:rsidRDefault="00D86A11">
      <w:pPr>
        <w:pStyle w:val="ColorfulList-Accent11"/>
        <w:numPr>
          <w:ilvl w:val="0"/>
          <w:numId w:val="24"/>
        </w:numPr>
        <w:spacing w:after="160" w:line="256" w:lineRule="auto"/>
      </w:pPr>
      <w:r w:rsidRPr="008B0AE3">
        <w:rPr>
          <w:rFonts w:ascii="Perpetua" w:hAnsi="Perpetua"/>
          <w:sz w:val="22"/>
          <w:szCs w:val="22"/>
        </w:rPr>
        <w:t>Work collaboratively with parents, children, kinship caregivers, and foster parents to prepare for reunification.</w:t>
      </w:r>
    </w:p>
    <w:p w:rsidR="00D86A11" w:rsidRDefault="00D86A11" w:rsidP="00D86A11">
      <w:pPr>
        <w:pStyle w:val="NormalWeb"/>
        <w:shd w:val="clear" w:color="auto" w:fill="FFFFFF"/>
        <w:spacing w:before="0" w:beforeAutospacing="0" w:after="0" w:afterAutospacing="0"/>
        <w:rPr>
          <w:rFonts w:ascii="Perpetua" w:hAnsi="Perpetua"/>
          <w:sz w:val="22"/>
          <w:szCs w:val="22"/>
          <w:u w:val="single"/>
        </w:rPr>
      </w:pPr>
      <w:r>
        <w:rPr>
          <w:rFonts w:ascii="Perpetua" w:hAnsi="Perpetua"/>
          <w:sz w:val="22"/>
          <w:szCs w:val="22"/>
          <w:u w:val="single"/>
        </w:rPr>
        <w:t>2. Reunification Services</w:t>
      </w:r>
    </w:p>
    <w:p w:rsidR="000B1863" w:rsidRDefault="00D86A11">
      <w:pPr>
        <w:pStyle w:val="ColorfulList-Accent11"/>
        <w:numPr>
          <w:ilvl w:val="0"/>
          <w:numId w:val="24"/>
        </w:numPr>
        <w:spacing w:after="160" w:line="256" w:lineRule="auto"/>
      </w:pPr>
      <w:r w:rsidRPr="008B0AE3">
        <w:rPr>
          <w:rFonts w:ascii="Perpetua" w:hAnsi="Perpetua"/>
          <w:sz w:val="22"/>
        </w:rPr>
        <w:t>Offer intensive, in-home services with low worker to family ratios.</w:t>
      </w:r>
    </w:p>
    <w:p w:rsidR="000B1863" w:rsidRDefault="00D86A11">
      <w:pPr>
        <w:pStyle w:val="ColorfulList-Accent11"/>
        <w:numPr>
          <w:ilvl w:val="0"/>
          <w:numId w:val="24"/>
        </w:numPr>
        <w:spacing w:after="160" w:line="256" w:lineRule="auto"/>
      </w:pPr>
      <w:r w:rsidRPr="008B0AE3">
        <w:rPr>
          <w:rFonts w:ascii="Perpetua" w:hAnsi="Perpetua"/>
          <w:sz w:val="22"/>
        </w:rPr>
        <w:t>Match services to client-identified needs for individualized programming.</w:t>
      </w:r>
    </w:p>
    <w:p w:rsidR="000B1863" w:rsidRDefault="00D86A11">
      <w:pPr>
        <w:pStyle w:val="ColorfulList-Accent11"/>
        <w:numPr>
          <w:ilvl w:val="0"/>
          <w:numId w:val="24"/>
        </w:numPr>
        <w:spacing w:after="160" w:line="256" w:lineRule="auto"/>
      </w:pPr>
      <w:r w:rsidRPr="008B0AE3">
        <w:rPr>
          <w:rFonts w:ascii="Perpetua" w:hAnsi="Perpetua"/>
          <w:sz w:val="22"/>
        </w:rPr>
        <w:t xml:space="preserve">Offer multi-component services to address the complex issues presented by family reunification, such as mental health services for parents and children, stress management support, concrete services (housing, financial, job, </w:t>
      </w:r>
      <w:r w:rsidR="00A56CE5" w:rsidRPr="008B0AE3">
        <w:rPr>
          <w:rFonts w:ascii="Perpetua" w:hAnsi="Perpetua"/>
          <w:sz w:val="22"/>
        </w:rPr>
        <w:t>and transportation</w:t>
      </w:r>
      <w:r w:rsidRPr="008B0AE3">
        <w:rPr>
          <w:rFonts w:ascii="Perpetua" w:hAnsi="Perpetua"/>
          <w:sz w:val="22"/>
        </w:rPr>
        <w:t>), substance abuse programs, counseling, and homemaker assistance.</w:t>
      </w:r>
    </w:p>
    <w:p w:rsidR="000B1863" w:rsidRDefault="00D86A11">
      <w:pPr>
        <w:pStyle w:val="ColorfulList-Accent11"/>
        <w:numPr>
          <w:ilvl w:val="0"/>
          <w:numId w:val="24"/>
        </w:numPr>
        <w:spacing w:after="160" w:line="256" w:lineRule="auto"/>
      </w:pPr>
      <w:r w:rsidRPr="008B0AE3">
        <w:rPr>
          <w:rFonts w:ascii="Perpetua" w:hAnsi="Perpetua"/>
          <w:sz w:val="22"/>
        </w:rPr>
        <w:t>Anticipate family issues and provide preventive services based on pre-reunification assessments of family strengths and needs. Services should be in place at the time of reunification to prevent the need for re-entry to care.</w:t>
      </w:r>
    </w:p>
    <w:p w:rsidR="000B1863" w:rsidRDefault="00D86A11">
      <w:pPr>
        <w:pStyle w:val="ColorfulList-Accent11"/>
        <w:numPr>
          <w:ilvl w:val="0"/>
          <w:numId w:val="24"/>
        </w:numPr>
        <w:spacing w:after="160" w:line="256" w:lineRule="auto"/>
      </w:pPr>
      <w:r w:rsidRPr="008B0AE3">
        <w:rPr>
          <w:rFonts w:ascii="Perpetua" w:hAnsi="Perpetua"/>
          <w:sz w:val="22"/>
        </w:rPr>
        <w:t>Provide special health care services for children with health needs such as respite care, nurses and aides, and social supports.</w:t>
      </w:r>
    </w:p>
    <w:p w:rsidR="000B1863" w:rsidRDefault="00D86A11">
      <w:pPr>
        <w:pStyle w:val="ColorfulList-Accent11"/>
        <w:numPr>
          <w:ilvl w:val="0"/>
          <w:numId w:val="24"/>
        </w:numPr>
        <w:spacing w:after="160" w:line="256" w:lineRule="auto"/>
      </w:pPr>
      <w:r w:rsidRPr="008B0AE3">
        <w:rPr>
          <w:rFonts w:ascii="Perpetua" w:hAnsi="Perpetua"/>
          <w:sz w:val="22"/>
        </w:rPr>
        <w:t>Provide concrete services in an effort to minimize family stresses. Offer different services for families with children in care due to neglect than for families with children in care due to other types of abuse or dependency.</w:t>
      </w:r>
    </w:p>
    <w:p w:rsidR="00D86A11" w:rsidRDefault="00D86A11" w:rsidP="00D86A11">
      <w:pPr>
        <w:pStyle w:val="NormalWeb"/>
        <w:shd w:val="clear" w:color="auto" w:fill="FFFFFF"/>
        <w:spacing w:before="0" w:beforeAutospacing="0" w:after="0" w:afterAutospacing="0"/>
        <w:rPr>
          <w:rFonts w:ascii="Perpetua" w:hAnsi="Perpetua"/>
          <w:sz w:val="22"/>
          <w:szCs w:val="22"/>
          <w:u w:val="single"/>
        </w:rPr>
      </w:pPr>
      <w:r>
        <w:rPr>
          <w:rFonts w:ascii="Perpetua" w:hAnsi="Perpetua"/>
          <w:sz w:val="22"/>
          <w:szCs w:val="22"/>
          <w:u w:val="single"/>
        </w:rPr>
        <w:t>3. Special Considerations for Children with Behavioral Problems</w:t>
      </w:r>
    </w:p>
    <w:p w:rsidR="000B1863" w:rsidRDefault="00D86A11">
      <w:pPr>
        <w:pStyle w:val="ColorfulList-Accent11"/>
        <w:numPr>
          <w:ilvl w:val="0"/>
          <w:numId w:val="24"/>
        </w:numPr>
        <w:spacing w:after="160" w:line="256" w:lineRule="auto"/>
      </w:pPr>
      <w:r w:rsidRPr="008B0AE3">
        <w:rPr>
          <w:rFonts w:ascii="Perpetua" w:hAnsi="Perpetua"/>
          <w:sz w:val="22"/>
          <w:szCs w:val="22"/>
        </w:rPr>
        <w:t>Work with courts to create expedited review processes.</w:t>
      </w:r>
    </w:p>
    <w:p w:rsidR="000B1863" w:rsidRDefault="00D86A11">
      <w:pPr>
        <w:pStyle w:val="ColorfulList-Accent11"/>
        <w:numPr>
          <w:ilvl w:val="0"/>
          <w:numId w:val="24"/>
        </w:numPr>
        <w:spacing w:after="160" w:line="256" w:lineRule="auto"/>
      </w:pPr>
      <w:r w:rsidRPr="008B0AE3">
        <w:rPr>
          <w:rFonts w:ascii="Perpetua" w:hAnsi="Perpetua"/>
          <w:sz w:val="22"/>
          <w:szCs w:val="22"/>
        </w:rPr>
        <w:t>Deal with parental ambivalence about reunification with an unruly child. Assist them in increasing ability to effectively manage the child’s disruptive behaviors.</w:t>
      </w:r>
    </w:p>
    <w:p w:rsidR="000B1863" w:rsidRDefault="00D86A11">
      <w:pPr>
        <w:pStyle w:val="ColorfulList-Accent11"/>
        <w:numPr>
          <w:ilvl w:val="0"/>
          <w:numId w:val="24"/>
        </w:numPr>
        <w:spacing w:after="160" w:line="256" w:lineRule="auto"/>
      </w:pPr>
      <w:r w:rsidRPr="008B0AE3">
        <w:rPr>
          <w:rFonts w:ascii="Perpetua" w:hAnsi="Perpetua"/>
          <w:sz w:val="22"/>
          <w:szCs w:val="22"/>
        </w:rPr>
        <w:t>Provide services similar to the Multi-Dimensional Treatment Foster Care program in Oregon and work with parents and foster parents to implement a consistent behavior management program.</w:t>
      </w:r>
    </w:p>
    <w:p w:rsidR="00D86A11" w:rsidRPr="008B0AE3" w:rsidRDefault="00D86A11" w:rsidP="00D86A11">
      <w:pPr>
        <w:spacing w:after="0"/>
        <w:rPr>
          <w:szCs w:val="22"/>
        </w:rPr>
      </w:pPr>
      <w:r w:rsidRPr="008B0AE3">
        <w:rPr>
          <w:szCs w:val="22"/>
        </w:rPr>
        <w:t xml:space="preserve">Additional recommendations offered by organizations that have reviewed the research on permanency include: </w:t>
      </w:r>
    </w:p>
    <w:p w:rsidR="000B1863" w:rsidRDefault="00D86A11">
      <w:pPr>
        <w:pStyle w:val="ColorfulList-Accent11"/>
        <w:numPr>
          <w:ilvl w:val="0"/>
          <w:numId w:val="24"/>
        </w:numPr>
        <w:spacing w:after="160" w:line="256" w:lineRule="auto"/>
      </w:pPr>
      <w:r w:rsidRPr="008B0AE3">
        <w:rPr>
          <w:rFonts w:ascii="Perpetua" w:hAnsi="Perpetua"/>
          <w:sz w:val="22"/>
          <w:szCs w:val="22"/>
        </w:rPr>
        <w:t>Frequent contact with the biological family while the child is in out-of-home care</w:t>
      </w:r>
    </w:p>
    <w:p w:rsidR="000B1863" w:rsidRDefault="00D86A11">
      <w:pPr>
        <w:pStyle w:val="ColorfulList-Accent11"/>
        <w:numPr>
          <w:ilvl w:val="0"/>
          <w:numId w:val="24"/>
        </w:numPr>
        <w:spacing w:after="160" w:line="256" w:lineRule="auto"/>
      </w:pPr>
      <w:r w:rsidRPr="008B0AE3">
        <w:rPr>
          <w:rFonts w:ascii="Perpetua" w:hAnsi="Perpetua"/>
          <w:sz w:val="22"/>
          <w:szCs w:val="22"/>
        </w:rPr>
        <w:t>Involvement of a peer mentor or advocate to assist the parents and normalize their experiences</w:t>
      </w:r>
    </w:p>
    <w:p w:rsidR="000B1863" w:rsidRDefault="00D86A11">
      <w:pPr>
        <w:pStyle w:val="ColorfulList-Accent11"/>
        <w:numPr>
          <w:ilvl w:val="0"/>
          <w:numId w:val="24"/>
        </w:numPr>
        <w:spacing w:after="160" w:line="256" w:lineRule="auto"/>
      </w:pPr>
      <w:r w:rsidRPr="008B0AE3">
        <w:rPr>
          <w:rFonts w:ascii="Perpetua" w:hAnsi="Perpetua"/>
          <w:sz w:val="22"/>
          <w:szCs w:val="22"/>
        </w:rPr>
        <w:t>Cultural competency of service providers</w:t>
      </w:r>
    </w:p>
    <w:p w:rsidR="000B1863" w:rsidRDefault="00D86A11">
      <w:pPr>
        <w:pStyle w:val="ColorfulList-Accent11"/>
        <w:numPr>
          <w:ilvl w:val="0"/>
          <w:numId w:val="24"/>
        </w:numPr>
        <w:spacing w:after="160" w:line="256" w:lineRule="auto"/>
      </w:pPr>
      <w:r w:rsidRPr="008B0AE3">
        <w:rPr>
          <w:rFonts w:ascii="Perpetua" w:hAnsi="Perpetua"/>
          <w:sz w:val="22"/>
          <w:szCs w:val="22"/>
        </w:rPr>
        <w:t>Services tied to addiction and substance abuse</w:t>
      </w:r>
    </w:p>
    <w:p w:rsidR="000B1863" w:rsidRDefault="00D86A11">
      <w:pPr>
        <w:pStyle w:val="ColorfulList-Accent11"/>
        <w:numPr>
          <w:ilvl w:val="0"/>
          <w:numId w:val="24"/>
        </w:numPr>
        <w:spacing w:after="160" w:line="256" w:lineRule="auto"/>
      </w:pPr>
      <w:r w:rsidRPr="008B0AE3">
        <w:rPr>
          <w:rFonts w:ascii="Perpetua" w:hAnsi="Perpetua"/>
          <w:sz w:val="22"/>
          <w:szCs w:val="22"/>
        </w:rPr>
        <w:t>Careful placement decision making</w:t>
      </w:r>
    </w:p>
    <w:p w:rsidR="000B1863" w:rsidRDefault="00D86A11">
      <w:pPr>
        <w:pStyle w:val="ColorfulList-Accent11"/>
        <w:numPr>
          <w:ilvl w:val="0"/>
          <w:numId w:val="24"/>
        </w:numPr>
        <w:spacing w:after="160" w:line="256" w:lineRule="auto"/>
      </w:pPr>
      <w:r w:rsidRPr="008B0AE3">
        <w:rPr>
          <w:rFonts w:ascii="Perpetua" w:hAnsi="Perpetua"/>
          <w:sz w:val="22"/>
          <w:szCs w:val="22"/>
        </w:rPr>
        <w:t>Aftercare or “post reunification” services tailored to the individual needs of the child and family such as clinical services, concrete services (job training, income support, child care, housing), and support networks (respite, peer support). (AHA, 2012, NRCPFC, 2014)</w:t>
      </w:r>
    </w:p>
    <w:p w:rsidR="00D86A11" w:rsidRDefault="00D86A11" w:rsidP="00D86A11">
      <w:pPr>
        <w:pStyle w:val="Heading2"/>
        <w:rPr>
          <w:rFonts w:ascii="Perpetua" w:hAnsi="Perpetua"/>
        </w:rPr>
      </w:pPr>
      <w:r>
        <w:rPr>
          <w:rFonts w:ascii="Perpetua" w:hAnsi="Perpetua"/>
        </w:rPr>
        <w:t>Additional Programs of Interest</w:t>
      </w:r>
    </w:p>
    <w:p w:rsidR="00D86A11" w:rsidRDefault="00D86A11" w:rsidP="00D86A11">
      <w:r>
        <w:t>As noted earlier, there are few programs that can truly be described as evidence-based, and some, such as Incredible Years and Safe Care are already in use in San Diego County. Rather than re-create lists already available elsewhere, the programs below were selected because they address areas in which the County of San Diego has expressed an interest and they show promise and/or are innovative.</w:t>
      </w:r>
    </w:p>
    <w:p w:rsidR="00D86A11" w:rsidRDefault="00D86A11" w:rsidP="00D86A11">
      <w:pPr>
        <w:pStyle w:val="Heading5"/>
        <w:rPr>
          <w:rFonts w:ascii="Perpetua" w:hAnsi="Perpetua"/>
          <w:i w:val="0"/>
          <w:color w:val="auto"/>
          <w:u w:val="single"/>
        </w:rPr>
      </w:pPr>
    </w:p>
    <w:p w:rsidR="00D86A11" w:rsidRPr="00D47AA6" w:rsidRDefault="00D86A11" w:rsidP="00D86A11">
      <w:pPr>
        <w:pStyle w:val="Heading5"/>
        <w:rPr>
          <w:rFonts w:ascii="Perpetua" w:hAnsi="Perpetua"/>
          <w:i w:val="0"/>
          <w:color w:val="auto"/>
          <w:u w:val="single"/>
        </w:rPr>
      </w:pPr>
      <w:r w:rsidRPr="00D47AA6">
        <w:rPr>
          <w:rFonts w:ascii="Perpetua" w:hAnsi="Perpetua"/>
          <w:i w:val="0"/>
          <w:color w:val="auto"/>
          <w:u w:val="single"/>
        </w:rPr>
        <w:t>Visitation Strategies</w:t>
      </w:r>
    </w:p>
    <w:p w:rsidR="00D86A11" w:rsidRPr="00D47AA6" w:rsidRDefault="00D86A11" w:rsidP="00D86A11">
      <w:pPr>
        <w:rPr>
          <w:szCs w:val="22"/>
        </w:rPr>
      </w:pPr>
      <w:r w:rsidRPr="00D47AA6">
        <w:rPr>
          <w:szCs w:val="22"/>
        </w:rPr>
        <w:t xml:space="preserve">The Clay County, Minnesota team participating in the </w:t>
      </w:r>
      <w:r w:rsidRPr="00D47AA6">
        <w:rPr>
          <w:i/>
          <w:szCs w:val="22"/>
        </w:rPr>
        <w:t>Casey Breakthrough Series Collaborative (BSC) on Timely Permanency</w:t>
      </w:r>
      <w:r w:rsidRPr="00D47AA6">
        <w:rPr>
          <w:szCs w:val="22"/>
        </w:rPr>
        <w:t xml:space="preserve"> focused on </w:t>
      </w:r>
      <w:r w:rsidRPr="00D47AA6">
        <w:rPr>
          <w:szCs w:val="22"/>
          <w:u w:val="single"/>
        </w:rPr>
        <w:t>Supervised Visitation</w:t>
      </w:r>
      <w:r w:rsidRPr="00D47AA6">
        <w:rPr>
          <w:szCs w:val="22"/>
        </w:rPr>
        <w:t xml:space="preserve"> with the goal of moving family visits more quickly from supervised to unsupervised. All cases with supervised visitation in a particular work unit were reviewed during weekly unit meetings where workers examined each case to identify any safety reasons that required that visits remain supervised. The team refined the process by developing standardized questions to use during the reviews. After testing this practice for five weeks, the team saw that by assessing the need for supervised visits on a regular basis, workers were able to recommend unsupervised visitation more qu</w:t>
      </w:r>
      <w:r>
        <w:rPr>
          <w:szCs w:val="22"/>
        </w:rPr>
        <w:t>ickly</w:t>
      </w:r>
      <w:r w:rsidRPr="00D47AA6">
        <w:rPr>
          <w:szCs w:val="22"/>
        </w:rPr>
        <w:t xml:space="preserve"> (Casey Family Programs, 2011)</w:t>
      </w:r>
      <w:r>
        <w:rPr>
          <w:szCs w:val="22"/>
        </w:rPr>
        <w:t>.</w:t>
      </w:r>
    </w:p>
    <w:p w:rsidR="00D86A11" w:rsidRPr="00D47AA6" w:rsidRDefault="00D86A11" w:rsidP="00D86A11">
      <w:pPr>
        <w:spacing w:after="0"/>
        <w:rPr>
          <w:szCs w:val="22"/>
        </w:rPr>
      </w:pPr>
      <w:r w:rsidRPr="00D47AA6">
        <w:rPr>
          <w:szCs w:val="22"/>
        </w:rPr>
        <w:t xml:space="preserve">Iowa initiated </w:t>
      </w:r>
      <w:r w:rsidRPr="00D47AA6">
        <w:rPr>
          <w:szCs w:val="22"/>
          <w:u w:val="single"/>
        </w:rPr>
        <w:t>Family Interaction Guidelines</w:t>
      </w:r>
      <w:r w:rsidRPr="00D47AA6">
        <w:rPr>
          <w:szCs w:val="22"/>
        </w:rPr>
        <w:t xml:space="preserve"> statewide in 2009. Working with foster parents and other stakeholders they developed a plan to increase the quantity and quality of parent/child interaction in child welfare cases. Family interaction plans specify the goals of parent-child visits with an emphasis on progress along established guidelines. The phases of interaction include:</w:t>
      </w:r>
    </w:p>
    <w:p w:rsidR="000B1863" w:rsidRDefault="00D86A11">
      <w:pPr>
        <w:pStyle w:val="ColorfulList-Accent11"/>
        <w:numPr>
          <w:ilvl w:val="0"/>
          <w:numId w:val="23"/>
        </w:numPr>
        <w:spacing w:line="276" w:lineRule="auto"/>
      </w:pPr>
      <w:r w:rsidRPr="00D47AA6">
        <w:rPr>
          <w:rFonts w:ascii="Perpetua" w:hAnsi="Perpetua"/>
          <w:sz w:val="22"/>
          <w:szCs w:val="22"/>
        </w:rPr>
        <w:t>2-4 weeks of supervised visits in the most homelike setting possible, focusing on natural parent-child interactions that allow for assessment of the parent’s capacity to parent</w:t>
      </w:r>
    </w:p>
    <w:p w:rsidR="000B1863" w:rsidRDefault="00D86A11">
      <w:pPr>
        <w:pStyle w:val="ColorfulList-Accent11"/>
        <w:numPr>
          <w:ilvl w:val="0"/>
          <w:numId w:val="23"/>
        </w:numPr>
        <w:spacing w:line="276" w:lineRule="auto"/>
      </w:pPr>
      <w:r w:rsidRPr="00D47AA6">
        <w:rPr>
          <w:rFonts w:ascii="Perpetua" w:hAnsi="Perpetua"/>
          <w:sz w:val="22"/>
          <w:szCs w:val="22"/>
        </w:rPr>
        <w:t>Several months of partially supervised visits, moving toward overnights, allowing the parent to learn and practice new skills and behaviors</w:t>
      </w:r>
    </w:p>
    <w:p w:rsidR="000B1863" w:rsidRDefault="00D86A11">
      <w:pPr>
        <w:pStyle w:val="ColorfulList-Accent11"/>
        <w:numPr>
          <w:ilvl w:val="0"/>
          <w:numId w:val="23"/>
        </w:numPr>
        <w:spacing w:after="160" w:line="276" w:lineRule="auto"/>
      </w:pPr>
      <w:r w:rsidRPr="00D47AA6">
        <w:rPr>
          <w:rFonts w:ascii="Perpetua" w:hAnsi="Perpetua"/>
          <w:sz w:val="22"/>
          <w:szCs w:val="22"/>
        </w:rPr>
        <w:t>Transition to reunification, providing maximum opportunities for parent-child interactions</w:t>
      </w:r>
    </w:p>
    <w:p w:rsidR="00D86A11" w:rsidRPr="00D47AA6" w:rsidRDefault="00D86A11" w:rsidP="00D86A11">
      <w:pPr>
        <w:rPr>
          <w:szCs w:val="22"/>
        </w:rPr>
      </w:pPr>
      <w:r w:rsidRPr="00D47AA6">
        <w:rPr>
          <w:szCs w:val="22"/>
        </w:rPr>
        <w:t xml:space="preserve">These phases are spelled out in a written family interaction plan that, ideally, is developed in a family team meeting, with input from the family, children, foster parents, relatives, and providers. The plan is revised as needed, but interaction is only denied or limited if the child’s health, safety, or well-being is jeopardized. The plans detail the frequency, location, and activities of visits with parents, siblings, and other important persons. The Family Interaction Practice Bulletin is available at: </w:t>
      </w:r>
      <w:hyperlink r:id="rId120" w:history="1">
        <w:r w:rsidRPr="00D47AA6">
          <w:rPr>
            <w:rStyle w:val="Hyperlink"/>
            <w:rFonts w:ascii="Perpetua" w:hAnsi="Perpetua"/>
            <w:szCs w:val="22"/>
          </w:rPr>
          <w:t>https://dhs.iowa.gov/sites/default/files/10.09_Family_Interaction_Practice_Bulletin.pdf</w:t>
        </w:r>
      </w:hyperlink>
      <w:r w:rsidRPr="00D47AA6">
        <w:rPr>
          <w:szCs w:val="22"/>
        </w:rPr>
        <w:t xml:space="preserve">  </w:t>
      </w:r>
    </w:p>
    <w:p w:rsidR="00D86A11" w:rsidRPr="00D47AA6" w:rsidRDefault="00D86A11" w:rsidP="00D86A11">
      <w:pPr>
        <w:autoSpaceDE w:val="0"/>
        <w:autoSpaceDN w:val="0"/>
        <w:adjustRightInd w:val="0"/>
        <w:rPr>
          <w:szCs w:val="22"/>
        </w:rPr>
      </w:pPr>
      <w:r w:rsidRPr="00D47AA6">
        <w:rPr>
          <w:rStyle w:val="Hyperlink"/>
          <w:rFonts w:ascii="Perpetua" w:hAnsi="Perpetua"/>
          <w:color w:val="auto"/>
          <w:szCs w:val="22"/>
        </w:rPr>
        <w:t xml:space="preserve">Honomichl, </w:t>
      </w:r>
      <w:r w:rsidRPr="00D47AA6">
        <w:rPr>
          <w:szCs w:val="22"/>
        </w:rPr>
        <w:t xml:space="preserve">Hatton, and Brooks (2009) note that while the practice of </w:t>
      </w:r>
      <w:r w:rsidRPr="00D47AA6">
        <w:rPr>
          <w:szCs w:val="22"/>
          <w:u w:val="single"/>
        </w:rPr>
        <w:t>Visit Coaching</w:t>
      </w:r>
      <w:r w:rsidRPr="00D47AA6">
        <w:rPr>
          <w:szCs w:val="22"/>
        </w:rPr>
        <w:t xml:space="preserve"> is growing (i.e. New York, Oregon, Bermuda, Los Angeles, and Vermont), no research studies yet exist demonstrating the efficacy of implementing visit coaching in child welfare. They note, however, that strategies that implement methods requiring parental involvement versus parent education alone are more effective in reunifying families with best results seen when the two strategies are combined.</w:t>
      </w:r>
    </w:p>
    <w:p w:rsidR="00D86A11" w:rsidRPr="00D47AA6" w:rsidRDefault="00D86A11" w:rsidP="00D86A11">
      <w:pPr>
        <w:autoSpaceDE w:val="0"/>
        <w:autoSpaceDN w:val="0"/>
        <w:adjustRightInd w:val="0"/>
        <w:rPr>
          <w:rStyle w:val="Hyperlink"/>
          <w:rFonts w:ascii="Perpetua" w:hAnsi="Perpetua"/>
          <w:color w:val="auto"/>
          <w:szCs w:val="22"/>
        </w:rPr>
      </w:pPr>
      <w:r w:rsidRPr="00D47AA6">
        <w:rPr>
          <w:szCs w:val="22"/>
        </w:rPr>
        <w:t xml:space="preserve">Partners for Our Children and Washington State are working together to improve visitation by implementing a new </w:t>
      </w:r>
      <w:r w:rsidRPr="00D47AA6">
        <w:rPr>
          <w:szCs w:val="22"/>
          <w:u w:val="single"/>
        </w:rPr>
        <w:t>Strive Supervised Visitation</w:t>
      </w:r>
      <w:r w:rsidRPr="00D47AA6">
        <w:rPr>
          <w:szCs w:val="22"/>
        </w:rPr>
        <w:t xml:space="preserve"> program. Similar to San Diego’s model, a "Visit Navigator" is present during the visit, and then debriefs with the parent following the child’s departure. Navigators engage in assessment and monitoring throughout the visit and provide a report to the Children’s Administration after each visit. What is unique is that it appears that there are planned sessions for each visit. As of January 2016, 15 sessions had been developed. During the program pre-test, it was identified that the first five sessions of the Strive Supervised Visitation Program provided essential information and support to parents, and appeared to be promising as an initial engagement strategy for parents. The first pilot will compare parent engagement outcomes for 25 parents who participate in first five sessions of the Strive program versus 25 parents who participate in services-as-usual supervised visitation. The WA State family visitation policies were updated in February 2016 and are available at: </w:t>
      </w:r>
      <w:hyperlink r:id="rId121" w:history="1">
        <w:r w:rsidRPr="00D47AA6">
          <w:rPr>
            <w:rStyle w:val="Hyperlink"/>
            <w:rFonts w:ascii="Perpetua" w:hAnsi="Perpetua"/>
            <w:szCs w:val="22"/>
          </w:rPr>
          <w:t>https://www.dshs.wa.gov/ca/4250-assessment-out-home-placement/4254-parent-child-and-sibling-visits</w:t>
        </w:r>
      </w:hyperlink>
      <w:r w:rsidRPr="00D47AA6">
        <w:rPr>
          <w:rStyle w:val="Hyperlink"/>
          <w:rFonts w:ascii="Perpetua" w:hAnsi="Perpetua"/>
          <w:szCs w:val="22"/>
        </w:rPr>
        <w:t>. (Washington State, 2016)</w:t>
      </w:r>
    </w:p>
    <w:p w:rsidR="00D86A11" w:rsidRPr="00D47AA6" w:rsidRDefault="00D86A11" w:rsidP="00D86A11">
      <w:pPr>
        <w:autoSpaceDE w:val="0"/>
        <w:autoSpaceDN w:val="0"/>
        <w:adjustRightInd w:val="0"/>
        <w:rPr>
          <w:szCs w:val="22"/>
        </w:rPr>
      </w:pPr>
      <w:r w:rsidRPr="00D47AA6">
        <w:rPr>
          <w:szCs w:val="22"/>
        </w:rPr>
        <w:t xml:space="preserve">In addition, the </w:t>
      </w:r>
      <w:r w:rsidRPr="00D47AA6">
        <w:rPr>
          <w:szCs w:val="22"/>
          <w:u w:val="single"/>
        </w:rPr>
        <w:t>Family Impact Network</w:t>
      </w:r>
      <w:r w:rsidRPr="00D47AA6">
        <w:rPr>
          <w:szCs w:val="22"/>
        </w:rPr>
        <w:t xml:space="preserve"> in Spokane Washington is monitoring wait times of visitation providers and other data elements through a newly designed software-based platform called </w:t>
      </w:r>
      <w:r w:rsidRPr="00D47AA6">
        <w:rPr>
          <w:szCs w:val="22"/>
          <w:u w:val="single"/>
        </w:rPr>
        <w:t>"Oliver."</w:t>
      </w:r>
      <w:r w:rsidRPr="00D47AA6">
        <w:rPr>
          <w:szCs w:val="22"/>
        </w:rPr>
        <w:t xml:space="preserve"> They are able to compare </w:t>
      </w:r>
      <w:r w:rsidRPr="00D47AA6">
        <w:rPr>
          <w:szCs w:val="22"/>
        </w:rPr>
        <w:lastRenderedPageBreak/>
        <w:t>visitation related metrics across contractors and easily provide timely information to caseworkers so that the workers can make more informed decisions about which providers to use in the best interests of the children and families.</w:t>
      </w:r>
    </w:p>
    <w:p w:rsidR="00D86A11" w:rsidRDefault="00D86A11" w:rsidP="00D86A11">
      <w:pPr>
        <w:autoSpaceDE w:val="0"/>
        <w:autoSpaceDN w:val="0"/>
        <w:adjustRightInd w:val="0"/>
      </w:pPr>
      <w:r>
        <w:t>The</w:t>
      </w:r>
      <w:r>
        <w:rPr>
          <w:u w:val="single"/>
        </w:rPr>
        <w:t xml:space="preserve"> VISIT Program</w:t>
      </w:r>
      <w:r>
        <w:t xml:space="preserve"> is a coordinated effort between Nassau County New York courts, Department of Social Services and the Institute for Parenting at Adelphi University. It provides an intensive therapeutic environment for visitation. The parents and children (under age three) who participate in the program undergo a comprehensive clinical assessment which becomes the basis for the case services plan as well as a therapeutic visitation plan. Modeled after the Miami/Dade County 0-3 Program, visits are supervised by a clinician who meets with the parent before and after the visit to develop strategies, promote skills and support the emotional well-being of the parent. Parents and children participate in at least 26 weekly psychotherapy sessions. </w:t>
      </w:r>
    </w:p>
    <w:p w:rsidR="00D86A11" w:rsidRDefault="00D86A11" w:rsidP="00D86A11">
      <w:pPr>
        <w:autoSpaceDE w:val="0"/>
        <w:autoSpaceDN w:val="0"/>
        <w:adjustRightInd w:val="0"/>
      </w:pPr>
      <w:r>
        <w:t xml:space="preserve">The </w:t>
      </w:r>
      <w:r>
        <w:rPr>
          <w:u w:val="single"/>
        </w:rPr>
        <w:t xml:space="preserve">Fordham Interdisciplinary Parent Representation Project </w:t>
      </w:r>
      <w:r>
        <w:t>is engaging stakeholders and jurisdictions in defining best visitation practices for New York City’s Administration for Children’s Services (ACS). In 2011, the group was in the final stages of developing two tools. The first is a caseworker desk aid that would outline visitation options, preparing a family to participate in a visit, developing a comprehensive plan, setting expectations between visits and determining when to review the plan. The second tool would assist all parties in determining the appropriate level of supervision needed for a particular child and parent. (NY State CWCIP, 2011)</w:t>
      </w:r>
    </w:p>
    <w:p w:rsidR="00D86A11" w:rsidRDefault="00D86A11" w:rsidP="00D86A11">
      <w:pPr>
        <w:autoSpaceDE w:val="0"/>
        <w:autoSpaceDN w:val="0"/>
        <w:adjustRightInd w:val="0"/>
      </w:pPr>
      <w:r>
        <w:t xml:space="preserve">Also, as part of the Cornerstone Advocacy approach in New York (described in more detail under Court Improvements below) visiting is reframed as “parenting time,” since it is not natural for time spent between a parent and child to be labeled as a “visit.” </w:t>
      </w:r>
    </w:p>
    <w:p w:rsidR="00D86A11" w:rsidRDefault="00D86A11" w:rsidP="00D86A11">
      <w:pPr>
        <w:autoSpaceDE w:val="0"/>
        <w:autoSpaceDN w:val="0"/>
        <w:adjustRightInd w:val="0"/>
      </w:pPr>
      <w:r>
        <w:rPr>
          <w:u w:val="single"/>
        </w:rPr>
        <w:t>Additional Visitation Resources:</w:t>
      </w:r>
      <w:r>
        <w:t xml:space="preserve"> Several reports and state practice guides on parent-child visits are available at the Child Welfare Information Gateway website: </w:t>
      </w:r>
      <w:hyperlink r:id="rId122" w:history="1">
        <w:r w:rsidRPr="000F0EC6">
          <w:rPr>
            <w:rStyle w:val="Hyperlink"/>
            <w:rFonts w:ascii="Perpetua" w:hAnsi="Perpetua"/>
          </w:rPr>
          <w:t>https://www.childwelfare.gov/topics/outofhome/casework/casework-practice-with-birth-families/visiting/</w:t>
        </w:r>
      </w:hyperlink>
      <w:r w:rsidRPr="000F0EC6">
        <w:rPr>
          <w:rStyle w:val="Hyperlink"/>
          <w:rFonts w:ascii="Perpetua" w:hAnsi="Perpetua"/>
        </w:rPr>
        <w:t>.</w:t>
      </w:r>
    </w:p>
    <w:p w:rsidR="00D86A11" w:rsidRPr="000F0EC6" w:rsidRDefault="00D86A11" w:rsidP="00D86A11">
      <w:pPr>
        <w:pStyle w:val="Heading5"/>
        <w:rPr>
          <w:rFonts w:ascii="Perpetua" w:hAnsi="Perpetua"/>
          <w:i w:val="0"/>
          <w:color w:val="auto"/>
          <w:u w:val="single"/>
        </w:rPr>
      </w:pPr>
      <w:r>
        <w:rPr>
          <w:rFonts w:ascii="Perpetua" w:hAnsi="Perpetua"/>
          <w:i w:val="0"/>
          <w:color w:val="auto"/>
          <w:u w:val="single"/>
        </w:rPr>
        <w:t xml:space="preserve">Family Engagement </w:t>
      </w:r>
      <w:r w:rsidR="00A56CE5">
        <w:rPr>
          <w:rFonts w:ascii="Perpetua" w:hAnsi="Perpetua"/>
          <w:i w:val="0"/>
          <w:color w:val="auto"/>
          <w:u w:val="single"/>
        </w:rPr>
        <w:t>Strategies</w:t>
      </w:r>
    </w:p>
    <w:p w:rsidR="00D86A11" w:rsidRDefault="00D86A11" w:rsidP="00D86A11">
      <w:r>
        <w:t xml:space="preserve">A published, quasi-experimental study of a </w:t>
      </w:r>
      <w:r>
        <w:rPr>
          <w:u w:val="single"/>
        </w:rPr>
        <w:t>Parent Partner</w:t>
      </w:r>
      <w:r>
        <w:t xml:space="preserve"> program found that 58.9% of children whose parents were involved in the Parent Partner program reunified, compared to 25.5% of children whose parents were not involved in the program. In addition, parents using the services of a Parent Partner were four times more likely to reunify than a matched sample of parents who were served in the county prior to the program’s implementation. The Parent Partners’ services included meeting the parent at the initial detention hearing and offering his/her services, attending meetings with the parent, helping the parent to communicate effectively with professionals in the system, and encouraging the parent to engage in services, and in the case of substance abusing parents, encouraging them to remain sober. The journal article also describes several other parent partner programs which show promise including some that use “recovery coaches” to support substance abusing parents. Most had limited evaluation data published, if any; however, the State of Illinois’ Title IV-E Waiver project found that parents in the experimental group, receiving services from recovery coaches, were more likely to reunify than the control group although reunification rates for both were low (possibly due to the substance abusing population served). (Berrick et al, 2011)</w:t>
      </w:r>
    </w:p>
    <w:p w:rsidR="00D86A11" w:rsidRDefault="00D86A11" w:rsidP="00D86A11">
      <w:r>
        <w:t xml:space="preserve">The Iowa </w:t>
      </w:r>
      <w:r>
        <w:rPr>
          <w:i/>
        </w:rPr>
        <w:t>Casey Breakthrough Series Collaborative (BSC) on Timely Permanency</w:t>
      </w:r>
      <w:r>
        <w:t xml:space="preserve"> team used </w:t>
      </w:r>
      <w:r>
        <w:rPr>
          <w:u w:val="single"/>
        </w:rPr>
        <w:t xml:space="preserve">Icebreaker Meetings </w:t>
      </w:r>
      <w:r>
        <w:t xml:space="preserve">between birth parents and foster parents as soon as possible upon a child’s entry into the system. The intent of the meeting was to set the stage for foster parents to engage in a mentoring relationship with birth parents. The expectation was that improved relationships between caregivers would provide children in care with more opportunities for meaningful contact with their parents and lead to more timely reunifications. Moreover, the team hoped to impact disproportionality by addressing the cultural divide that can occur when children of color are placed with white foster parents. They anticipated that icebreaker meetings would tear down preconceived stereotypes often held by birth and foster parents about each other. In addition, a modified version of the icebreaker meeting is being used with relative </w:t>
      </w:r>
      <w:r>
        <w:lastRenderedPageBreak/>
        <w:t xml:space="preserve">caregivers to help foster a supportive relative caretaker and birth parent relationship prior to the children being placed in relative care. </w:t>
      </w:r>
    </w:p>
    <w:p w:rsidR="00D86A11" w:rsidRDefault="00D86A11" w:rsidP="00D86A11">
      <w:r>
        <w:rPr>
          <w:u w:val="single"/>
        </w:rPr>
        <w:t>The Birth Parents and Foster Parents United</w:t>
      </w:r>
      <w:r>
        <w:t xml:space="preserve"> BSC team in Compton, California sought to improve relationships between birth parents and foster parents and to cultivate a partnership for transitioning youth from foster care back home. Social workers coordinate a team decision-making meeting that includes birth parents and foster parents. This meeting serves to formally introduce birth parents to foster parents, clarify their respective roles, and set the stage for a positive relationship. Foster parents use visits as an opportunity to update birth parents about their children, and to exchange information with parents about household rules, routines, and parenting techniques. Moreover, outside of visits, birth parents and foster parents are encouraged to have weekly telephone contact to discuss school performance, behaviors, eating habits, and information about recent medical visits, etc. This practice proved very successful in establishing better partnerships between birth parents and foster caregivers. As a result, the team reported fewer foster placement disruptions and fewer complaints from birth parents about foster caregivers.</w:t>
      </w:r>
    </w:p>
    <w:p w:rsidR="00D86A11" w:rsidRDefault="00D86A11" w:rsidP="00D86A11">
      <w:r>
        <w:t xml:space="preserve">The Compton, California team also came up with a tool titled </w:t>
      </w:r>
      <w:r>
        <w:rPr>
          <w:u w:val="single"/>
        </w:rPr>
        <w:t>Calendaring Your Success</w:t>
      </w:r>
      <w:r>
        <w:t>. This practice involves judges providing a calendar to parents in court. The calendar serves as a tool to organize important dates and contacts. Moreover, the contents include information about court etiquette, birth parents’ rights and responsibilities, definitions and explanations about the court and child welfare systems, how to file complaints, available services and support, and space to record important contacts. Both English and Spanish versions were developed. The calendars have been deemed a success and families are reportedly bringing their calendars to team decision-making meetings and other case proceedings.</w:t>
      </w:r>
    </w:p>
    <w:p w:rsidR="00D86A11" w:rsidRDefault="00D86A11" w:rsidP="00D86A11">
      <w:pPr>
        <w:spacing w:line="23" w:lineRule="atLeast"/>
      </w:pPr>
      <w:r>
        <w:t xml:space="preserve">The Oklahoma and Fairfax County BSC teams both used young adults who were former foster youth to meet with youth new to the system. The role of the </w:t>
      </w:r>
      <w:r>
        <w:rPr>
          <w:u w:val="single"/>
        </w:rPr>
        <w:t xml:space="preserve">Peer Mentor </w:t>
      </w:r>
      <w:r>
        <w:t xml:space="preserve">was to help the foster youth understand foster care, their rights, and how their voices can be heard. New foster youth were asked if they would like to meet with a peer mentor and peer mentors were provided training on their role. </w:t>
      </w:r>
    </w:p>
    <w:p w:rsidR="00D86A11" w:rsidRDefault="00D86A11" w:rsidP="00D86A11">
      <w:pPr>
        <w:spacing w:line="23" w:lineRule="atLeast"/>
      </w:pPr>
      <w:r>
        <w:t xml:space="preserve">The Iowa BSC team implemented </w:t>
      </w:r>
      <w:r>
        <w:rPr>
          <w:u w:val="single"/>
        </w:rPr>
        <w:t>Family Team Meetings</w:t>
      </w:r>
      <w:r>
        <w:t xml:space="preserve"> every 30 days. Additionally, the focus of the meetings was refined to “what can be accomplished today, within 2 weeks, and by the next meeting (within the next 30 days)?” By the end of the BSC, the practice had spread to two counties in their service area.</w:t>
      </w:r>
    </w:p>
    <w:p w:rsidR="00D86A11" w:rsidRDefault="00D86A11" w:rsidP="00D86A11">
      <w:pPr>
        <w:spacing w:line="23" w:lineRule="atLeast"/>
      </w:pPr>
      <w:r>
        <w:t xml:space="preserve">By using </w:t>
      </w:r>
      <w:r>
        <w:rPr>
          <w:u w:val="single"/>
        </w:rPr>
        <w:t>Skype technology in court hearings</w:t>
      </w:r>
      <w:r>
        <w:t xml:space="preserve">, the San Francisco BSC team strategized that they could engage youth in hearings without them having to miss school or disrupt the normalcy of their routines. Moreover, it was hoped that using the technology could reduce a young person’s exposure to potentially emotionally charged exchanges in court. The team partnered with the school to set up a Skype connection in the guidance counselor’s office. When the case was called up, the youth was Skyped into the court proceeding with minimal disruption to his or her school day. The use of Skype technology to support youth and family engagement has spread both within San Francisco and to other BSC teams. At the final learning session, the San Francisco team reported that the technology was recently used to connect a birth father </w:t>
      </w:r>
      <w:r w:rsidR="00A56CE5">
        <w:t>that</w:t>
      </w:r>
      <w:r>
        <w:t xml:space="preserve"> was deployed in Afghanistan into a court proceeding for his child.</w:t>
      </w:r>
    </w:p>
    <w:p w:rsidR="00D86A11" w:rsidRDefault="00D86A11" w:rsidP="00D86A11">
      <w:pPr>
        <w:spacing w:line="23" w:lineRule="atLeast"/>
      </w:pPr>
      <w:r>
        <w:t xml:space="preserve">An evaluation of the </w:t>
      </w:r>
      <w:r>
        <w:rPr>
          <w:u w:val="single"/>
        </w:rPr>
        <w:t>Family-to-Family (F2F) Initiative</w:t>
      </w:r>
      <w:r>
        <w:t xml:space="preserve"> and Team Decision Making (TDM) strategies measured exposure to “key elements” of the program and permanency outcomes. White and Hispanic children with exposure to one to four key elements were 24% more likely to exit to reunification or to live with a relative within one year than children with no exposure, while African American children were 15% more likely to achieve either reunification or an exit to a relative. The rate of exit within one year increased by 29% for Hispanic children, 27% for Caucasian children, and 19% for African American children when a greater number of key elements are present.</w:t>
      </w:r>
    </w:p>
    <w:p w:rsidR="00D86A11" w:rsidRPr="00183C89" w:rsidRDefault="00D86A11" w:rsidP="00D86A11">
      <w:pPr>
        <w:pStyle w:val="Heading5"/>
        <w:rPr>
          <w:rFonts w:ascii="Perpetua" w:hAnsi="Perpetua"/>
          <w:i w:val="0"/>
          <w:color w:val="auto"/>
          <w:u w:val="single"/>
        </w:rPr>
      </w:pPr>
      <w:r w:rsidRPr="00183C89">
        <w:rPr>
          <w:rFonts w:ascii="Perpetua" w:hAnsi="Perpetua"/>
          <w:i w:val="0"/>
          <w:color w:val="auto"/>
          <w:u w:val="single"/>
        </w:rPr>
        <w:t>Father Engagement strategies</w:t>
      </w:r>
    </w:p>
    <w:p w:rsidR="00D86A11" w:rsidRDefault="00D86A11" w:rsidP="00D86A11">
      <w:pPr>
        <w:spacing w:line="23" w:lineRule="atLeast"/>
        <w:rPr>
          <w:rFonts w:cs="Arial"/>
          <w:color w:val="261606"/>
          <w:spacing w:val="2"/>
          <w:sz w:val="20"/>
          <w:shd w:val="clear" w:color="auto" w:fill="FFFFFF"/>
        </w:rPr>
      </w:pPr>
      <w:r>
        <w:t xml:space="preserve">The CEBC database does not list any “father involvement” programs related to the permanency outcome; however, there are five programs with a Medium or High relevancy for child welfare populations. Four of the programs do not have sufficient research to receive a CEBC scientific rating: </w:t>
      </w:r>
      <w:r>
        <w:rPr>
          <w:i/>
        </w:rPr>
        <w:t>Caring Dads</w:t>
      </w:r>
      <w:r>
        <w:t xml:space="preserve"> - for fathers who have abused/neglected their children (or are at high risk); the </w:t>
      </w:r>
      <w:r>
        <w:rPr>
          <w:i/>
        </w:rPr>
        <w:t>Father Project -</w:t>
      </w:r>
      <w:r>
        <w:t xml:space="preserve"> for low income fathers; </w:t>
      </w:r>
      <w:r>
        <w:rPr>
          <w:i/>
        </w:rPr>
        <w:t>InsideOut Dad</w:t>
      </w:r>
      <w:r>
        <w:t xml:space="preserve"> - for incarcerated fathers; and, </w:t>
      </w:r>
      <w:r>
        <w:rPr>
          <w:i/>
          <w:iCs/>
        </w:rPr>
        <w:lastRenderedPageBreak/>
        <w:t>My Baby's Father Male Involvement Training</w:t>
      </w:r>
      <w:r>
        <w:rPr>
          <w:iCs/>
        </w:rPr>
        <w:t xml:space="preserve"> - for child welfare caseworkers. One program, </w:t>
      </w:r>
      <w:r>
        <w:rPr>
          <w:i/>
          <w:iCs/>
        </w:rPr>
        <w:t>Supporting Father Involvement</w:t>
      </w:r>
      <w:r>
        <w:rPr>
          <w:iCs/>
        </w:rPr>
        <w:t xml:space="preserve">, has a CEBC scientific rating of 2 (supported by research) and </w:t>
      </w:r>
      <w:r>
        <w:t>is a preventive intervention designed to enhance fathers’ positive involvement with their children.</w:t>
      </w:r>
    </w:p>
    <w:p w:rsidR="00D86A11" w:rsidRDefault="00D86A11" w:rsidP="00D86A11">
      <w:pPr>
        <w:spacing w:line="23" w:lineRule="atLeast"/>
      </w:pPr>
      <w:r>
        <w:t xml:space="preserve">The National Quality Improvement Center on Non-Resident Fathers and the Child Welfare System (QIC NRF) was a 5-year (2007-2011), federally funded project to promote knowledge development on engaging non-resident fathers of children involved in the child welfare system. The QIC NRF selected four sites to implement a model intervention known as </w:t>
      </w:r>
      <w:r>
        <w:rPr>
          <w:u w:val="single"/>
        </w:rPr>
        <w:t>Bringing Back the Dads</w:t>
      </w:r>
      <w:r>
        <w:t>, a peer-led, 20-week course for fathers. An evaluation was conducted to assess model fidelity, examine the barriers and strategies to overcome barriers, and measure outputs and outcomes. The evaluators found that there were challenges in recruiting fathers to participate in the curriculum but for those that did, the number of visits with their children almost doubled over eight weeks. (AHA 2011)</w:t>
      </w:r>
    </w:p>
    <w:p w:rsidR="00D86A11" w:rsidRDefault="00D86A11" w:rsidP="00D86A11">
      <w:r>
        <w:t xml:space="preserve">As a result of the project, a toolkit was developed that includes three curricula (a peer-led curriculum for fathers in the child welfare system, a curriculum on father engagement for caseworkers, and a curriculum for legal professionals), a Guide for Fathers, court engagement tools, two Father Friendly CheckUps™, and several other products which are available at </w:t>
      </w:r>
      <w:hyperlink r:id="rId123" w:history="1">
        <w:r>
          <w:rPr>
            <w:rStyle w:val="Hyperlink"/>
          </w:rPr>
          <w:t>www.fatherhoodqic.org</w:t>
        </w:r>
      </w:hyperlink>
      <w:r>
        <w:t xml:space="preserve">. The curricula were developed with input from fathers participating in the National Fathers Advisory Council. </w:t>
      </w:r>
    </w:p>
    <w:p w:rsidR="00D86A11" w:rsidRDefault="00D86A11" w:rsidP="00D86A11">
      <w:r>
        <w:t xml:space="preserve">Additional father engagement resources are listed on the Child Welfare Information Gateway website at: </w:t>
      </w:r>
      <w:hyperlink r:id="rId124" w:history="1">
        <w:r>
          <w:rPr>
            <w:rStyle w:val="Hyperlink"/>
          </w:rPr>
          <w:t>https://www.childwelfare.gov/topics/famcentered/engaging/fathers/</w:t>
        </w:r>
      </w:hyperlink>
      <w:r>
        <w:t xml:space="preserve">. </w:t>
      </w:r>
    </w:p>
    <w:p w:rsidR="00D86A11" w:rsidRPr="00183C89" w:rsidRDefault="00A56CE5" w:rsidP="00D86A11">
      <w:pPr>
        <w:pStyle w:val="Heading5"/>
        <w:rPr>
          <w:rFonts w:ascii="Perpetua" w:hAnsi="Perpetua"/>
          <w:i w:val="0"/>
          <w:color w:val="auto"/>
          <w:u w:val="single"/>
        </w:rPr>
      </w:pPr>
      <w:r>
        <w:rPr>
          <w:rFonts w:ascii="Perpetua" w:hAnsi="Perpetua"/>
          <w:i w:val="0"/>
          <w:color w:val="auto"/>
          <w:u w:val="single"/>
        </w:rPr>
        <w:t>Race</w:t>
      </w:r>
      <w:r w:rsidR="00D86A11" w:rsidRPr="00183C89">
        <w:rPr>
          <w:rFonts w:ascii="Perpetua" w:hAnsi="Perpetua"/>
          <w:i w:val="0"/>
          <w:color w:val="auto"/>
          <w:u w:val="single"/>
        </w:rPr>
        <w:t>/Ethnicity &amp; C</w:t>
      </w:r>
      <w:r w:rsidR="00D86A11">
        <w:rPr>
          <w:rFonts w:ascii="Perpetua" w:hAnsi="Perpetua"/>
          <w:i w:val="0"/>
          <w:color w:val="auto"/>
          <w:u w:val="single"/>
        </w:rPr>
        <w:t xml:space="preserve">ulture Focused </w:t>
      </w:r>
      <w:r>
        <w:rPr>
          <w:rFonts w:ascii="Perpetua" w:hAnsi="Perpetua"/>
          <w:i w:val="0"/>
          <w:color w:val="auto"/>
          <w:u w:val="single"/>
        </w:rPr>
        <w:t>Strategies</w:t>
      </w:r>
      <w:r w:rsidR="00D86A11" w:rsidRPr="00183C89">
        <w:rPr>
          <w:rFonts w:ascii="Perpetua" w:hAnsi="Perpetua"/>
          <w:i w:val="0"/>
          <w:color w:val="auto"/>
          <w:u w:val="single"/>
        </w:rPr>
        <w:t xml:space="preserve"> </w:t>
      </w:r>
    </w:p>
    <w:p w:rsidR="00D86A11" w:rsidRDefault="00D86A11" w:rsidP="00D86A11">
      <w:r>
        <w:t xml:space="preserve">The Philadelphia BSA team implemented a practice strategy called </w:t>
      </w:r>
      <w:r>
        <w:rPr>
          <w:u w:val="single"/>
        </w:rPr>
        <w:t>Culture Is Fundamental</w:t>
      </w:r>
      <w:r>
        <w:t xml:space="preserve"> that seeks to recognize and reduce disproportionality and disparate outcomes through the observance of families’ cultural traditions and customs. They anticipated that families will feel empowered and more engaged in the reunification process when their unique customs and traditions are incorporated into their children’s care outside of their home. During the intake process, family members have the opportunity to discuss cultural values, customs, and traditions with the caseworker and foster parent and together they identify at least one cultural value/custom/tradition that can be used as a strength in the service planning process.</w:t>
      </w:r>
    </w:p>
    <w:p w:rsidR="00D86A11" w:rsidRDefault="00D86A11" w:rsidP="00D86A11">
      <w:r>
        <w:t>The CA Evidence-Based Clearinghouse (CEBC)</w:t>
      </w:r>
      <w:r>
        <w:rPr>
          <w:b/>
        </w:rPr>
        <w:t xml:space="preserve"> </w:t>
      </w:r>
      <w:r>
        <w:t xml:space="preserve">includes </w:t>
      </w:r>
      <w:r>
        <w:rPr>
          <w:i/>
          <w:u w:val="single"/>
        </w:rPr>
        <w:t>One Church, One Child</w:t>
      </w:r>
      <w:r>
        <w:rPr>
          <w:u w:val="single"/>
        </w:rPr>
        <w:t xml:space="preserve"> (OCOC)</w:t>
      </w:r>
      <w:r>
        <w:t xml:space="preserve"> on its website but was not able to provide a rating due to a lack of research evidence. The following description comes from their website: </w:t>
      </w:r>
    </w:p>
    <w:p w:rsidR="00D86A11" w:rsidRDefault="00D86A11" w:rsidP="00D86A11">
      <w:pPr>
        <w:shd w:val="clear" w:color="auto" w:fill="FFFFFF"/>
        <w:spacing w:after="0" w:line="240" w:lineRule="auto"/>
        <w:rPr>
          <w:rFonts w:eastAsia="Times New Roman" w:cs="Arial"/>
          <w:i/>
          <w:spacing w:val="2"/>
        </w:rPr>
      </w:pPr>
      <w:r>
        <w:rPr>
          <w:i/>
        </w:rPr>
        <w:t>T</w:t>
      </w:r>
      <w:r>
        <w:rPr>
          <w:rFonts w:cs="Arial"/>
          <w:i/>
          <w:spacing w:val="2"/>
        </w:rPr>
        <w:t>he primary goal of the </w:t>
      </w:r>
      <w:r>
        <w:rPr>
          <w:rFonts w:cs="Arial"/>
          <w:bCs/>
          <w:i/>
          <w:iCs/>
          <w:spacing w:val="2"/>
        </w:rPr>
        <w:t>One Church One Child</w:t>
      </w:r>
      <w:r>
        <w:rPr>
          <w:rFonts w:cs="Arial"/>
          <w:i/>
          <w:spacing w:val="2"/>
        </w:rPr>
        <w:t> program is to recruit families for adoption and foster care. The name comes from the mission of the first </w:t>
      </w:r>
      <w:r>
        <w:rPr>
          <w:rFonts w:cs="Arial"/>
          <w:bCs/>
          <w:i/>
          <w:iCs/>
          <w:spacing w:val="2"/>
        </w:rPr>
        <w:t xml:space="preserve">One Church One Child </w:t>
      </w:r>
      <w:r>
        <w:rPr>
          <w:rFonts w:cs="Arial"/>
          <w:i/>
          <w:spacing w:val="2"/>
        </w:rPr>
        <w:t>program founded in Chicago, IL: “to find one family in every one African American church in Illinois to adopt one child.” </w:t>
      </w:r>
      <w:r>
        <w:rPr>
          <w:rFonts w:cs="Arial"/>
          <w:bCs/>
          <w:i/>
          <w:iCs/>
          <w:spacing w:val="2"/>
        </w:rPr>
        <w:t>One Church One Child</w:t>
      </w:r>
      <w:r>
        <w:rPr>
          <w:rFonts w:cs="Arial"/>
          <w:i/>
          <w:spacing w:val="2"/>
        </w:rPr>
        <w:t xml:space="preserve"> programs recruit these families by doing a presentation on the program to the targeted audience (e.g., Sunday morning worship service, weekday meeting, conference, workshop, small group discussion, forum, seminar, festival, etc.). </w:t>
      </w:r>
      <w:r>
        <w:rPr>
          <w:rFonts w:eastAsia="Times New Roman" w:cs="Arial"/>
          <w:i/>
          <w:spacing w:val="2"/>
        </w:rPr>
        <w:t>The National One Church One Child office or a local One Church One Child agency works in partnership with state and local social service departments and agencies to recruit potential foster/adoptive families.</w:t>
      </w:r>
      <w:r>
        <w:rPr>
          <w:rFonts w:cs="Arial"/>
          <w:i/>
          <w:spacing w:val="2"/>
        </w:rPr>
        <w:t xml:space="preserve"> </w:t>
      </w:r>
      <w:r>
        <w:rPr>
          <w:rFonts w:eastAsia="Times New Roman" w:cs="Arial"/>
          <w:i/>
          <w:spacing w:val="2"/>
        </w:rPr>
        <w:t>The goals of the </w:t>
      </w:r>
      <w:r>
        <w:rPr>
          <w:rFonts w:eastAsia="Times New Roman" w:cs="Arial"/>
          <w:bCs/>
          <w:i/>
          <w:iCs/>
          <w:spacing w:val="2"/>
        </w:rPr>
        <w:t>One Church One Child</w:t>
      </w:r>
      <w:r>
        <w:rPr>
          <w:rFonts w:eastAsia="Times New Roman" w:cs="Arial"/>
          <w:i/>
          <w:spacing w:val="2"/>
        </w:rPr>
        <w:t> program are:</w:t>
      </w:r>
    </w:p>
    <w:p w:rsidR="000B1863" w:rsidRDefault="00D86A11">
      <w:pPr>
        <w:pStyle w:val="ColorfulList-Accent11"/>
        <w:numPr>
          <w:ilvl w:val="0"/>
          <w:numId w:val="25"/>
        </w:numPr>
        <w:shd w:val="clear" w:color="auto" w:fill="FFFFFF"/>
        <w:rPr>
          <w:i/>
          <w:spacing w:val="2"/>
        </w:rPr>
      </w:pPr>
      <w:r>
        <w:rPr>
          <w:rFonts w:ascii="Perpetua" w:hAnsi="Perpetua" w:cs="Arial"/>
          <w:i/>
          <w:color w:val="000000"/>
          <w:spacing w:val="2"/>
        </w:rPr>
        <w:t>Facilitate and develop campaigns that recruit appropriate shelter, foster and adoptive</w:t>
      </w:r>
    </w:p>
    <w:p w:rsidR="000B1863" w:rsidRDefault="00D86A11">
      <w:pPr>
        <w:pStyle w:val="ColorfulList-Accent11"/>
        <w:numPr>
          <w:ilvl w:val="0"/>
          <w:numId w:val="25"/>
        </w:numPr>
        <w:shd w:val="clear" w:color="auto" w:fill="FFFFFF"/>
        <w:rPr>
          <w:i/>
          <w:spacing w:val="2"/>
        </w:rPr>
      </w:pPr>
      <w:r>
        <w:rPr>
          <w:rFonts w:ascii="Perpetua" w:hAnsi="Perpetua" w:cs="Arial"/>
          <w:i/>
          <w:color w:val="000000"/>
          <w:spacing w:val="2"/>
        </w:rPr>
        <w:t>Develop and implement innovative approaches that reduce the length of stay for children in foster care who are available for adoption; families for children</w:t>
      </w:r>
    </w:p>
    <w:p w:rsidR="000B1863" w:rsidRDefault="00D86A11">
      <w:pPr>
        <w:pStyle w:val="ColorfulList-Accent11"/>
        <w:numPr>
          <w:ilvl w:val="0"/>
          <w:numId w:val="25"/>
        </w:numPr>
        <w:shd w:val="clear" w:color="auto" w:fill="FFFFFF"/>
        <w:rPr>
          <w:i/>
          <w:spacing w:val="2"/>
        </w:rPr>
      </w:pPr>
      <w:r>
        <w:rPr>
          <w:rFonts w:ascii="Perpetua" w:hAnsi="Perpetua" w:cs="Arial"/>
          <w:i/>
          <w:color w:val="000000"/>
          <w:spacing w:val="2"/>
        </w:rPr>
        <w:t>Educate the broader community about the plight of children in foster care</w:t>
      </w:r>
    </w:p>
    <w:p w:rsidR="000B1863" w:rsidRDefault="00D86A11">
      <w:pPr>
        <w:pStyle w:val="ColorfulList-Accent11"/>
        <w:numPr>
          <w:ilvl w:val="0"/>
          <w:numId w:val="25"/>
        </w:numPr>
        <w:shd w:val="clear" w:color="auto" w:fill="FFFFFF"/>
        <w:rPr>
          <w:i/>
          <w:spacing w:val="2"/>
        </w:rPr>
      </w:pPr>
      <w:r>
        <w:rPr>
          <w:rFonts w:ascii="Perpetua" w:hAnsi="Perpetua" w:cs="Arial"/>
          <w:i/>
          <w:color w:val="000000"/>
          <w:spacing w:val="2"/>
        </w:rPr>
        <w:t>Provide training and technical assistance geared toward the adoption of children by families and their communities</w:t>
      </w:r>
    </w:p>
    <w:p w:rsidR="000B1863" w:rsidRDefault="00D86A11">
      <w:pPr>
        <w:pStyle w:val="ColorfulList-Accent11"/>
        <w:numPr>
          <w:ilvl w:val="0"/>
          <w:numId w:val="25"/>
        </w:numPr>
        <w:shd w:val="clear" w:color="auto" w:fill="FFFFFF"/>
        <w:rPr>
          <w:i/>
          <w:spacing w:val="2"/>
        </w:rPr>
      </w:pPr>
      <w:r>
        <w:rPr>
          <w:rFonts w:ascii="Perpetua" w:hAnsi="Perpetua" w:cs="Arial"/>
          <w:i/>
          <w:color w:val="000000"/>
          <w:spacing w:val="2"/>
        </w:rPr>
        <w:t>Develop corporate public/private sponsorship to help support program service delivery</w:t>
      </w:r>
    </w:p>
    <w:p w:rsidR="000B1863" w:rsidRDefault="00D86A11">
      <w:pPr>
        <w:pStyle w:val="ColorfulList-Accent11"/>
        <w:numPr>
          <w:ilvl w:val="0"/>
          <w:numId w:val="25"/>
        </w:numPr>
        <w:shd w:val="clear" w:color="auto" w:fill="FFFFFF"/>
        <w:rPr>
          <w:i/>
          <w:spacing w:val="2"/>
        </w:rPr>
      </w:pPr>
      <w:r>
        <w:rPr>
          <w:rFonts w:ascii="Perpetua" w:hAnsi="Perpetua" w:cs="Arial"/>
          <w:i/>
          <w:color w:val="000000"/>
          <w:spacing w:val="2"/>
        </w:rPr>
        <w:t>Develop, monitor, and evaluate projects designed to address the needs of children in the child welfare system</w:t>
      </w:r>
    </w:p>
    <w:p w:rsidR="000B1863" w:rsidRDefault="00D86A11">
      <w:pPr>
        <w:pStyle w:val="ColorfulList-Accent11"/>
        <w:numPr>
          <w:ilvl w:val="0"/>
          <w:numId w:val="25"/>
        </w:numPr>
        <w:shd w:val="clear" w:color="auto" w:fill="FFFFFF"/>
        <w:spacing w:after="160"/>
        <w:rPr>
          <w:i/>
          <w:spacing w:val="2"/>
        </w:rPr>
      </w:pPr>
      <w:r>
        <w:rPr>
          <w:rFonts w:ascii="Perpetua" w:hAnsi="Perpetua" w:cs="Arial"/>
          <w:i/>
          <w:color w:val="000000"/>
          <w:spacing w:val="2"/>
        </w:rPr>
        <w:t>Provide retention and support services to families</w:t>
      </w:r>
    </w:p>
    <w:p w:rsidR="00D86A11" w:rsidRDefault="00D86A11" w:rsidP="00D86A11">
      <w:pPr>
        <w:pStyle w:val="NormalWeb"/>
        <w:shd w:val="clear" w:color="auto" w:fill="FFFFFF"/>
        <w:spacing w:before="0" w:beforeAutospacing="0" w:after="160" w:afterAutospacing="0"/>
        <w:rPr>
          <w:rFonts w:ascii="Perpetua" w:hAnsi="Perpetua"/>
          <w:color w:val="000000"/>
          <w:sz w:val="22"/>
          <w:szCs w:val="22"/>
        </w:rPr>
      </w:pPr>
      <w:r>
        <w:rPr>
          <w:rFonts w:ascii="Perpetua" w:hAnsi="Perpetua" w:cs="Arial"/>
          <w:color w:val="000000"/>
          <w:spacing w:val="2"/>
          <w:sz w:val="22"/>
          <w:szCs w:val="22"/>
        </w:rPr>
        <w:t xml:space="preserve">According to a September 12, 1987 L.A. Times article, a California program was launched in San Diego that year. The article states, </w:t>
      </w:r>
      <w:r>
        <w:rPr>
          <w:rFonts w:ascii="Perpetua" w:hAnsi="Perpetua" w:cs="Arial"/>
          <w:i/>
          <w:color w:val="000000"/>
          <w:spacing w:val="2"/>
          <w:sz w:val="22"/>
          <w:szCs w:val="22"/>
        </w:rPr>
        <w:t>t</w:t>
      </w:r>
      <w:r>
        <w:rPr>
          <w:rFonts w:ascii="Perpetua" w:hAnsi="Perpetua"/>
          <w:i/>
          <w:color w:val="000000"/>
          <w:sz w:val="22"/>
          <w:szCs w:val="22"/>
        </w:rPr>
        <w:t xml:space="preserve">he powerful influence of black ministers will be the centerpiece of an innovative program in which state officials will work with black churches to find adoptive families for 1,500 black children in California, it was announced Friday. </w:t>
      </w:r>
      <w:r>
        <w:rPr>
          <w:rFonts w:ascii="Perpetua" w:hAnsi="Perpetua"/>
          <w:i/>
          <w:color w:val="000000"/>
          <w:sz w:val="22"/>
          <w:szCs w:val="22"/>
        </w:rPr>
        <w:lastRenderedPageBreak/>
        <w:t>Several ministers and officials from the San Diego Urban League joined the Rev. George H. Clements, pastor of the Holy Angels Church in Chicago, to announce the beginning of the One Church, One Child program in California. The program, already in effect in 27 states, calls for a qualified family from each black church in the state to adopt one black child. Linda McMahon, director of the state Department of Social Services, attended the press conference that was held at the Bethel A.M.E. church in San Diego, to announce state support for the program. "We are committed to bringing the One Church, One Child program to California and to commit state dollars to it," said McMahon, who said there are about 5,600 children in the state eligible for adoption, 1,500 of them black. According to Clements, the state will act as a facilitator by providing a listing of available black children to black churches throughout the state. The children will be drawn from private and state agencies who are working to find adoptive families for them.</w:t>
      </w:r>
    </w:p>
    <w:p w:rsidR="00D86A11" w:rsidRPr="00183C89" w:rsidRDefault="00D86A11" w:rsidP="00D86A11">
      <w:pPr>
        <w:spacing w:line="23" w:lineRule="atLeast"/>
      </w:pPr>
      <w:r w:rsidRPr="00183C89">
        <w:t>A report on the faith communities’ role in child welfare, prepared for the Annie E. Casey Foundation (</w:t>
      </w:r>
      <w:hyperlink r:id="rId125" w:history="1">
        <w:r w:rsidRPr="00183C89">
          <w:rPr>
            <w:rStyle w:val="Hyperlink"/>
            <w:rFonts w:ascii="Perpetua" w:hAnsi="Perpetua"/>
          </w:rPr>
          <w:t>Orr,</w:t>
        </w:r>
      </w:hyperlink>
      <w:r w:rsidRPr="00183C89">
        <w:rPr>
          <w:rStyle w:val="Hyperlink"/>
          <w:rFonts w:ascii="Perpetua" w:hAnsi="Perpetua"/>
        </w:rPr>
        <w:t xml:space="preserve"> et al, 2004</w:t>
      </w:r>
      <w:r w:rsidRPr="00183C89">
        <w:t>), describes several faith-based programs across the country including</w:t>
      </w:r>
      <w:r w:rsidRPr="00183C89">
        <w:rPr>
          <w:i/>
        </w:rPr>
        <w:t xml:space="preserve"> </w:t>
      </w:r>
      <w:r w:rsidRPr="00183C89">
        <w:t>OCOC.  They note that OCOC has been successfully replicated, with “an excellent record of success in Illinois, Texas, New York, Florida, and Oklahoma.” The report also notes specific leaders in this field of interest: Baylor University’s School of Social Work has assumed a prominent leadership role in making the case and in training leaders for an expansion of congregation-based human services. Diana Garland, the School’s Director, has a high level of national visibility. Other schools of social work that have joined Baylor University in embracing this mission are at Calvin College and Robert Wesleyan College.</w:t>
      </w:r>
    </w:p>
    <w:p w:rsidR="00D86A11" w:rsidRDefault="00D86A11" w:rsidP="00D86A11">
      <w:pPr>
        <w:spacing w:line="23" w:lineRule="atLeast"/>
        <w:rPr>
          <w:u w:val="single"/>
        </w:rPr>
      </w:pPr>
      <w:r w:rsidRPr="00183C89">
        <w:t xml:space="preserve">There is a website for the national office </w:t>
      </w:r>
      <w:hyperlink r:id="rId126" w:history="1">
        <w:r w:rsidRPr="00183C89">
          <w:rPr>
            <w:rStyle w:val="Hyperlink"/>
            <w:rFonts w:ascii="Perpetua" w:hAnsi="Perpetua"/>
          </w:rPr>
          <w:t>http://www.nationalococ.org/index.html</w:t>
        </w:r>
      </w:hyperlink>
      <w:r w:rsidRPr="00183C89">
        <w:t>; however, some of the website information is outdated (such as an announcement for the 2014 conference). Contact information is provided</w:t>
      </w:r>
      <w:r>
        <w:t xml:space="preserve"> for OCOC of California in Los Angeles (Reverend Raymond LeBlanc), however the website address does not work.  </w:t>
      </w:r>
    </w:p>
    <w:p w:rsidR="00D86A11" w:rsidRDefault="00D86A11" w:rsidP="00D86A11">
      <w:pPr>
        <w:autoSpaceDE w:val="0"/>
        <w:autoSpaceDN w:val="0"/>
        <w:adjustRightInd w:val="0"/>
        <w:spacing w:line="23" w:lineRule="atLeast"/>
      </w:pPr>
      <w:r>
        <w:rPr>
          <w:u w:val="single"/>
        </w:rPr>
        <w:t>The Rally for Foster Care and Adoption Initiative</w:t>
      </w:r>
      <w:r>
        <w:t xml:space="preserve"> is a one-year pilot initiative, funded by the Minnesota Department of Human Services (DHS) and facilitated by the Council on Black Minnesotans. This initiative provides culturally specific targeted outreach in African heritage communities to recruit foster care, adoptive, and kinship parents for African heritage children involved in child welfare. The Rally for Foster Care and Adoption Initiative is derived from the former Health Care Rallies and the former One Church, One Child Initiative. Community and faith institutions work together to implement numerous rally events throughout the year in order to: promote community awareness and action through partnerships; share experiences and resources to find permanent, loving families who can maintain cultural connections for African American children; engage the community in conversations about supporting children and families; and increase access to culturally relevant services to reduce overrepresentation of African American children in Minnesota’s child welfare system. </w:t>
      </w:r>
    </w:p>
    <w:p w:rsidR="00D86A11" w:rsidRDefault="00D86A11" w:rsidP="00D86A11">
      <w:pPr>
        <w:autoSpaceDE w:val="0"/>
        <w:autoSpaceDN w:val="0"/>
        <w:adjustRightInd w:val="0"/>
        <w:spacing w:line="23" w:lineRule="atLeast"/>
      </w:pPr>
      <w:r>
        <w:t>An advisory committee supports the work and makes policy recommendations to DHS regarding African heritage children in foster care. The majority of interaction with target audiences is through African heritage churches, beauty salons, barbershops, community gatherings, and establishments such as community services organizations. The Council will provide a final evaluation and policy recommendations to DHS. (Brown, Winter 2015)</w:t>
      </w:r>
    </w:p>
    <w:p w:rsidR="00D86A11" w:rsidRDefault="00D86A11" w:rsidP="00D86A11">
      <w:pPr>
        <w:spacing w:line="23" w:lineRule="atLeast"/>
      </w:pPr>
      <w:r>
        <w:rPr>
          <w:u w:val="single"/>
        </w:rPr>
        <w:t>The Foster &amp; Adoptive Care Coalition,</w:t>
      </w:r>
      <w:r>
        <w:t xml:space="preserve"> in St. Louis Missouri, has developed two programs that strive to keep children connected with their family: Extreme Recruitment® and 30 Days to Family™. The programs serve all children in foster care, but are particularly helpful for children and families of color. The goal of Extreme Recruitment® is to improve long-term outcomes of youth in foster care by connecting youth to supportive adults. This is accomplished by reconnecting youth with safe relatives, and matching youth to permanent resources for adoption or guardianship. The extreme recruiter is a full-time worker who is dedicated to leading and expediting the recruitment activities of the team. The recruiter is supported by the program’s private investigator for 12-20 weeks of intensive family finding and recruitment. The recruiters met weekly with the youth’s team to identify as many options for permanency as possible and to prepare the youth for permanency. Originally, the program had social workers do the investigation work, but the contact rate with relatives was only 23%. Within two weeks of hiring an investigator, the contact rate skyrocketed to 80%. In 2013, 71.9% of the youth served were matched with a permanency resource (Scheetz &amp; Flavin, 2015).  The National Resource Center for Diligent Recruitment published a more detailed report of evaluation findings in 2013 with mostly positive results, although some were mixed. The report notes that a greater proportion of intervention youth achieved permanency than did control youth at both 12 months (13.6% vs 5.9%) and at study closure (12.4 vs 7.6%). The differences were significant</w:t>
      </w:r>
      <w:r>
        <w:rPr>
          <w:i/>
        </w:rPr>
        <w:t xml:space="preserve"> </w:t>
      </w:r>
      <w:r>
        <w:t xml:space="preserve">at 12 months but not at study closure. As of </w:t>
      </w:r>
      <w:r>
        <w:lastRenderedPageBreak/>
        <w:t>2013, six communities in the U.S. and Canada were replicating the model (National Resource Ctr. For Diligent Recruitment, 2013).</w:t>
      </w:r>
    </w:p>
    <w:p w:rsidR="00D86A11" w:rsidRDefault="00D86A11" w:rsidP="00D86A11">
      <w:pPr>
        <w:autoSpaceDE w:val="0"/>
        <w:autoSpaceDN w:val="0"/>
        <w:adjustRightInd w:val="0"/>
        <w:spacing w:line="23" w:lineRule="atLeast"/>
      </w:pPr>
      <w:r>
        <w:t>30 Days to Family,™ created three years after launching Extreme Recruitment,® is an intense and short-term intervention to diligently search for a child’s relatives and kin to identify placement options and supports. Program specialists identify an average of 150 relatives for each case. In 2013, 67% of children were placed in kinship care homes within 30 days of the child entering custody. In addition, 89% of children served remained stable in their placements one year later. As in Extreme Recruitment®, African American children constitute the majority (66.6% in 2013) of those served by the program (Scheetz &amp; Flavin, 2015).</w:t>
      </w:r>
    </w:p>
    <w:p w:rsidR="00D86A11" w:rsidRDefault="00D86A11" w:rsidP="00D86A11">
      <w:pPr>
        <w:spacing w:line="23" w:lineRule="atLeast"/>
      </w:pPr>
      <w:r>
        <w:rPr>
          <w:u w:val="single"/>
        </w:rPr>
        <w:t>Analyzing Disparities in Service/Practice Utilization</w:t>
      </w:r>
      <w:r>
        <w:t>: Fairfax County found that in the first three months of their participation in the Casey BSC, 54% of Black/African American children visited with their parents as expected while 100% of white children visited with their parents as expected. During the last three months of the BSC, 87% of Black/African American children visited with their parents as expected. There was no clear explanation provided of the strategies that may have led to this change. However, the data demonstrate the value in looking at disparity in service/practice engagement so that barriers to engagement can be addressed.</w:t>
      </w:r>
    </w:p>
    <w:p w:rsidR="00D86A11" w:rsidRPr="00183C89" w:rsidRDefault="00D86A11" w:rsidP="00D86A11">
      <w:pPr>
        <w:pStyle w:val="Heading5"/>
        <w:rPr>
          <w:rFonts w:ascii="Perpetua" w:hAnsi="Perpetua"/>
          <w:i w:val="0"/>
          <w:color w:val="auto"/>
          <w:u w:val="single"/>
        </w:rPr>
      </w:pPr>
      <w:r w:rsidRPr="00183C89">
        <w:rPr>
          <w:rFonts w:ascii="Perpetua" w:hAnsi="Perpetua"/>
          <w:i w:val="0"/>
          <w:color w:val="auto"/>
          <w:u w:val="single"/>
        </w:rPr>
        <w:t>Substance Abuse Strategies</w:t>
      </w:r>
    </w:p>
    <w:p w:rsidR="00D86A11" w:rsidRDefault="00D86A11" w:rsidP="00D86A11">
      <w:pPr>
        <w:pStyle w:val="NormalWeb"/>
        <w:shd w:val="clear" w:color="auto" w:fill="FFFFFF"/>
        <w:spacing w:before="0" w:beforeAutospacing="0" w:after="160" w:afterAutospacing="0" w:line="23" w:lineRule="atLeast"/>
        <w:contextualSpacing/>
        <w:rPr>
          <w:rFonts w:ascii="Perpetua" w:hAnsi="Perpetua"/>
          <w:sz w:val="22"/>
          <w:szCs w:val="22"/>
        </w:rPr>
      </w:pPr>
      <w:r>
        <w:rPr>
          <w:rFonts w:ascii="Perpetua" w:hAnsi="Perpetua"/>
          <w:sz w:val="22"/>
          <w:szCs w:val="22"/>
          <w:u w:val="single"/>
        </w:rPr>
        <w:t>Family Drug Courts</w:t>
      </w:r>
      <w:r>
        <w:rPr>
          <w:rFonts w:ascii="Perpetua" w:hAnsi="Perpetua"/>
          <w:sz w:val="22"/>
          <w:szCs w:val="22"/>
        </w:rPr>
        <w:t xml:space="preserve"> have evolved to deal specifically with cases in which parental rights are at issue due to a parent’s substance abuse. The goal is to intervene in a way that will prevent removal of the child from the home or will lead to safe reunification. Washoe County, Nevada, operates the oldest family treatment drug court. A 2007 evaluation of four family treatment drug courts (Worcel, Green, Furrer, Burrus, &amp; Finigan) found that compared to nonparticipants, in drug court families: </w:t>
      </w:r>
    </w:p>
    <w:p w:rsidR="000B1863" w:rsidRDefault="00D86A11">
      <w:pPr>
        <w:pStyle w:val="NormalWeb"/>
        <w:numPr>
          <w:ilvl w:val="0"/>
          <w:numId w:val="26"/>
        </w:numPr>
        <w:shd w:val="clear" w:color="auto" w:fill="FFFFFF"/>
        <w:spacing w:before="0" w:beforeAutospacing="0" w:after="160" w:afterAutospacing="0" w:line="23" w:lineRule="atLeast"/>
        <w:contextualSpacing/>
        <w:rPr>
          <w:rFonts w:ascii="Perpetua" w:hAnsi="Perpetua"/>
          <w:sz w:val="22"/>
          <w:szCs w:val="22"/>
        </w:rPr>
      </w:pPr>
      <w:r>
        <w:rPr>
          <w:rFonts w:ascii="Perpetua" w:hAnsi="Perpetua"/>
          <w:sz w:val="22"/>
          <w:szCs w:val="22"/>
        </w:rPr>
        <w:t xml:space="preserve">Mothers spent nearly three times as long in treatment and were more apt to complete at least one treatment. </w:t>
      </w:r>
    </w:p>
    <w:p w:rsidR="000B1863" w:rsidRDefault="00D86A11">
      <w:pPr>
        <w:pStyle w:val="NormalWeb"/>
        <w:numPr>
          <w:ilvl w:val="0"/>
          <w:numId w:val="26"/>
        </w:numPr>
        <w:shd w:val="clear" w:color="auto" w:fill="FFFFFF"/>
        <w:spacing w:before="0" w:beforeAutospacing="0" w:after="160" w:afterAutospacing="0" w:line="23" w:lineRule="atLeast"/>
        <w:contextualSpacing/>
        <w:rPr>
          <w:rFonts w:ascii="Perpetua" w:hAnsi="Perpetua"/>
          <w:sz w:val="22"/>
          <w:szCs w:val="22"/>
        </w:rPr>
      </w:pPr>
      <w:r>
        <w:rPr>
          <w:rFonts w:ascii="Perpetua" w:hAnsi="Perpetua"/>
          <w:sz w:val="22"/>
          <w:szCs w:val="22"/>
        </w:rPr>
        <w:t xml:space="preserve">Children spent significantly more time in parental care, as opposed to out-of-home care. </w:t>
      </w:r>
    </w:p>
    <w:p w:rsidR="000B1863" w:rsidRDefault="00D86A11">
      <w:pPr>
        <w:pStyle w:val="NormalWeb"/>
        <w:numPr>
          <w:ilvl w:val="0"/>
          <w:numId w:val="26"/>
        </w:numPr>
        <w:shd w:val="clear" w:color="auto" w:fill="FFFFFF"/>
        <w:spacing w:before="0" w:beforeAutospacing="0" w:after="160" w:afterAutospacing="0" w:line="23" w:lineRule="atLeast"/>
        <w:rPr>
          <w:rFonts w:ascii="Perpetua" w:hAnsi="Perpetua"/>
          <w:sz w:val="22"/>
          <w:szCs w:val="22"/>
        </w:rPr>
      </w:pPr>
      <w:r>
        <w:rPr>
          <w:rFonts w:ascii="Perpetua" w:hAnsi="Perpetua"/>
          <w:sz w:val="22"/>
          <w:szCs w:val="22"/>
        </w:rPr>
        <w:t xml:space="preserve">Children were twice as likely to achieve reunification and significantly less likely to experience termination of parental rights or other permanency outcomes. </w:t>
      </w:r>
    </w:p>
    <w:p w:rsidR="00D86A11" w:rsidRDefault="00D86A11" w:rsidP="00D86A11">
      <w:pPr>
        <w:pStyle w:val="NormalWeb"/>
        <w:shd w:val="clear" w:color="auto" w:fill="FFFFFF"/>
        <w:spacing w:before="0" w:beforeAutospacing="0" w:after="160" w:afterAutospacing="0" w:line="23" w:lineRule="atLeast"/>
        <w:contextualSpacing/>
        <w:rPr>
          <w:rFonts w:ascii="Perpetua" w:hAnsi="Perpetua" w:cs="Arial"/>
          <w:color w:val="000000"/>
          <w:sz w:val="22"/>
          <w:szCs w:val="22"/>
          <w:u w:val="single"/>
        </w:rPr>
      </w:pPr>
      <w:r>
        <w:rPr>
          <w:rFonts w:ascii="Perpetua" w:hAnsi="Perpetua" w:cs="Arial"/>
          <w:color w:val="000000"/>
          <w:sz w:val="22"/>
          <w:szCs w:val="22"/>
          <w:u w:val="single"/>
        </w:rPr>
        <w:t xml:space="preserve">Family Behavioral Therapy (FBT) </w:t>
      </w:r>
    </w:p>
    <w:p w:rsidR="00D86A11" w:rsidRDefault="00D86A11" w:rsidP="00D86A11">
      <w:pPr>
        <w:pStyle w:val="NormalWeb"/>
        <w:shd w:val="clear" w:color="auto" w:fill="FFFFFF"/>
        <w:spacing w:before="0" w:beforeAutospacing="0" w:after="160" w:afterAutospacing="0" w:line="23" w:lineRule="atLeast"/>
        <w:contextualSpacing/>
        <w:rPr>
          <w:rFonts w:ascii="Perpetua" w:hAnsi="Perpetua"/>
          <w:sz w:val="22"/>
          <w:szCs w:val="22"/>
        </w:rPr>
      </w:pPr>
      <w:r>
        <w:rPr>
          <w:rFonts w:ascii="Perpetua" w:hAnsi="Perpetua"/>
          <w:sz w:val="22"/>
          <w:szCs w:val="22"/>
        </w:rPr>
        <w:t>FBT for adults is an intervention that strives to prevent antecedent conditions that facilitate drug use and other problem behaviors by:</w:t>
      </w:r>
    </w:p>
    <w:p w:rsidR="000B1863" w:rsidRDefault="00D86A11">
      <w:pPr>
        <w:pStyle w:val="NormalWeb"/>
        <w:numPr>
          <w:ilvl w:val="0"/>
          <w:numId w:val="27"/>
        </w:numPr>
        <w:shd w:val="clear" w:color="auto" w:fill="FFFFFF"/>
        <w:spacing w:before="0" w:beforeAutospacing="0" w:after="160" w:afterAutospacing="0" w:line="23" w:lineRule="atLeast"/>
        <w:contextualSpacing/>
        <w:rPr>
          <w:rFonts w:ascii="Perpetua" w:hAnsi="Perpetua"/>
          <w:sz w:val="22"/>
          <w:szCs w:val="22"/>
        </w:rPr>
      </w:pPr>
      <w:r>
        <w:rPr>
          <w:rFonts w:ascii="Perpetua" w:eastAsia="SimSun" w:hAnsi="Perpetua"/>
          <w:sz w:val="22"/>
          <w:szCs w:val="22"/>
        </w:rPr>
        <w:t>Enhancing social relationships and skills needed to establish abstinence and pro-social behavior</w:t>
      </w:r>
    </w:p>
    <w:p w:rsidR="000B1863" w:rsidRDefault="00D86A11">
      <w:pPr>
        <w:pStyle w:val="NormalWeb"/>
        <w:numPr>
          <w:ilvl w:val="0"/>
          <w:numId w:val="27"/>
        </w:numPr>
        <w:shd w:val="clear" w:color="auto" w:fill="FFFFFF"/>
        <w:spacing w:before="0" w:beforeAutospacing="0" w:after="160" w:afterAutospacing="0" w:line="23" w:lineRule="atLeast"/>
        <w:contextualSpacing/>
        <w:rPr>
          <w:rFonts w:ascii="Perpetua" w:hAnsi="Perpetua"/>
          <w:sz w:val="22"/>
          <w:szCs w:val="22"/>
        </w:rPr>
      </w:pPr>
      <w:r>
        <w:rPr>
          <w:rFonts w:ascii="Perpetua" w:eastAsia="SimSun" w:hAnsi="Perpetua"/>
          <w:sz w:val="22"/>
          <w:szCs w:val="22"/>
        </w:rPr>
        <w:t>Teaching strategies to prevent urges and impulsive behaviors that make drug use and other problem behaviors easier</w:t>
      </w:r>
    </w:p>
    <w:p w:rsidR="000B1863" w:rsidRDefault="00D86A11">
      <w:pPr>
        <w:pStyle w:val="NormalWeb"/>
        <w:numPr>
          <w:ilvl w:val="0"/>
          <w:numId w:val="27"/>
        </w:numPr>
        <w:shd w:val="clear" w:color="auto" w:fill="FFFFFF"/>
        <w:spacing w:before="0" w:beforeAutospacing="0" w:after="160" w:afterAutospacing="0" w:line="23" w:lineRule="atLeast"/>
        <w:rPr>
          <w:rFonts w:ascii="Perpetua" w:hAnsi="Perpetua"/>
          <w:sz w:val="22"/>
          <w:szCs w:val="22"/>
        </w:rPr>
      </w:pPr>
      <w:r>
        <w:rPr>
          <w:rFonts w:ascii="Perpetua" w:eastAsia="SimSun" w:hAnsi="Perpetua"/>
          <w:sz w:val="22"/>
          <w:szCs w:val="22"/>
        </w:rPr>
        <w:t>Allowing or facilitating negative consequences for drug use and other problem behaviors</w:t>
      </w:r>
    </w:p>
    <w:p w:rsidR="00D86A11" w:rsidRDefault="00D86A11" w:rsidP="00D86A11">
      <w:pPr>
        <w:pStyle w:val="NormalWeb"/>
        <w:shd w:val="clear" w:color="auto" w:fill="FFFFFF"/>
        <w:spacing w:before="0" w:beforeAutospacing="0" w:after="160" w:afterAutospacing="0" w:line="23" w:lineRule="atLeast"/>
        <w:contextualSpacing/>
        <w:rPr>
          <w:rFonts w:ascii="Perpetua" w:hAnsi="Perpetua"/>
          <w:sz w:val="22"/>
          <w:szCs w:val="22"/>
        </w:rPr>
      </w:pPr>
      <w:r>
        <w:rPr>
          <w:rFonts w:ascii="Perpetua" w:hAnsi="Perpetua"/>
          <w:sz w:val="22"/>
          <w:szCs w:val="22"/>
        </w:rPr>
        <w:t xml:space="preserve">The program is rated by CEBC with a scientific rating of level 2 (supported by research) and with “high” relevance to child welfare populations. The program has not been associated with permanency outcomes but does have a goal of reducing the potential for child abuse. </w:t>
      </w:r>
      <w:r>
        <w:rPr>
          <w:rFonts w:ascii="Perpetua" w:hAnsi="Perpetua"/>
          <w:bCs/>
          <w:sz w:val="22"/>
          <w:szCs w:val="22"/>
        </w:rPr>
        <w:t>The target population is a</w:t>
      </w:r>
      <w:r>
        <w:rPr>
          <w:rFonts w:ascii="Perpetua" w:hAnsi="Perpetua"/>
          <w:sz w:val="22"/>
          <w:szCs w:val="22"/>
        </w:rPr>
        <w:t>dults with drug abuse and dependence, as well as other co-existing problems such as depression, family dysfunction, trauma, and child neglect. The program was developed by Dr. Brad Donahue at UNLV. An evaluation of a Pennsylvania FBC program showed that at program discharge 71% of families reported improved family relationships. At 90 days post treatment, 71% of families reported that they had continued to maintain complete abstinence from drugs/or alcohol and 71% of families reported that they no longer had an open case with Children and Youth Services. In addition, the 29% of families that still had an open case had their children returned home (Markiewicz, 2010).</w:t>
      </w:r>
    </w:p>
    <w:p w:rsidR="00D86A11" w:rsidRPr="00183C89" w:rsidRDefault="00D86A11" w:rsidP="00D86A11">
      <w:pPr>
        <w:pStyle w:val="Heading5"/>
        <w:rPr>
          <w:rFonts w:ascii="Perpetua" w:hAnsi="Perpetua"/>
          <w:i w:val="0"/>
          <w:color w:val="auto"/>
          <w:u w:val="single"/>
        </w:rPr>
      </w:pPr>
      <w:r w:rsidRPr="00183C89">
        <w:rPr>
          <w:rFonts w:ascii="Perpetua" w:hAnsi="Perpetua"/>
          <w:i w:val="0"/>
          <w:color w:val="auto"/>
          <w:u w:val="single"/>
        </w:rPr>
        <w:t xml:space="preserve">Court </w:t>
      </w:r>
      <w:r w:rsidR="00A56CE5">
        <w:rPr>
          <w:rFonts w:ascii="Perpetua" w:hAnsi="Perpetua"/>
          <w:i w:val="0"/>
          <w:color w:val="auto"/>
          <w:u w:val="single"/>
        </w:rPr>
        <w:t>System Strategies</w:t>
      </w:r>
    </w:p>
    <w:p w:rsidR="00D86A11" w:rsidRDefault="00D86A11" w:rsidP="00D86A11">
      <w:pPr>
        <w:autoSpaceDE w:val="0"/>
        <w:autoSpaceDN w:val="0"/>
        <w:adjustRightInd w:val="0"/>
        <w:spacing w:line="23" w:lineRule="atLeast"/>
      </w:pPr>
      <w:r>
        <w:t xml:space="preserve">The New York State </w:t>
      </w:r>
      <w:r>
        <w:rPr>
          <w:u w:val="single"/>
        </w:rPr>
        <w:t>Child Welfare Court Improvement Project (CWCIP)</w:t>
      </w:r>
      <w:r>
        <w:t xml:space="preserve"> has implemented multiple strategies to improve family reunification. A key initiative is the Center for Family Representation’s (CFR) “Cornerstone Advocacy” project which involves intensive advocacy during the first 60 days of a child welfare case focusing on placement, services, conferences and visitation. Focusing on the first 60 days post-removal creates a sense of urgency, capitalizes on the parties’ optimism at the beginning of the case, and sets the direction towards reunification from the </w:t>
      </w:r>
      <w:r>
        <w:lastRenderedPageBreak/>
        <w:t>beginning. With this strategy, CFR achieved a dismissal rate of 33% in 2009 compared to 11% in the year prior to CFR taking court assignments. They noted a median length of stay of 57 days for children entering care compared to the 8.9 month New York City median. Below is a list of some of the strategies that are being implemented in New York; some are statewide and others are specific to certain counties:</w:t>
      </w:r>
    </w:p>
    <w:p w:rsidR="000B1863" w:rsidRDefault="00D86A11">
      <w:pPr>
        <w:pStyle w:val="ColorfulList-Accent11"/>
        <w:numPr>
          <w:ilvl w:val="0"/>
          <w:numId w:val="28"/>
        </w:numPr>
        <w:autoSpaceDE w:val="0"/>
        <w:autoSpaceDN w:val="0"/>
        <w:adjustRightInd w:val="0"/>
        <w:spacing w:after="160" w:line="23" w:lineRule="atLeast"/>
      </w:pPr>
      <w:r w:rsidRPr="00CA4753">
        <w:rPr>
          <w:rFonts w:ascii="Perpetua" w:hAnsi="Perpetua"/>
          <w:sz w:val="22"/>
        </w:rPr>
        <w:t>“Frontloading without Railroading” trainings which introduce participants to the key elements of the Cornerstone Advocacy approach.</w:t>
      </w:r>
    </w:p>
    <w:p w:rsidR="000B1863" w:rsidRDefault="00D86A11">
      <w:pPr>
        <w:pStyle w:val="ColorfulList-Accent11"/>
        <w:numPr>
          <w:ilvl w:val="0"/>
          <w:numId w:val="28"/>
        </w:numPr>
        <w:autoSpaceDE w:val="0"/>
        <w:autoSpaceDN w:val="0"/>
        <w:adjustRightInd w:val="0"/>
        <w:spacing w:after="160" w:line="23" w:lineRule="atLeast"/>
      </w:pPr>
      <w:r w:rsidRPr="00CA4753">
        <w:rPr>
          <w:rFonts w:ascii="Perpetua" w:hAnsi="Perpetua"/>
          <w:sz w:val="22"/>
        </w:rPr>
        <w:t>Piloting of the National Council of Juvenile and Family Court Judges (NCJFCJ) Disproportionate Minority Representation (DMR) Benchcard to support more culturally sensitive decisions to improve placement. In Erie County, the Judge asks the parent to identify her race or ethnicity, the race or ethnicity of her child, what religious or cultural considerations could impact the child’s adjustment to care and to identify relatives or others who could be a placement or supportive resource. The protocol has helped to identify Native American children, tailor services and training for foster parents caring for children who require religious or cultural accommodations, and develop a more comprehensive list of potential family resources for the child.</w:t>
      </w:r>
    </w:p>
    <w:p w:rsidR="000B1863" w:rsidRDefault="00D86A11">
      <w:pPr>
        <w:pStyle w:val="ColorfulList-Accent11"/>
        <w:numPr>
          <w:ilvl w:val="0"/>
          <w:numId w:val="28"/>
        </w:numPr>
        <w:autoSpaceDE w:val="0"/>
        <w:autoSpaceDN w:val="0"/>
        <w:adjustRightInd w:val="0"/>
        <w:spacing w:after="160" w:line="23" w:lineRule="atLeast"/>
      </w:pPr>
      <w:r w:rsidRPr="00CA4753">
        <w:rPr>
          <w:rFonts w:ascii="Perpetua" w:hAnsi="Perpetua"/>
          <w:sz w:val="22"/>
        </w:rPr>
        <w:t>Many counties are using the Preliminary Conference Checklist developed by the CWCIP for preliminary conferences scheduled with a Judge or a Court Attorney Referee within two weeks of the first court appearance. The conferences focus on initiation of services, implementation of a visitation plan and placement issues.</w:t>
      </w:r>
    </w:p>
    <w:p w:rsidR="000B1863" w:rsidRDefault="00D86A11">
      <w:pPr>
        <w:pStyle w:val="ColorfulList-Accent11"/>
        <w:numPr>
          <w:ilvl w:val="0"/>
          <w:numId w:val="28"/>
        </w:numPr>
        <w:autoSpaceDE w:val="0"/>
        <w:autoSpaceDN w:val="0"/>
        <w:adjustRightInd w:val="0"/>
        <w:spacing w:after="160" w:line="23" w:lineRule="atLeast"/>
      </w:pPr>
      <w:r w:rsidRPr="00CA4753">
        <w:rPr>
          <w:rFonts w:ascii="Perpetua" w:hAnsi="Perpetua"/>
          <w:sz w:val="22"/>
        </w:rPr>
        <w:t xml:space="preserve">In NY City family courts, in addition to the preliminary conference, two additional conferences are scheduled with the Judge’s Court Attorney to keep the court proceedings moving ahead. The second case conference, entitled the Compliance and Pre-Settlement Conference, focuses on reviewing the status of the case in terms of continuing engagement of relatives, visitation, service provision, </w:t>
      </w:r>
      <w:r w:rsidR="00A56CE5" w:rsidRPr="00CA4753">
        <w:rPr>
          <w:rFonts w:ascii="Perpetua" w:hAnsi="Perpetua"/>
          <w:sz w:val="22"/>
        </w:rPr>
        <w:t>and compliance</w:t>
      </w:r>
      <w:r w:rsidRPr="00CA4753">
        <w:rPr>
          <w:rFonts w:ascii="Perpetua" w:hAnsi="Perpetua"/>
          <w:sz w:val="22"/>
        </w:rPr>
        <w:t xml:space="preserve"> and discovery issues. The final preliminary conference, called the Final Settlement Conference, is scheduled to consider any settlement proposals, review the cases status and, if not already accomplished, set the fact-finding and disposition dates.</w:t>
      </w:r>
    </w:p>
    <w:p w:rsidR="000B1863" w:rsidRDefault="00D86A11">
      <w:pPr>
        <w:pStyle w:val="ColorfulList-Accent11"/>
        <w:numPr>
          <w:ilvl w:val="0"/>
          <w:numId w:val="28"/>
        </w:numPr>
        <w:autoSpaceDE w:val="0"/>
        <w:autoSpaceDN w:val="0"/>
        <w:adjustRightInd w:val="0"/>
        <w:spacing w:after="160" w:line="23" w:lineRule="atLeast"/>
      </w:pPr>
      <w:r w:rsidRPr="00CA4753">
        <w:rPr>
          <w:rFonts w:ascii="Perpetua" w:hAnsi="Perpetua"/>
          <w:sz w:val="22"/>
        </w:rPr>
        <w:t xml:space="preserve">In addition to the court-based conferences, NYC’s Administration for Children’s Services facilitates a series of multi-party conferences including conferences convened every 3 months to discuss overall permanency planning. ACS developed a Transition (family group conference) meeting to occur within 72 hours of placement that has three parts: 1) to develop a relationship between the parent, ACS worker and contract agency worker to explain process, roles and expectations; 2) a “parent to parent” meeting where the foster parent and bio parent can meet and exchange information on the child’s needs, likes and dislikes, etc.; 3) the first parent-child visit with a focus on supporting attachment.  </w:t>
      </w:r>
    </w:p>
    <w:p w:rsidR="000B1863" w:rsidRDefault="00D86A11">
      <w:pPr>
        <w:pStyle w:val="ColorfulList-Accent11"/>
        <w:numPr>
          <w:ilvl w:val="0"/>
          <w:numId w:val="28"/>
        </w:numPr>
        <w:autoSpaceDE w:val="0"/>
        <w:autoSpaceDN w:val="0"/>
        <w:adjustRightInd w:val="0"/>
        <w:spacing w:after="160" w:line="23" w:lineRule="atLeast"/>
      </w:pPr>
      <w:r w:rsidRPr="00CA4753">
        <w:rPr>
          <w:rFonts w:ascii="Perpetua" w:hAnsi="Perpetua"/>
          <w:sz w:val="22"/>
        </w:rPr>
        <w:t>Dutchess County piloted a program to have the Court set a date for a conference and make it mandatory for all parties as if it was a court appearance. In the five New York City Family Courts, formalized case conferencing is taken beyond the preliminary conference. In most instances, two additional conferences are scheduled with the Judge’s Court Attorney to keep the court proceedings moving ahead. The second case conference, entitled the Compliance and Pre-Settlement Conference, focuses on reviewing the status of the case in terms of continuing engagement of relatives, visitation, service provision and compliance and discovery issues. Parties are also encouraged to begin settlement discussions, utilize alternative dispute resolution options and prepare for fact finding. The final preliminary conference, called the Final Settlement Conference, is scheduled to consider any settlement proposals, review the cases status and, if not already accomplished, set the fact-finding and disposition dates. (NY State CWCIP, 2011).</w:t>
      </w:r>
    </w:p>
    <w:p w:rsidR="00D86A11" w:rsidRDefault="00D86A11" w:rsidP="00D86A11">
      <w:pPr>
        <w:pStyle w:val="Heading2"/>
        <w:spacing w:after="120"/>
        <w:rPr>
          <w:rFonts w:ascii="Perpetua" w:hAnsi="Perpetua"/>
          <w:b w:val="0"/>
        </w:rPr>
      </w:pPr>
      <w:r>
        <w:rPr>
          <w:rFonts w:ascii="Perpetua" w:hAnsi="Perpetua"/>
        </w:rPr>
        <w:t>References</w:t>
      </w:r>
    </w:p>
    <w:p w:rsidR="00D86A11" w:rsidRPr="00CA4753" w:rsidRDefault="00D86A11" w:rsidP="00D86A11">
      <w:pPr>
        <w:pStyle w:val="EndnoteText"/>
        <w:spacing w:after="120"/>
        <w:rPr>
          <w:rFonts w:ascii="Perpetua" w:hAnsi="Perpetua"/>
          <w:sz w:val="22"/>
          <w:szCs w:val="22"/>
        </w:rPr>
      </w:pPr>
      <w:r w:rsidRPr="00CA4753">
        <w:rPr>
          <w:rFonts w:ascii="Perpetua" w:hAnsi="Perpetua"/>
          <w:sz w:val="22"/>
          <w:szCs w:val="22"/>
        </w:rPr>
        <w:t xml:space="preserve">American Humane Association (2011). Bringing Back the Dads: Changing Practices in Child Welfare Systems. </w:t>
      </w:r>
      <w:r w:rsidRPr="00CA4753">
        <w:rPr>
          <w:rFonts w:ascii="Perpetua" w:hAnsi="Perpetua"/>
          <w:i/>
          <w:sz w:val="22"/>
          <w:szCs w:val="22"/>
        </w:rPr>
        <w:t>Protecting Children: A Professional Publication of American Humane Association</w:t>
      </w:r>
      <w:r w:rsidRPr="00CA4753">
        <w:rPr>
          <w:rFonts w:ascii="Perpetua" w:hAnsi="Perpetua"/>
          <w:sz w:val="22"/>
          <w:szCs w:val="22"/>
        </w:rPr>
        <w:t xml:space="preserve">. 26 (2). </w:t>
      </w:r>
      <w:hyperlink r:id="rId127" w:history="1">
        <w:r w:rsidRPr="00CA4753">
          <w:rPr>
            <w:rStyle w:val="Hyperlink"/>
            <w:rFonts w:ascii="Perpetua" w:hAnsi="Perpetua"/>
            <w:sz w:val="22"/>
            <w:szCs w:val="22"/>
          </w:rPr>
          <w:t>http://www.americanhumane.org/assets/pdfs/children/fatherhood/pc262.pdf</w:t>
        </w:r>
      </w:hyperlink>
      <w:hyperlink r:id="rId128" w:history="1">
        <w:r w:rsidRPr="00CA4753">
          <w:rPr>
            <w:rStyle w:val="Hyperlink"/>
            <w:rFonts w:ascii="Perpetua" w:hAnsi="Perpetua"/>
            <w:sz w:val="22"/>
            <w:szCs w:val="22"/>
          </w:rPr>
          <w:t>http://www.americanhumane.org/assets/pdfs/children/fatherhood/pc262.pdf</w:t>
        </w:r>
      </w:hyperlink>
      <w:hyperlink r:id="rId129" w:history="1">
        <w:r w:rsidRPr="00CA4753">
          <w:rPr>
            <w:rStyle w:val="Hyperlink"/>
            <w:rFonts w:ascii="Perpetua" w:hAnsi="Perpetua"/>
            <w:sz w:val="22"/>
            <w:szCs w:val="22"/>
          </w:rPr>
          <w:t>http://www.americanhumane.org/assets/pdfs/children/fatherhood/pc262.pdf</w:t>
        </w:r>
      </w:hyperlink>
    </w:p>
    <w:p w:rsidR="00D86A11" w:rsidRPr="00CA4753" w:rsidRDefault="00D86A11" w:rsidP="00D86A11">
      <w:pPr>
        <w:pStyle w:val="EndnoteText"/>
        <w:spacing w:after="120"/>
        <w:rPr>
          <w:rStyle w:val="Hyperlink"/>
          <w:rFonts w:ascii="Perpetua" w:hAnsi="Perpetua"/>
          <w:sz w:val="22"/>
          <w:szCs w:val="22"/>
        </w:rPr>
      </w:pPr>
      <w:r w:rsidRPr="00CA4753">
        <w:rPr>
          <w:rFonts w:ascii="Perpetua" w:hAnsi="Perpetua"/>
          <w:sz w:val="22"/>
          <w:szCs w:val="22"/>
        </w:rPr>
        <w:t xml:space="preserve">American Humane Association (February 1, 2012). Child Welfare Briefing: Strategies towards Successful Reunification, 3(1).  </w:t>
      </w:r>
      <w:hyperlink r:id="rId130" w:history="1">
        <w:r w:rsidRPr="00CA4753">
          <w:rPr>
            <w:rStyle w:val="Hyperlink"/>
            <w:rFonts w:ascii="Perpetua" w:hAnsi="Perpetua"/>
            <w:sz w:val="22"/>
            <w:szCs w:val="22"/>
          </w:rPr>
          <w:t>http://www.americanhumane.org/assets/pdfs/children/advocacy/reunification_paper.pdf</w:t>
        </w:r>
      </w:hyperlink>
      <w:hyperlink r:id="rId131" w:history="1">
        <w:r w:rsidRPr="00CA4753">
          <w:rPr>
            <w:rStyle w:val="Hyperlink"/>
            <w:rFonts w:ascii="Perpetua" w:hAnsi="Perpetua"/>
            <w:sz w:val="22"/>
            <w:szCs w:val="22"/>
          </w:rPr>
          <w:t>http://www.americanhumane.org/assets/pdfs/children/advocacy/reunification_paper.pdf</w:t>
        </w:r>
      </w:hyperlink>
    </w:p>
    <w:p w:rsidR="00D86A11" w:rsidRPr="00CA4753" w:rsidRDefault="00D86A11" w:rsidP="00D86A11">
      <w:pPr>
        <w:pStyle w:val="Heading1"/>
        <w:shd w:val="clear" w:color="auto" w:fill="FFFFFF"/>
        <w:spacing w:before="0" w:after="120"/>
        <w:textAlignment w:val="baseline"/>
        <w:rPr>
          <w:rFonts w:eastAsia="Times New Roman"/>
          <w:b w:val="0"/>
          <w:color w:val="auto"/>
          <w:sz w:val="22"/>
          <w:szCs w:val="22"/>
        </w:rPr>
      </w:pPr>
      <w:r w:rsidRPr="00CA4753">
        <w:rPr>
          <w:rFonts w:ascii="Perpetua" w:eastAsia="Times New Roman" w:hAnsi="Perpetua"/>
          <w:b w:val="0"/>
          <w:color w:val="auto"/>
          <w:sz w:val="22"/>
          <w:szCs w:val="22"/>
        </w:rPr>
        <w:t>Barth, R., Landsverk, J. et. al. (2005).</w:t>
      </w:r>
      <w:r w:rsidRPr="00CA4753">
        <w:rPr>
          <w:rFonts w:ascii="Perpetua" w:hAnsi="Perpetua"/>
          <w:b w:val="0"/>
          <w:sz w:val="22"/>
          <w:szCs w:val="22"/>
        </w:rPr>
        <w:t xml:space="preserve"> </w:t>
      </w:r>
      <w:r w:rsidRPr="00CA4753">
        <w:rPr>
          <w:rFonts w:ascii="Perpetua" w:eastAsia="Times New Roman" w:hAnsi="Perpetua"/>
          <w:b w:val="0"/>
          <w:color w:val="auto"/>
          <w:sz w:val="22"/>
          <w:szCs w:val="22"/>
        </w:rPr>
        <w:t xml:space="preserve">Parent-Training Programs in Child Welfare Services: Planning for a More Evidence-Based Approach to Serving Biological Parents. </w:t>
      </w:r>
      <w:r w:rsidRPr="00CA4753">
        <w:rPr>
          <w:rFonts w:ascii="Perpetua" w:eastAsia="Times New Roman" w:hAnsi="Perpetua"/>
          <w:b w:val="0"/>
          <w:i/>
          <w:color w:val="auto"/>
          <w:sz w:val="22"/>
          <w:szCs w:val="22"/>
        </w:rPr>
        <w:t>Research on Social Work Practice.</w:t>
      </w:r>
      <w:r w:rsidRPr="00CA4753">
        <w:rPr>
          <w:rFonts w:ascii="Perpetua" w:eastAsia="Times New Roman" w:hAnsi="Perpetua"/>
          <w:b w:val="0"/>
          <w:color w:val="auto"/>
          <w:sz w:val="22"/>
          <w:szCs w:val="22"/>
        </w:rPr>
        <w:t xml:space="preserve"> 15 (5).</w:t>
      </w:r>
    </w:p>
    <w:p w:rsidR="00D86A11" w:rsidRPr="00CA4753" w:rsidRDefault="00D86A11" w:rsidP="00D86A11">
      <w:pPr>
        <w:pStyle w:val="EndnoteText"/>
        <w:spacing w:after="120"/>
        <w:rPr>
          <w:rFonts w:ascii="Perpetua" w:hAnsi="Perpetua" w:cs="Helvetica"/>
          <w:color w:val="212121"/>
          <w:sz w:val="22"/>
          <w:szCs w:val="22"/>
        </w:rPr>
      </w:pPr>
      <w:r w:rsidRPr="00CA4753">
        <w:rPr>
          <w:rFonts w:ascii="Perpetua" w:hAnsi="Perpetua"/>
          <w:sz w:val="22"/>
          <w:szCs w:val="22"/>
        </w:rPr>
        <w:t xml:space="preserve">Berrick, J.D., Cohen, E., &amp; Anthony, E. (2011). Partnering with Parents: Promising Approaches to Improve Reunification Outcomes for Children in Foster Care. </w:t>
      </w:r>
      <w:r w:rsidRPr="00CA4753">
        <w:rPr>
          <w:rFonts w:ascii="Perpetua" w:hAnsi="Perpetua"/>
          <w:i/>
          <w:sz w:val="22"/>
          <w:szCs w:val="22"/>
        </w:rPr>
        <w:t>Journal of Family Strengths:</w:t>
      </w:r>
      <w:r w:rsidRPr="00CA4753">
        <w:rPr>
          <w:rFonts w:ascii="Perpetua" w:hAnsi="Perpetua"/>
          <w:sz w:val="22"/>
          <w:szCs w:val="22"/>
        </w:rPr>
        <w:t xml:space="preserve"> Vol. 11: Iss. 1, Article 14. </w:t>
      </w:r>
      <w:hyperlink r:id="rId132" w:history="1">
        <w:r w:rsidRPr="00CA4753">
          <w:rPr>
            <w:rStyle w:val="Hyperlink"/>
            <w:rFonts w:ascii="Perpetua" w:hAnsi="Perpetua"/>
            <w:sz w:val="22"/>
            <w:szCs w:val="22"/>
          </w:rPr>
          <w:t>http://digitalcommons.library.tmc.edu/jfs/vol11/iss1/14</w:t>
        </w:r>
      </w:hyperlink>
      <w:hyperlink r:id="rId133" w:history="1">
        <w:r w:rsidRPr="00CA4753">
          <w:rPr>
            <w:rStyle w:val="Hyperlink"/>
            <w:rFonts w:ascii="Perpetua" w:hAnsi="Perpetua"/>
            <w:sz w:val="22"/>
            <w:szCs w:val="22"/>
          </w:rPr>
          <w:t>http://digitalcommons.library.tmc.edu/jfs/vol11/iss1/14</w:t>
        </w:r>
      </w:hyperlink>
      <w:hyperlink r:id="rId134" w:history="1">
        <w:r w:rsidRPr="00CA4753">
          <w:rPr>
            <w:rStyle w:val="Hyperlink"/>
            <w:rFonts w:ascii="Perpetua" w:hAnsi="Perpetua"/>
            <w:sz w:val="22"/>
            <w:szCs w:val="22"/>
          </w:rPr>
          <w:t>http://digitalcommons.library.tmc.edu/jfs/vol11/iss1/14</w:t>
        </w:r>
      </w:hyperlink>
    </w:p>
    <w:p w:rsidR="00D86A11" w:rsidRPr="00CA4753" w:rsidRDefault="00D86A11" w:rsidP="00D86A11">
      <w:pPr>
        <w:pStyle w:val="EndnoteText"/>
        <w:spacing w:after="120"/>
        <w:rPr>
          <w:rStyle w:val="Strong"/>
          <w:b w:val="0"/>
          <w:color w:val="000000"/>
          <w:sz w:val="22"/>
          <w:szCs w:val="22"/>
        </w:rPr>
      </w:pPr>
      <w:r w:rsidRPr="00CA4753">
        <w:rPr>
          <w:rFonts w:ascii="Perpetua" w:hAnsi="Perpetua" w:cs="Helvetica"/>
          <w:color w:val="212121"/>
          <w:sz w:val="22"/>
          <w:szCs w:val="22"/>
        </w:rPr>
        <w:t>Bronson, Saunders, Holt, &amp; Beck (2008),</w:t>
      </w:r>
      <w:r w:rsidRPr="00CA4753">
        <w:rPr>
          <w:rFonts w:ascii="Perpetua" w:hAnsi="Perpetua" w:cs="Helvetica"/>
          <w:b/>
          <w:color w:val="212121"/>
          <w:sz w:val="22"/>
          <w:szCs w:val="22"/>
        </w:rPr>
        <w:t xml:space="preserve"> </w:t>
      </w:r>
      <w:hyperlink r:id="rId135" w:tgtFrame="_blank" w:history="1">
        <w:r w:rsidRPr="00CA4753">
          <w:rPr>
            <w:rStyle w:val="Strong"/>
            <w:rFonts w:cs="Helvetica"/>
            <w:b w:val="0"/>
            <w:color w:val="000000"/>
            <w:sz w:val="22"/>
            <w:szCs w:val="22"/>
          </w:rPr>
          <w:t>A Systematic Review of Strategies to Promote Successful Reunification and to Reduce Re-Entry to Care for Abused, Neglected, and Unruly Children: Final Report</w:t>
        </w:r>
      </w:hyperlink>
    </w:p>
    <w:p w:rsidR="00D86A11" w:rsidRPr="00CA4753" w:rsidRDefault="00D86A11" w:rsidP="00D86A11">
      <w:pPr>
        <w:pStyle w:val="EndnoteText"/>
        <w:spacing w:after="120"/>
        <w:rPr>
          <w:sz w:val="22"/>
          <w:szCs w:val="22"/>
        </w:rPr>
      </w:pPr>
      <w:r w:rsidRPr="00CA4753">
        <w:rPr>
          <w:rFonts w:ascii="Perpetua" w:hAnsi="Perpetua"/>
          <w:sz w:val="22"/>
          <w:szCs w:val="22"/>
        </w:rPr>
        <w:t xml:space="preserve">Brown, D. (Winter 2015). Initiative Serves as a Culturally Responsive Community Outreach and Recruitment Model for Foster Care and Adoption with African Heritage Communities. </w:t>
      </w:r>
      <w:r w:rsidRPr="00CA4753">
        <w:rPr>
          <w:rFonts w:ascii="Perpetua" w:hAnsi="Perpetua"/>
          <w:i/>
          <w:sz w:val="22"/>
          <w:szCs w:val="22"/>
        </w:rPr>
        <w:t>CW 360 Culturally Responsive Child Welfare Practice</w:t>
      </w:r>
      <w:r w:rsidRPr="00CA4753">
        <w:rPr>
          <w:rFonts w:ascii="Perpetua" w:hAnsi="Perpetua"/>
          <w:sz w:val="22"/>
          <w:szCs w:val="22"/>
        </w:rPr>
        <w:t>. http://cascw.umn.edu/wp-content/uploads/2015/03/CW360-Winter2015.pdf</w:t>
      </w:r>
    </w:p>
    <w:p w:rsidR="00D86A11" w:rsidRPr="00CA4753" w:rsidRDefault="00D86A11" w:rsidP="00D86A11">
      <w:pPr>
        <w:pStyle w:val="EndnoteText"/>
        <w:spacing w:after="120"/>
        <w:rPr>
          <w:rStyle w:val="Hyperlink"/>
          <w:rFonts w:ascii="Perpetua" w:hAnsi="Perpetua"/>
          <w:sz w:val="22"/>
          <w:szCs w:val="22"/>
        </w:rPr>
      </w:pPr>
      <w:r w:rsidRPr="00CA4753">
        <w:rPr>
          <w:rFonts w:ascii="Perpetua" w:hAnsi="Perpetua"/>
          <w:sz w:val="22"/>
          <w:szCs w:val="22"/>
        </w:rPr>
        <w:t xml:space="preserve">California Department of Social Services (CDSS), Outcomes and Accountability System (OAS) </w:t>
      </w:r>
      <w:hyperlink r:id="rId136" w:history="1">
        <w:r w:rsidRPr="00CA4753">
          <w:rPr>
            <w:rStyle w:val="Hyperlink"/>
            <w:rFonts w:ascii="Perpetua" w:hAnsi="Perpetua"/>
            <w:sz w:val="22"/>
            <w:szCs w:val="22"/>
          </w:rPr>
          <w:t>http://www.childsworld.ca.gov/PG1356.htm</w:t>
        </w:r>
      </w:hyperlink>
      <w:hyperlink r:id="rId137" w:history="1">
        <w:r w:rsidRPr="00CA4753">
          <w:rPr>
            <w:rStyle w:val="Hyperlink"/>
            <w:rFonts w:ascii="Perpetua" w:hAnsi="Perpetua"/>
            <w:sz w:val="22"/>
            <w:szCs w:val="22"/>
          </w:rPr>
          <w:t>http://www.childsworld.ca.gov/PG1356.htm</w:t>
        </w:r>
      </w:hyperlink>
      <w:hyperlink r:id="rId138" w:history="1">
        <w:r w:rsidRPr="00CA4753">
          <w:rPr>
            <w:rStyle w:val="Hyperlink"/>
            <w:rFonts w:ascii="Perpetua" w:hAnsi="Perpetua"/>
            <w:sz w:val="22"/>
            <w:szCs w:val="22"/>
          </w:rPr>
          <w:t>http://www.childsworld.ca.gov/PG1356.htm</w:t>
        </w:r>
      </w:hyperlink>
    </w:p>
    <w:p w:rsidR="00D86A11" w:rsidRPr="00CA4753" w:rsidRDefault="00D86A11" w:rsidP="00D86A11">
      <w:pPr>
        <w:pStyle w:val="EndnoteText"/>
        <w:spacing w:after="120"/>
        <w:rPr>
          <w:sz w:val="22"/>
          <w:szCs w:val="22"/>
        </w:rPr>
      </w:pPr>
      <w:r w:rsidRPr="00CA4753">
        <w:rPr>
          <w:rFonts w:ascii="Perpetua" w:hAnsi="Perpetua"/>
          <w:sz w:val="22"/>
          <w:szCs w:val="22"/>
        </w:rPr>
        <w:t xml:space="preserve">Casey Family Programs (December 2011). Timely Permanency through Reunification. Breakthrough Series Collaborative. Series Number 009. </w:t>
      </w:r>
      <w:hyperlink r:id="rId139" w:history="1">
        <w:r w:rsidRPr="00CA4753">
          <w:rPr>
            <w:rStyle w:val="Hyperlink"/>
            <w:rFonts w:ascii="Perpetua" w:hAnsi="Perpetua"/>
            <w:sz w:val="22"/>
            <w:szCs w:val="22"/>
          </w:rPr>
          <w:t>http://www.casey.org/media/TimelyPermanency.pdf</w:t>
        </w:r>
      </w:hyperlink>
      <w:hyperlink r:id="rId140" w:history="1">
        <w:r w:rsidRPr="00CA4753">
          <w:rPr>
            <w:rStyle w:val="Hyperlink"/>
            <w:rFonts w:ascii="Perpetua" w:hAnsi="Perpetua"/>
            <w:sz w:val="22"/>
            <w:szCs w:val="22"/>
          </w:rPr>
          <w:t>http://www.casey.org/media/TimelyPermanency.pdf</w:t>
        </w:r>
      </w:hyperlink>
      <w:hyperlink r:id="rId141" w:history="1">
        <w:r w:rsidRPr="00CA4753">
          <w:rPr>
            <w:rStyle w:val="Hyperlink"/>
            <w:rFonts w:ascii="Perpetua" w:hAnsi="Perpetua"/>
            <w:sz w:val="22"/>
            <w:szCs w:val="22"/>
          </w:rPr>
          <w:t>http://www.casey.org/media/TimelyPermanency.pdf</w:t>
        </w:r>
      </w:hyperlink>
    </w:p>
    <w:p w:rsidR="00D86A11" w:rsidRPr="00CA4753" w:rsidRDefault="00D86A11" w:rsidP="00D86A11">
      <w:pPr>
        <w:pStyle w:val="EndnoteText"/>
        <w:spacing w:after="120"/>
        <w:rPr>
          <w:rFonts w:ascii="Perpetua" w:hAnsi="Perpetua" w:cs="Helvetica"/>
          <w:color w:val="212121"/>
          <w:sz w:val="22"/>
          <w:szCs w:val="22"/>
        </w:rPr>
      </w:pPr>
      <w:r w:rsidRPr="00CA4753">
        <w:rPr>
          <w:rFonts w:ascii="Perpetua" w:hAnsi="Perpetua"/>
          <w:sz w:val="22"/>
          <w:szCs w:val="22"/>
        </w:rPr>
        <w:t xml:space="preserve">Child Welfare Information Gateway (June 2011). Family Reunification: What the Evidence Shows. </w:t>
      </w:r>
      <w:r w:rsidRPr="00CA4753">
        <w:rPr>
          <w:rFonts w:ascii="Perpetua" w:hAnsi="Perpetua"/>
          <w:i/>
          <w:sz w:val="22"/>
          <w:szCs w:val="22"/>
        </w:rPr>
        <w:t>Issue Brief.</w:t>
      </w:r>
      <w:r w:rsidRPr="00CA4753">
        <w:rPr>
          <w:rFonts w:ascii="Perpetua" w:hAnsi="Perpetua"/>
          <w:sz w:val="22"/>
          <w:szCs w:val="22"/>
        </w:rPr>
        <w:t xml:space="preserve"> </w:t>
      </w:r>
      <w:hyperlink r:id="rId142" w:history="1">
        <w:r w:rsidRPr="00CA4753">
          <w:rPr>
            <w:rStyle w:val="Hyperlink"/>
            <w:rFonts w:ascii="Perpetua" w:hAnsi="Perpetua"/>
            <w:sz w:val="22"/>
            <w:szCs w:val="22"/>
          </w:rPr>
          <w:t>https://www.childwelfare.gov/pubPDFs/family_reunification.pdf</w:t>
        </w:r>
      </w:hyperlink>
      <w:hyperlink r:id="rId143" w:history="1">
        <w:r w:rsidRPr="00CA4753">
          <w:rPr>
            <w:rStyle w:val="Hyperlink"/>
            <w:rFonts w:ascii="Perpetua" w:hAnsi="Perpetua"/>
            <w:sz w:val="22"/>
            <w:szCs w:val="22"/>
          </w:rPr>
          <w:t>https://www.childwelfare.gov/pubPDFs/family_reunification.pdf</w:t>
        </w:r>
      </w:hyperlink>
      <w:hyperlink r:id="rId144" w:history="1">
        <w:r w:rsidRPr="00CA4753">
          <w:rPr>
            <w:rStyle w:val="Hyperlink"/>
            <w:rFonts w:ascii="Perpetua" w:hAnsi="Perpetua"/>
            <w:sz w:val="22"/>
            <w:szCs w:val="22"/>
          </w:rPr>
          <w:t>https://www.childwelfare.gov/pubPDFs/family_reunification.pdf</w:t>
        </w:r>
      </w:hyperlink>
    </w:p>
    <w:p w:rsidR="00D86A11" w:rsidRPr="00CA4753" w:rsidRDefault="00D86A11" w:rsidP="00D86A11">
      <w:pPr>
        <w:pStyle w:val="EndnoteText"/>
        <w:spacing w:after="120"/>
        <w:rPr>
          <w:rFonts w:ascii="Perpetua" w:hAnsi="Perpetua" w:cs="Helvetica"/>
          <w:color w:val="212121"/>
          <w:sz w:val="22"/>
          <w:szCs w:val="22"/>
        </w:rPr>
      </w:pPr>
      <w:r w:rsidRPr="00CA4753">
        <w:rPr>
          <w:rFonts w:ascii="Perpetua" w:hAnsi="Perpetua" w:cs="Helvetica"/>
          <w:color w:val="212121"/>
          <w:sz w:val="22"/>
          <w:szCs w:val="22"/>
        </w:rPr>
        <w:t xml:space="preserve">Child Welfare Information Gateway (February 2012). Supporting Reunification and Preventing Reentry Into Out-of-Home Care. </w:t>
      </w:r>
      <w:r w:rsidRPr="00CA4753">
        <w:rPr>
          <w:rFonts w:ascii="Perpetua" w:hAnsi="Perpetua" w:cs="Helvetica"/>
          <w:i/>
          <w:color w:val="212121"/>
          <w:sz w:val="22"/>
          <w:szCs w:val="22"/>
        </w:rPr>
        <w:t>Bulletin for Professionals</w:t>
      </w:r>
      <w:r w:rsidRPr="00CA4753">
        <w:rPr>
          <w:rFonts w:ascii="Perpetua" w:hAnsi="Perpetua" w:cs="Helvetica"/>
          <w:color w:val="212121"/>
          <w:sz w:val="22"/>
          <w:szCs w:val="22"/>
        </w:rPr>
        <w:t xml:space="preserve">. </w:t>
      </w:r>
      <w:hyperlink r:id="rId145" w:history="1">
        <w:r w:rsidRPr="00CA4753">
          <w:rPr>
            <w:rStyle w:val="Hyperlink"/>
            <w:rFonts w:ascii="Perpetua" w:hAnsi="Perpetua" w:cs="Helvetica"/>
            <w:color w:val="212121"/>
            <w:sz w:val="22"/>
            <w:szCs w:val="22"/>
          </w:rPr>
          <w:t>http://www.childwelfare.gov/pubPDFs/srpr.pdf</w:t>
        </w:r>
      </w:hyperlink>
      <w:hyperlink r:id="rId146" w:history="1">
        <w:r w:rsidRPr="00CA4753">
          <w:rPr>
            <w:rStyle w:val="Hyperlink"/>
            <w:rFonts w:ascii="Perpetua" w:hAnsi="Perpetua" w:cs="Helvetica"/>
            <w:color w:val="212121"/>
            <w:sz w:val="22"/>
            <w:szCs w:val="22"/>
          </w:rPr>
          <w:t>http://www.childwelfare.gov/pubPDFs/srpr.pdf</w:t>
        </w:r>
      </w:hyperlink>
      <w:hyperlink r:id="rId147" w:history="1">
        <w:r w:rsidRPr="00CA4753">
          <w:rPr>
            <w:rStyle w:val="Hyperlink"/>
            <w:rFonts w:ascii="Perpetua" w:hAnsi="Perpetua" w:cs="Helvetica"/>
            <w:color w:val="212121"/>
            <w:sz w:val="22"/>
            <w:szCs w:val="22"/>
          </w:rPr>
          <w:t>http://www.childwelfare.gov/pubPDFs/srpr.pdf</w:t>
        </w:r>
      </w:hyperlink>
    </w:p>
    <w:p w:rsidR="00D86A11" w:rsidRPr="00CA4753" w:rsidRDefault="00D86A11" w:rsidP="00D86A11">
      <w:pPr>
        <w:pStyle w:val="EndnoteText"/>
        <w:spacing w:after="120"/>
        <w:rPr>
          <w:rFonts w:ascii="Perpetua" w:hAnsi="Perpetua"/>
          <w:color w:val="000000"/>
          <w:sz w:val="22"/>
          <w:szCs w:val="22"/>
        </w:rPr>
      </w:pPr>
      <w:r w:rsidRPr="00CA4753">
        <w:rPr>
          <w:rFonts w:ascii="Perpetua" w:hAnsi="Perpetua" w:cs="Helvetica"/>
          <w:color w:val="000000"/>
          <w:sz w:val="22"/>
          <w:szCs w:val="22"/>
        </w:rPr>
        <w:t>Crampton, D. et al. (January 18, 2015). Ongoing Efforts to Develop the Evidence-Base of Team Decisionmaking (presentation).</w:t>
      </w:r>
      <w:r w:rsidRPr="00CA4753">
        <w:rPr>
          <w:rFonts w:ascii="Perpetua" w:hAnsi="Perpetua" w:cs="Helvetica"/>
          <w:color w:val="003366"/>
          <w:sz w:val="22"/>
          <w:szCs w:val="22"/>
        </w:rPr>
        <w:t xml:space="preserve"> </w:t>
      </w:r>
      <w:hyperlink r:id="rId148" w:history="1">
        <w:r w:rsidRPr="00CA4753">
          <w:rPr>
            <w:rStyle w:val="Hyperlink"/>
            <w:rFonts w:ascii="Perpetua" w:hAnsi="Perpetua" w:cs="Helvetica"/>
            <w:sz w:val="22"/>
            <w:szCs w:val="22"/>
          </w:rPr>
          <w:t>https://sswr.confex.com/sswr/2015/webprogram/Paper24219.html</w:t>
        </w:r>
      </w:hyperlink>
      <w:hyperlink r:id="rId149" w:history="1">
        <w:r w:rsidRPr="00CA4753">
          <w:rPr>
            <w:rStyle w:val="Hyperlink"/>
            <w:rFonts w:ascii="Perpetua" w:hAnsi="Perpetua" w:cs="Helvetica"/>
            <w:sz w:val="22"/>
            <w:szCs w:val="22"/>
          </w:rPr>
          <w:t>https://sswr.confex.com/sswr/2015/webprogram/Paper24219.html</w:t>
        </w:r>
      </w:hyperlink>
      <w:hyperlink r:id="rId150" w:history="1">
        <w:r w:rsidRPr="00CA4753">
          <w:rPr>
            <w:rStyle w:val="Hyperlink"/>
            <w:rFonts w:ascii="Perpetua" w:hAnsi="Perpetua" w:cs="Helvetica"/>
            <w:sz w:val="22"/>
            <w:szCs w:val="22"/>
          </w:rPr>
          <w:t>https://sswr.confex.com/sswr/2015/webprogram/Paper24219.html</w:t>
        </w:r>
      </w:hyperlink>
    </w:p>
    <w:p w:rsidR="00D86A11" w:rsidRPr="00CA4753" w:rsidRDefault="00D86A11" w:rsidP="00D86A11">
      <w:pPr>
        <w:pStyle w:val="EndnoteText"/>
        <w:spacing w:after="120"/>
        <w:rPr>
          <w:rFonts w:ascii="Perpetua" w:hAnsi="Perpetua" w:cs="Helvetica"/>
          <w:color w:val="212121"/>
          <w:sz w:val="22"/>
          <w:szCs w:val="22"/>
        </w:rPr>
      </w:pPr>
      <w:r w:rsidRPr="00CA4753">
        <w:rPr>
          <w:rFonts w:ascii="Perpetua" w:hAnsi="Perpetua"/>
          <w:color w:val="000000"/>
          <w:sz w:val="22"/>
          <w:szCs w:val="22"/>
        </w:rPr>
        <w:t>Crampton, D., Usher, C., Wildfire, J., Webster, D. &amp; Cuccaro-Alamin, S. (2011). Does community and family engagement enhance permanency for children in foster care? Findings from an evaluation of the Family to Family initiative. </w:t>
      </w:r>
      <w:r w:rsidRPr="00CA4753">
        <w:rPr>
          <w:rFonts w:ascii="Perpetua" w:hAnsi="Perpetua"/>
          <w:i/>
          <w:iCs/>
          <w:color w:val="000000"/>
          <w:sz w:val="22"/>
          <w:szCs w:val="22"/>
        </w:rPr>
        <w:t>Child Welfare</w:t>
      </w:r>
      <w:r w:rsidRPr="00CA4753">
        <w:rPr>
          <w:rFonts w:ascii="Perpetua" w:hAnsi="Perpetua"/>
          <w:color w:val="000000"/>
          <w:sz w:val="22"/>
          <w:szCs w:val="22"/>
        </w:rPr>
        <w:t>, 90 (4), 61 – 77</w:t>
      </w:r>
    </w:p>
    <w:p w:rsidR="00D86A11" w:rsidRPr="00CA4753" w:rsidRDefault="00D86A11" w:rsidP="00D86A11">
      <w:pPr>
        <w:pStyle w:val="EndnoteText"/>
        <w:spacing w:after="120"/>
        <w:rPr>
          <w:rStyle w:val="Hyperlink"/>
          <w:rFonts w:ascii="Perpetua" w:hAnsi="Perpetua"/>
          <w:sz w:val="22"/>
          <w:szCs w:val="22"/>
        </w:rPr>
      </w:pPr>
      <w:r w:rsidRPr="00CA4753">
        <w:rPr>
          <w:rFonts w:ascii="Perpetua" w:hAnsi="Perpetua"/>
          <w:sz w:val="22"/>
          <w:szCs w:val="22"/>
        </w:rPr>
        <w:t xml:space="preserve">Donahue, Brad Family Behavior Therapy: An Evidence-Based Approach for Adult Substance Abuse and Associated Problems. Slide presentation. </w:t>
      </w:r>
      <w:hyperlink r:id="rId151" w:history="1">
        <w:r w:rsidRPr="00CA4753">
          <w:rPr>
            <w:rStyle w:val="Hyperlink"/>
            <w:rFonts w:ascii="Perpetua" w:hAnsi="Perpetua"/>
            <w:sz w:val="22"/>
            <w:szCs w:val="22"/>
          </w:rPr>
          <w:t>http://slideplayer.com/slide/4668902/</w:t>
        </w:r>
      </w:hyperlink>
      <w:hyperlink r:id="rId152" w:history="1">
        <w:r w:rsidRPr="00CA4753">
          <w:rPr>
            <w:rStyle w:val="Hyperlink"/>
            <w:rFonts w:ascii="Perpetua" w:hAnsi="Perpetua"/>
            <w:sz w:val="22"/>
            <w:szCs w:val="22"/>
          </w:rPr>
          <w:t>http://slideplayer.com/slide/4668902/</w:t>
        </w:r>
      </w:hyperlink>
      <w:hyperlink r:id="rId153" w:history="1">
        <w:r w:rsidRPr="00CA4753">
          <w:rPr>
            <w:rStyle w:val="Hyperlink"/>
            <w:rFonts w:ascii="Perpetua" w:hAnsi="Perpetua"/>
            <w:sz w:val="22"/>
            <w:szCs w:val="22"/>
          </w:rPr>
          <w:t>http://slideplayer.com/slide/4668902/</w:t>
        </w:r>
      </w:hyperlink>
    </w:p>
    <w:p w:rsidR="00D86A11" w:rsidRPr="00CA4753" w:rsidRDefault="00D86A11" w:rsidP="00D86A11">
      <w:pPr>
        <w:pStyle w:val="EndnoteText"/>
        <w:spacing w:after="120"/>
        <w:rPr>
          <w:rFonts w:cs="Helvetica"/>
          <w:color w:val="212121"/>
          <w:sz w:val="22"/>
          <w:szCs w:val="22"/>
        </w:rPr>
      </w:pPr>
      <w:r w:rsidRPr="00CA4753">
        <w:rPr>
          <w:rStyle w:val="Hyperlink"/>
          <w:rFonts w:ascii="Perpetua" w:hAnsi="Perpetua"/>
          <w:sz w:val="22"/>
          <w:szCs w:val="22"/>
        </w:rPr>
        <w:t xml:space="preserve">Honomichl, R., </w:t>
      </w:r>
      <w:r w:rsidRPr="00CA4753">
        <w:rPr>
          <w:rFonts w:ascii="Perpetua" w:hAnsi="Perpetua"/>
          <w:sz w:val="22"/>
          <w:szCs w:val="22"/>
        </w:rPr>
        <w:t xml:space="preserve">Hatton, H., &amp; Brooks, S. (2009). </w:t>
      </w:r>
      <w:r w:rsidRPr="00CA4753">
        <w:rPr>
          <w:rStyle w:val="Hyperlink"/>
          <w:rFonts w:ascii="Perpetua" w:hAnsi="Perpetua"/>
          <w:sz w:val="22"/>
          <w:szCs w:val="22"/>
        </w:rPr>
        <w:t xml:space="preserve">Factors, Characteristics and Promising Practices Related to Reunification and Re-Entry: A Literature Review for the Peer Quality Case Review Process. </w:t>
      </w:r>
      <w:hyperlink r:id="rId154" w:history="1">
        <w:r w:rsidRPr="00CA4753">
          <w:rPr>
            <w:rStyle w:val="Hyperlink"/>
            <w:rFonts w:ascii="Perpetua" w:hAnsi="Perpetua"/>
            <w:sz w:val="22"/>
            <w:szCs w:val="22"/>
          </w:rPr>
          <w:t>http://academy.extensiondlc.net/file.php/1/resources/LR-ReentryReunificaton.pdf</w:t>
        </w:r>
      </w:hyperlink>
      <w:hyperlink r:id="rId155" w:history="1">
        <w:r w:rsidRPr="00CA4753">
          <w:rPr>
            <w:rStyle w:val="Hyperlink"/>
            <w:rFonts w:ascii="Perpetua" w:hAnsi="Perpetua"/>
            <w:sz w:val="22"/>
            <w:szCs w:val="22"/>
          </w:rPr>
          <w:t>http://academy.extensiondlc.net/file.php/1/resources/LR-ReentryReunificaton.pdf</w:t>
        </w:r>
      </w:hyperlink>
      <w:hyperlink r:id="rId156" w:history="1">
        <w:r w:rsidRPr="00CA4753">
          <w:rPr>
            <w:rStyle w:val="Hyperlink"/>
            <w:rFonts w:ascii="Perpetua" w:hAnsi="Perpetua"/>
            <w:sz w:val="22"/>
            <w:szCs w:val="22"/>
          </w:rPr>
          <w:t>http://academy.extensiondlc.net/file.php/1/resources/LR-ReentryReunificaton.pdf</w:t>
        </w:r>
      </w:hyperlink>
    </w:p>
    <w:p w:rsidR="00D86A11" w:rsidRPr="00CA4753" w:rsidRDefault="00D86A11" w:rsidP="00D86A11">
      <w:pPr>
        <w:pStyle w:val="EndnoteText"/>
        <w:spacing w:after="120"/>
        <w:rPr>
          <w:rFonts w:ascii="Perpetua" w:hAnsi="Perpetua"/>
          <w:sz w:val="22"/>
          <w:szCs w:val="22"/>
        </w:rPr>
      </w:pPr>
      <w:r w:rsidRPr="00CA4753">
        <w:rPr>
          <w:rFonts w:ascii="Perpetua" w:hAnsi="Perpetua"/>
          <w:sz w:val="22"/>
          <w:szCs w:val="22"/>
        </w:rPr>
        <w:lastRenderedPageBreak/>
        <w:t xml:space="preserve">Markiewicz, Joseph H. (2010). Family Behavioral Therapy: Final Evaluation. Child to Family Connections. </w:t>
      </w:r>
      <w:hyperlink r:id="rId157" w:history="1">
        <w:r w:rsidRPr="00CA4753">
          <w:rPr>
            <w:rStyle w:val="Hyperlink"/>
            <w:rFonts w:ascii="Perpetua" w:hAnsi="Perpetua"/>
            <w:sz w:val="22"/>
            <w:szCs w:val="22"/>
          </w:rPr>
          <w:t>https://web.unlv.edu/labs/frs/Documents/FBT%20Eval%20Report.pdf</w:t>
        </w:r>
      </w:hyperlink>
      <w:hyperlink r:id="rId158" w:history="1">
        <w:r w:rsidRPr="00CA4753">
          <w:rPr>
            <w:rStyle w:val="Hyperlink"/>
            <w:rFonts w:ascii="Perpetua" w:hAnsi="Perpetua"/>
            <w:sz w:val="22"/>
            <w:szCs w:val="22"/>
          </w:rPr>
          <w:t>https://web.unlv.edu/labs/frs/Documents/FBT%20Eval%20Report.pdf</w:t>
        </w:r>
      </w:hyperlink>
      <w:hyperlink r:id="rId159" w:history="1">
        <w:r w:rsidRPr="00CA4753">
          <w:rPr>
            <w:rStyle w:val="Hyperlink"/>
            <w:rFonts w:ascii="Perpetua" w:hAnsi="Perpetua"/>
            <w:sz w:val="22"/>
            <w:szCs w:val="22"/>
          </w:rPr>
          <w:t>https://web.unlv.edu/labs/frs/Documents/FBT%20Eval%20Report.pdf</w:t>
        </w:r>
      </w:hyperlink>
    </w:p>
    <w:p w:rsidR="00D86A11" w:rsidRPr="00CA4753" w:rsidRDefault="00D86A11" w:rsidP="00D86A11">
      <w:pPr>
        <w:pStyle w:val="EndnoteText"/>
        <w:spacing w:after="120"/>
        <w:rPr>
          <w:rFonts w:ascii="Perpetua" w:hAnsi="Perpetua" w:cs="Helvetica"/>
          <w:color w:val="212121"/>
          <w:sz w:val="22"/>
          <w:szCs w:val="22"/>
        </w:rPr>
      </w:pPr>
      <w:r w:rsidRPr="00CA4753">
        <w:rPr>
          <w:rFonts w:ascii="Perpetua" w:hAnsi="Perpetua"/>
          <w:sz w:val="22"/>
          <w:szCs w:val="22"/>
        </w:rPr>
        <w:t xml:space="preserve">Miller, O., &amp; Esenstad, A. (2015). Strategies to Reduce Racially Disparate Outcomes in Child Welfare: A National Scan. Center for the Study of Social Policy &amp; the Alliance for Racial Equity in Child Welfare. </w:t>
      </w:r>
      <w:hyperlink r:id="rId160" w:history="1">
        <w:r w:rsidRPr="00CA4753">
          <w:rPr>
            <w:rStyle w:val="Hyperlink"/>
            <w:rFonts w:ascii="Perpetua" w:hAnsi="Perpetua"/>
            <w:sz w:val="22"/>
            <w:szCs w:val="22"/>
          </w:rPr>
          <w:t>http://www.cssp.org/publications/child-welfare/alliance/Strategies-to-Reduce-Racially-Disparate-Outcomes-in-Child-Welfare-March-2015.pdf</w:t>
        </w:r>
      </w:hyperlink>
      <w:hyperlink r:id="rId161" w:history="1">
        <w:r w:rsidRPr="00CA4753">
          <w:rPr>
            <w:rStyle w:val="Hyperlink"/>
            <w:rFonts w:ascii="Perpetua" w:hAnsi="Perpetua"/>
            <w:sz w:val="22"/>
            <w:szCs w:val="22"/>
          </w:rPr>
          <w:t>http://www.cssp.org/publications/child-welfare/alliance/Strategies-to-Reduce-Racially-Disparate-Outcomes-in-Child-Welfare-March-2015.pdf</w:t>
        </w:r>
      </w:hyperlink>
      <w:hyperlink r:id="rId162" w:history="1">
        <w:r w:rsidRPr="00CA4753">
          <w:rPr>
            <w:rStyle w:val="Hyperlink"/>
            <w:rFonts w:ascii="Perpetua" w:hAnsi="Perpetua"/>
            <w:sz w:val="22"/>
            <w:szCs w:val="22"/>
          </w:rPr>
          <w:t>http://www.cssp.org/publications/child-welfare/alliance/Strategies-to-Reduce-Racially-Disparate-Outcomes-in-Child-Welfare-March-2015.pdf</w:t>
        </w:r>
      </w:hyperlink>
    </w:p>
    <w:p w:rsidR="00D86A11" w:rsidRPr="00CA4753" w:rsidRDefault="00D86A11" w:rsidP="00D86A11">
      <w:pPr>
        <w:pStyle w:val="EndnoteText"/>
        <w:spacing w:after="120"/>
        <w:rPr>
          <w:rFonts w:ascii="Perpetua" w:hAnsi="Perpetua" w:cs="Helvetica"/>
          <w:color w:val="212121"/>
          <w:sz w:val="22"/>
          <w:szCs w:val="22"/>
        </w:rPr>
      </w:pPr>
      <w:r w:rsidRPr="00CA4753">
        <w:rPr>
          <w:rFonts w:ascii="Perpetua" w:hAnsi="Perpetua"/>
          <w:sz w:val="22"/>
          <w:szCs w:val="22"/>
        </w:rPr>
        <w:t xml:space="preserve">National Resource Center for Diligent Recruitment (2013). Final Missouri Diligent Recruitment Grant Report. </w:t>
      </w:r>
      <w:hyperlink r:id="rId163" w:history="1">
        <w:r w:rsidRPr="00CA4753">
          <w:rPr>
            <w:rStyle w:val="Hyperlink"/>
            <w:rFonts w:ascii="Perpetua" w:hAnsi="Perpetua"/>
            <w:sz w:val="22"/>
            <w:szCs w:val="22"/>
          </w:rPr>
          <w:t>http://www.foster-adopt.org/wp-content/uploads/2015/04/Missouri-Diligent-Recruitment-Grant-FINAL-REPORT.pdf</w:t>
        </w:r>
      </w:hyperlink>
      <w:hyperlink r:id="rId164" w:history="1">
        <w:r w:rsidRPr="00CA4753">
          <w:rPr>
            <w:rStyle w:val="Hyperlink"/>
            <w:rFonts w:ascii="Perpetua" w:hAnsi="Perpetua"/>
            <w:sz w:val="22"/>
            <w:szCs w:val="22"/>
          </w:rPr>
          <w:t>http://www.foster-adopt.org/wp-content/uploads/2015/04/Missouri-Diligent-Recruitment-Grant-FINAL-REPORT.pdf</w:t>
        </w:r>
      </w:hyperlink>
    </w:p>
    <w:p w:rsidR="00D86A11" w:rsidRPr="00CA4753" w:rsidRDefault="00D86A11" w:rsidP="00D86A11">
      <w:pPr>
        <w:pStyle w:val="EndnoteText"/>
        <w:spacing w:after="120"/>
        <w:rPr>
          <w:rFonts w:ascii="Perpetua" w:hAnsi="Perpetua"/>
          <w:sz w:val="22"/>
          <w:szCs w:val="22"/>
        </w:rPr>
      </w:pPr>
      <w:r w:rsidRPr="00CA4753">
        <w:rPr>
          <w:rFonts w:ascii="Perpetua" w:hAnsi="Perpetua"/>
          <w:sz w:val="22"/>
          <w:szCs w:val="22"/>
        </w:rPr>
        <w:t xml:space="preserve">New York State Child Welfare Court Improvement Project (2011). Cornerstone Advocacy in the First 60 Days: Achieving Safe and Lasting Reunification for Families. </w:t>
      </w:r>
      <w:r w:rsidRPr="00CA4753">
        <w:rPr>
          <w:rFonts w:ascii="Perpetua" w:hAnsi="Perpetua"/>
          <w:i/>
          <w:iCs/>
          <w:sz w:val="22"/>
          <w:szCs w:val="22"/>
        </w:rPr>
        <w:t>CWCIP Best Practice Bulletin</w:t>
      </w:r>
      <w:r w:rsidRPr="00CA4753">
        <w:rPr>
          <w:rFonts w:ascii="Perpetua" w:hAnsi="Perpetua"/>
          <w:sz w:val="22"/>
          <w:szCs w:val="22"/>
        </w:rPr>
        <w:t xml:space="preserve">, 3(1). </w:t>
      </w:r>
      <w:hyperlink r:id="rId165" w:history="1">
        <w:r w:rsidRPr="00CA4753">
          <w:rPr>
            <w:rStyle w:val="Hyperlink"/>
            <w:rFonts w:ascii="Perpetua" w:hAnsi="Perpetua"/>
            <w:color w:val="auto"/>
            <w:sz w:val="22"/>
            <w:szCs w:val="22"/>
          </w:rPr>
          <w:t>http://www.courts.state.ny.us/ip/cwcip/Publications/CIPBBulletin6_11.pdf</w:t>
        </w:r>
      </w:hyperlink>
      <w:r w:rsidRPr="00CA4753">
        <w:rPr>
          <w:rFonts w:ascii="Perpetua" w:hAnsi="Perpetua"/>
          <w:sz w:val="22"/>
          <w:szCs w:val="22"/>
        </w:rPr>
        <w:t xml:space="preserve"> </w:t>
      </w:r>
    </w:p>
    <w:p w:rsidR="00D86A11" w:rsidRPr="00CA4753" w:rsidRDefault="00D86A11" w:rsidP="00D86A11">
      <w:pPr>
        <w:pStyle w:val="EndnoteText"/>
        <w:spacing w:after="120"/>
        <w:rPr>
          <w:rFonts w:ascii="Perpetua" w:hAnsi="Perpetua" w:cs="Helvetica"/>
          <w:color w:val="212121"/>
          <w:sz w:val="22"/>
          <w:szCs w:val="22"/>
        </w:rPr>
      </w:pPr>
      <w:r w:rsidRPr="00CA4753">
        <w:rPr>
          <w:rFonts w:ascii="Perpetua" w:hAnsi="Perpetua" w:cs="Helvetica"/>
          <w:color w:val="212121"/>
          <w:sz w:val="22"/>
          <w:szCs w:val="22"/>
        </w:rPr>
        <w:t xml:space="preserve">Orr, J., Dyrness, G., &amp; Spoto, P. (2004). Faith-Based Adoptive/Foster Services: Faith Communities’ Roles in Child Welfare, prepared for the Annie E. Casey Foundation by the Center for Religion and Civic Culture, University of Southern California. </w:t>
      </w:r>
      <w:hyperlink r:id="rId166" w:history="1">
        <w:r w:rsidRPr="00CA4753">
          <w:rPr>
            <w:rStyle w:val="Hyperlink"/>
            <w:rFonts w:ascii="Perpetua" w:hAnsi="Perpetua" w:cs="Helvetica"/>
            <w:color w:val="212121"/>
            <w:sz w:val="22"/>
            <w:szCs w:val="22"/>
          </w:rPr>
          <w:t>https://crcc.usc.edu/files/2015/02/childwelfare.pdf</w:t>
        </w:r>
      </w:hyperlink>
      <w:hyperlink r:id="rId167" w:history="1">
        <w:r w:rsidRPr="00CA4753">
          <w:rPr>
            <w:rStyle w:val="Hyperlink"/>
            <w:rFonts w:ascii="Perpetua" w:hAnsi="Perpetua" w:cs="Helvetica"/>
            <w:color w:val="212121"/>
            <w:sz w:val="22"/>
            <w:szCs w:val="22"/>
          </w:rPr>
          <w:t>https://crcc.usc.edu/files/2015/02/childwelfare.pdf</w:t>
        </w:r>
      </w:hyperlink>
      <w:hyperlink r:id="rId168" w:history="1">
        <w:r w:rsidRPr="00CA4753">
          <w:rPr>
            <w:rStyle w:val="Hyperlink"/>
            <w:rFonts w:ascii="Perpetua" w:hAnsi="Perpetua" w:cs="Helvetica"/>
            <w:color w:val="212121"/>
            <w:sz w:val="22"/>
            <w:szCs w:val="22"/>
          </w:rPr>
          <w:t>https://crcc.usc.edu/files/2015/02/childwelfare.pdf</w:t>
        </w:r>
      </w:hyperlink>
    </w:p>
    <w:p w:rsidR="00D86A11" w:rsidRPr="00CA4753" w:rsidRDefault="00D86A11" w:rsidP="00D86A11">
      <w:pPr>
        <w:pStyle w:val="EndnoteText"/>
        <w:spacing w:after="120"/>
        <w:rPr>
          <w:rFonts w:ascii="Perpetua" w:hAnsi="Perpetua"/>
          <w:sz w:val="22"/>
          <w:szCs w:val="22"/>
        </w:rPr>
      </w:pPr>
      <w:r w:rsidRPr="00CA4753">
        <w:rPr>
          <w:rFonts w:ascii="Perpetua" w:hAnsi="Perpetua"/>
          <w:sz w:val="22"/>
          <w:szCs w:val="22"/>
        </w:rPr>
        <w:t>Scheetz, M., &amp; Flavin, G. (Winter 2015). The Importance of Rice Pudding.</w:t>
      </w:r>
      <w:r w:rsidRPr="00CA4753">
        <w:rPr>
          <w:rFonts w:ascii="Perpetua" w:hAnsi="Perpetua"/>
          <w:i/>
          <w:sz w:val="22"/>
          <w:szCs w:val="22"/>
        </w:rPr>
        <w:t xml:space="preserve"> CW 360 Culturally Responsive Child Welfare Practice.</w:t>
      </w:r>
      <w:r w:rsidRPr="00CA4753">
        <w:rPr>
          <w:rFonts w:ascii="Perpetua" w:hAnsi="Perpetua"/>
          <w:sz w:val="22"/>
          <w:szCs w:val="22"/>
        </w:rPr>
        <w:t xml:space="preserve"> </w:t>
      </w:r>
      <w:hyperlink r:id="rId169" w:history="1">
        <w:r w:rsidRPr="00CA4753">
          <w:rPr>
            <w:rStyle w:val="Hyperlink"/>
            <w:rFonts w:ascii="Perpetua" w:hAnsi="Perpetua"/>
            <w:sz w:val="22"/>
            <w:szCs w:val="22"/>
          </w:rPr>
          <w:t>http://cascw.umn.edu/wp-content/uploads/2015/03/CW360-Winter2015.pdf</w:t>
        </w:r>
      </w:hyperlink>
      <w:hyperlink r:id="rId170" w:history="1">
        <w:r w:rsidRPr="00CA4753">
          <w:rPr>
            <w:rStyle w:val="Hyperlink"/>
            <w:rFonts w:ascii="Perpetua" w:hAnsi="Perpetua"/>
            <w:sz w:val="22"/>
            <w:szCs w:val="22"/>
          </w:rPr>
          <w:t>http://cascw.umn.edu/wp-content/uploads/2015/03/CW360-Winter2015.pdf</w:t>
        </w:r>
      </w:hyperlink>
      <w:hyperlink r:id="rId171" w:history="1">
        <w:r w:rsidRPr="00CA4753">
          <w:rPr>
            <w:rStyle w:val="Hyperlink"/>
            <w:rFonts w:ascii="Perpetua" w:hAnsi="Perpetua"/>
            <w:sz w:val="22"/>
            <w:szCs w:val="22"/>
          </w:rPr>
          <w:t>http://cascw.umn.edu/wp-content/uploads/2015/03/CW360-Winter2015.pdf</w:t>
        </w:r>
      </w:hyperlink>
    </w:p>
    <w:p w:rsidR="00D86A11" w:rsidRPr="00CA4753" w:rsidRDefault="00D86A11" w:rsidP="00D86A11">
      <w:pPr>
        <w:pStyle w:val="EndnoteText"/>
        <w:spacing w:after="120"/>
        <w:rPr>
          <w:rFonts w:ascii="Perpetua" w:hAnsi="Perpetua"/>
          <w:sz w:val="22"/>
          <w:szCs w:val="22"/>
        </w:rPr>
      </w:pPr>
      <w:r w:rsidRPr="00CA4753">
        <w:rPr>
          <w:rFonts w:ascii="Perpetua" w:hAnsi="Perpetua"/>
          <w:sz w:val="22"/>
          <w:szCs w:val="22"/>
        </w:rPr>
        <w:t>Usher, L., Wildfire, J., Webster, D., &amp; Crampton, D. (2010). Evaluation of the Anchor Site Phase of Family to Family</w:t>
      </w:r>
    </w:p>
    <w:p w:rsidR="00D86A11" w:rsidRPr="00CA4753" w:rsidRDefault="00D86A11" w:rsidP="00D86A11">
      <w:pPr>
        <w:pStyle w:val="EndnoteText"/>
        <w:spacing w:after="120"/>
        <w:rPr>
          <w:rFonts w:ascii="Perpetua" w:hAnsi="Perpetua"/>
          <w:sz w:val="22"/>
          <w:szCs w:val="22"/>
        </w:rPr>
      </w:pPr>
      <w:r w:rsidRPr="00CA4753">
        <w:rPr>
          <w:rFonts w:ascii="Perpetua" w:hAnsi="Perpetua"/>
          <w:sz w:val="22"/>
          <w:szCs w:val="22"/>
        </w:rPr>
        <w:t>Washington State (January 2016). Family Visitation in the Child Welfare System.</w:t>
      </w:r>
      <w:r w:rsidRPr="00CA4753">
        <w:rPr>
          <w:rFonts w:ascii="Perpetua" w:hAnsi="Perpetua"/>
          <w:i/>
          <w:sz w:val="22"/>
          <w:szCs w:val="22"/>
        </w:rPr>
        <w:t xml:space="preserve"> Partners for Our Children Brief</w:t>
      </w:r>
      <w:r w:rsidRPr="00CA4753">
        <w:rPr>
          <w:rFonts w:ascii="Perpetua" w:hAnsi="Perpetua"/>
          <w:sz w:val="22"/>
          <w:szCs w:val="22"/>
        </w:rPr>
        <w:t xml:space="preserve">. </w:t>
      </w:r>
      <w:hyperlink r:id="rId172" w:history="1">
        <w:r w:rsidRPr="00CA4753">
          <w:rPr>
            <w:rStyle w:val="Hyperlink"/>
            <w:rFonts w:ascii="Perpetua" w:hAnsi="Perpetua"/>
            <w:sz w:val="22"/>
            <w:szCs w:val="22"/>
          </w:rPr>
          <w:t>http://pocweb.cac.washington.edu/sites/default/files/Family%20Visitation%20in%20the%20Child%20Welfare%20System%201-14-16_0.pdf</w:t>
        </w:r>
      </w:hyperlink>
      <w:hyperlink r:id="rId173" w:history="1">
        <w:r w:rsidRPr="00CA4753">
          <w:rPr>
            <w:rStyle w:val="Hyperlink"/>
            <w:rFonts w:ascii="Perpetua" w:hAnsi="Perpetua"/>
            <w:sz w:val="22"/>
            <w:szCs w:val="22"/>
          </w:rPr>
          <w:t>http://pocweb.cac.washington.edu/sites/default/files/Family%20Visitation%20in%20the%20Child%20Welfare%20System%201-14-16_0.pdf</w:t>
        </w:r>
      </w:hyperlink>
      <w:hyperlink r:id="rId174" w:history="1">
        <w:r w:rsidRPr="00CA4753">
          <w:rPr>
            <w:rStyle w:val="Hyperlink"/>
            <w:rFonts w:ascii="Perpetua" w:hAnsi="Perpetua"/>
            <w:sz w:val="22"/>
            <w:szCs w:val="22"/>
          </w:rPr>
          <w:t>http://pocweb.cac.washington.edu/sites/default/files/Family%20Visitation%20in%20the%20Child%20Welfare%20System%201-14-16_0.pdf</w:t>
        </w:r>
      </w:hyperlink>
    </w:p>
    <w:p w:rsidR="00D86A11" w:rsidRDefault="00D86A11" w:rsidP="00D86A11">
      <w:pPr>
        <w:pStyle w:val="EndnoteText"/>
        <w:spacing w:after="120"/>
        <w:rPr>
          <w:rFonts w:ascii="Perpetua" w:hAnsi="Perpetua" w:cs="Helvetica"/>
          <w:color w:val="212121"/>
        </w:rPr>
      </w:pPr>
    </w:p>
    <w:p w:rsidR="00D86A11" w:rsidRDefault="00D86A11" w:rsidP="00D86A11">
      <w:pPr>
        <w:pStyle w:val="EndnoteText"/>
        <w:spacing w:after="120"/>
        <w:rPr>
          <w:rFonts w:ascii="Perpetua" w:hAnsi="Perpetua" w:cs="Helvetica"/>
          <w:color w:val="212121"/>
        </w:rPr>
      </w:pPr>
    </w:p>
    <w:p w:rsidR="00D86A11" w:rsidRDefault="00D86A11" w:rsidP="00D86A11"/>
    <w:p w:rsidR="00D86A11" w:rsidRDefault="00D86A11" w:rsidP="00D86A11">
      <w:pPr>
        <w:pStyle w:val="Heading2"/>
        <w:rPr>
          <w:rFonts w:ascii="Perpetua" w:hAnsi="Perpetua"/>
          <w:color w:val="013161"/>
        </w:rPr>
      </w:pPr>
      <w:r>
        <w:rPr>
          <w:b w:val="0"/>
          <w:color w:val="013161"/>
        </w:rPr>
        <w:br w:type="page"/>
      </w:r>
      <w:r>
        <w:rPr>
          <w:rFonts w:ascii="Perpetua" w:hAnsi="Perpetua"/>
          <w:color w:val="013161"/>
          <w:sz w:val="28"/>
          <w:szCs w:val="32"/>
        </w:rPr>
        <w:lastRenderedPageBreak/>
        <w:t>Appendix I: Peer Review Findings</w:t>
      </w:r>
      <w:r>
        <w:rPr>
          <w:rFonts w:ascii="Perpetua" w:hAnsi="Perpetua"/>
          <w:color w:val="013161"/>
        </w:rPr>
        <w:t xml:space="preserve"> </w:t>
      </w:r>
    </w:p>
    <w:p w:rsidR="00D86A11" w:rsidRDefault="00D86A11" w:rsidP="00D86A11">
      <w:pPr>
        <w:pStyle w:val="Heading1"/>
      </w:pPr>
      <w:r>
        <w:t>San Diego 2016 Peer Review</w:t>
      </w:r>
    </w:p>
    <w:p w:rsidR="000B1863" w:rsidRDefault="00D86A11">
      <w:pPr>
        <w:pStyle w:val="MediumGrid21"/>
        <w:spacing w:before="240"/>
        <w:rPr>
          <w:b/>
        </w:rPr>
      </w:pPr>
      <w:r>
        <w:rPr>
          <w:b/>
        </w:rPr>
        <w:t>How we gathered and developed our themes:</w:t>
      </w:r>
    </w:p>
    <w:p w:rsidR="000B1863" w:rsidRDefault="00D86A11">
      <w:pPr>
        <w:pStyle w:val="MediumGrid21"/>
        <w:numPr>
          <w:ilvl w:val="0"/>
          <w:numId w:val="29"/>
        </w:numPr>
      </w:pPr>
      <w:r>
        <w:t>Four teams</w:t>
      </w:r>
    </w:p>
    <w:p w:rsidR="000B1863" w:rsidRDefault="00D86A11">
      <w:pPr>
        <w:pStyle w:val="MediumGrid21"/>
        <w:numPr>
          <w:ilvl w:val="0"/>
          <w:numId w:val="29"/>
        </w:numPr>
      </w:pPr>
      <w:r>
        <w:t>Each team debriefed and documented their findings after each interview</w:t>
      </w:r>
    </w:p>
    <w:p w:rsidR="000B1863" w:rsidRDefault="00D86A11">
      <w:pPr>
        <w:pStyle w:val="MediumGrid21"/>
        <w:numPr>
          <w:ilvl w:val="0"/>
          <w:numId w:val="29"/>
        </w:numPr>
      </w:pPr>
      <w:r>
        <w:t>Subset of team members integrated debrief findings at the end of the day</w:t>
      </w:r>
    </w:p>
    <w:p w:rsidR="000B1863" w:rsidRDefault="00D86A11">
      <w:pPr>
        <w:pStyle w:val="MediumGrid21"/>
        <w:numPr>
          <w:ilvl w:val="0"/>
          <w:numId w:val="29"/>
        </w:numPr>
      </w:pPr>
      <w:r>
        <w:t>Themes were identified through that process</w:t>
      </w:r>
    </w:p>
    <w:p w:rsidR="000B1863" w:rsidRDefault="00D86A11">
      <w:pPr>
        <w:pStyle w:val="MediumGrid21"/>
        <w:numPr>
          <w:ilvl w:val="0"/>
          <w:numId w:val="29"/>
        </w:numPr>
      </w:pPr>
      <w:r>
        <w:t>Strengths, challenges, and practices</w:t>
      </w:r>
    </w:p>
    <w:p w:rsidR="000B1863" w:rsidRDefault="00D86A11">
      <w:pPr>
        <w:pStyle w:val="MediumGrid21"/>
        <w:numPr>
          <w:ilvl w:val="0"/>
          <w:numId w:val="29"/>
        </w:numPr>
      </w:pPr>
      <w:r>
        <w:t>Peer Review themes reflect the “voice” of the social worker and probation placement officers</w:t>
      </w:r>
    </w:p>
    <w:tbl>
      <w:tblPr>
        <w:tblW w:w="9238" w:type="dxa"/>
        <w:tblBorders>
          <w:top w:val="single" w:sz="2" w:space="0" w:color="FABF8F"/>
          <w:bottom w:val="single" w:sz="2" w:space="0" w:color="FABF8F"/>
          <w:insideH w:val="single" w:sz="2" w:space="0" w:color="FABF8F"/>
          <w:insideV w:val="single" w:sz="2" w:space="0" w:color="FABF8F"/>
        </w:tblBorders>
        <w:tblLook w:val="04A0" w:firstRow="1" w:lastRow="0" w:firstColumn="1" w:lastColumn="0" w:noHBand="0" w:noVBand="1"/>
      </w:tblPr>
      <w:tblGrid>
        <w:gridCol w:w="3148"/>
        <w:gridCol w:w="3058"/>
        <w:gridCol w:w="3032"/>
      </w:tblGrid>
      <w:tr w:rsidR="00D86A11">
        <w:trPr>
          <w:trHeight w:val="255"/>
        </w:trPr>
        <w:tc>
          <w:tcPr>
            <w:tcW w:w="9238" w:type="dxa"/>
            <w:gridSpan w:val="3"/>
            <w:tcBorders>
              <w:top w:val="nil"/>
              <w:left w:val="nil"/>
              <w:bottom w:val="single" w:sz="12" w:space="0" w:color="FABF8F"/>
              <w:right w:val="nil"/>
            </w:tcBorders>
            <w:shd w:val="clear" w:color="auto" w:fill="FFFFFF"/>
            <w:vAlign w:val="center"/>
          </w:tcPr>
          <w:p w:rsidR="00D86A11" w:rsidRDefault="00D86A11">
            <w:pPr>
              <w:pStyle w:val="Heading3"/>
              <w:rPr>
                <w:rFonts w:eastAsia="Calibri"/>
                <w:b w:val="0"/>
                <w:bCs/>
              </w:rPr>
            </w:pPr>
            <w:r>
              <w:rPr>
                <w:rFonts w:eastAsia="Calibri"/>
                <w:b w:val="0"/>
                <w:bCs/>
              </w:rPr>
              <w:t>Background Themes</w:t>
            </w:r>
          </w:p>
        </w:tc>
      </w:tr>
      <w:tr w:rsidR="00D86A11">
        <w:trPr>
          <w:trHeight w:val="255"/>
        </w:trPr>
        <w:tc>
          <w:tcPr>
            <w:tcW w:w="3148"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jc w:val="center"/>
              <w:rPr>
                <w:rFonts w:eastAsia="Calibri"/>
                <w:b/>
                <w:bCs/>
                <w:szCs w:val="22"/>
              </w:rPr>
            </w:pPr>
            <w:r>
              <w:rPr>
                <w:rFonts w:eastAsia="Calibri"/>
                <w:b/>
                <w:bCs/>
                <w:szCs w:val="22"/>
              </w:rPr>
              <w:t>Challenges</w:t>
            </w:r>
          </w:p>
        </w:tc>
        <w:tc>
          <w:tcPr>
            <w:tcW w:w="3058"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jc w:val="center"/>
              <w:rPr>
                <w:rFonts w:eastAsia="Calibri"/>
                <w:b/>
                <w:szCs w:val="22"/>
              </w:rPr>
            </w:pPr>
            <w:r>
              <w:rPr>
                <w:rFonts w:eastAsia="Calibri"/>
                <w:b/>
                <w:szCs w:val="22"/>
              </w:rPr>
              <w:t>Strengths</w:t>
            </w:r>
          </w:p>
        </w:tc>
        <w:tc>
          <w:tcPr>
            <w:tcW w:w="3032" w:type="dxa"/>
            <w:tcBorders>
              <w:top w:val="single" w:sz="2" w:space="0" w:color="FABF8F"/>
              <w:left w:val="single" w:sz="2" w:space="0" w:color="FABF8F"/>
              <w:bottom w:val="single" w:sz="2" w:space="0" w:color="FABF8F"/>
              <w:right w:val="nil"/>
            </w:tcBorders>
            <w:shd w:val="clear" w:color="auto" w:fill="FDE9D9"/>
          </w:tcPr>
          <w:p w:rsidR="000B1863" w:rsidRDefault="00D86A11">
            <w:pPr>
              <w:pStyle w:val="MediumGrid21"/>
              <w:jc w:val="center"/>
              <w:rPr>
                <w:rFonts w:eastAsia="Calibri"/>
                <w:b/>
                <w:szCs w:val="22"/>
              </w:rPr>
            </w:pPr>
            <w:r>
              <w:rPr>
                <w:rFonts w:eastAsia="Calibri"/>
                <w:b/>
                <w:szCs w:val="22"/>
              </w:rPr>
              <w:t>Insights/Best Practices</w:t>
            </w:r>
          </w:p>
        </w:tc>
      </w:tr>
      <w:tr w:rsidR="00D86A11">
        <w:trPr>
          <w:trHeight w:val="872"/>
        </w:trPr>
        <w:tc>
          <w:tcPr>
            <w:tcW w:w="3148" w:type="dxa"/>
            <w:tcBorders>
              <w:top w:val="single" w:sz="2" w:space="0" w:color="FABF8F"/>
              <w:left w:val="nil"/>
              <w:bottom w:val="single" w:sz="2" w:space="0" w:color="FABF8F"/>
              <w:right w:val="single" w:sz="2" w:space="0" w:color="FABF8F"/>
            </w:tcBorders>
          </w:tcPr>
          <w:p w:rsidR="000B1863" w:rsidRDefault="00D86A11">
            <w:pPr>
              <w:pStyle w:val="MediumGrid21"/>
              <w:rPr>
                <w:rFonts w:eastAsia="Calibri"/>
                <w:b/>
                <w:bCs/>
                <w:szCs w:val="22"/>
              </w:rPr>
            </w:pPr>
            <w:r>
              <w:rPr>
                <w:rFonts w:eastAsia="Calibri"/>
                <w:bCs/>
                <w:szCs w:val="22"/>
              </w:rPr>
              <w:t>- Limited time and experience on case and multiple workers on a case</w:t>
            </w:r>
          </w:p>
        </w:tc>
        <w:tc>
          <w:tcPr>
            <w:tcW w:w="3058"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SW/PO case knowledge, education, training, and overall experience</w:t>
            </w:r>
          </w:p>
        </w:tc>
        <w:tc>
          <w:tcPr>
            <w:tcW w:w="3032" w:type="dxa"/>
            <w:tcBorders>
              <w:top w:val="single" w:sz="2" w:space="0" w:color="FABF8F"/>
              <w:left w:val="single" w:sz="2" w:space="0" w:color="FABF8F"/>
              <w:bottom w:val="single" w:sz="2" w:space="0" w:color="FABF8F"/>
              <w:right w:val="nil"/>
            </w:tcBorders>
          </w:tcPr>
          <w:p w:rsidR="000B1863" w:rsidRDefault="00D86A11">
            <w:pPr>
              <w:pStyle w:val="MediumGrid21"/>
              <w:rPr>
                <w:rFonts w:eastAsia="Calibri"/>
                <w:szCs w:val="22"/>
              </w:rPr>
            </w:pPr>
            <w:r>
              <w:rPr>
                <w:rFonts w:eastAsia="Calibri"/>
                <w:szCs w:val="22"/>
              </w:rPr>
              <w:t>- Low caseloads</w:t>
            </w:r>
          </w:p>
        </w:tc>
      </w:tr>
      <w:tr w:rsidR="00D86A11">
        <w:trPr>
          <w:trHeight w:val="305"/>
        </w:trPr>
        <w:tc>
          <w:tcPr>
            <w:tcW w:w="3148"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rPr>
                <w:rFonts w:eastAsia="Calibri"/>
                <w:b/>
                <w:bCs/>
                <w:szCs w:val="22"/>
              </w:rPr>
            </w:pPr>
            <w:r>
              <w:rPr>
                <w:rFonts w:eastAsia="Calibri"/>
                <w:bCs/>
                <w:szCs w:val="22"/>
              </w:rPr>
              <w:t>- Parental inequality (fathers not given equal consideration for placement/services)</w:t>
            </w:r>
          </w:p>
        </w:tc>
        <w:tc>
          <w:tcPr>
            <w:tcW w:w="3058"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rPr>
                <w:rFonts w:eastAsia="Calibri"/>
                <w:szCs w:val="22"/>
              </w:rPr>
            </w:pPr>
            <w:r>
              <w:rPr>
                <w:rFonts w:eastAsia="Calibri"/>
                <w:szCs w:val="22"/>
              </w:rPr>
              <w:t>- Motivated parties (family, SW, and PO)</w:t>
            </w:r>
          </w:p>
        </w:tc>
        <w:tc>
          <w:tcPr>
            <w:tcW w:w="3032" w:type="dxa"/>
            <w:tcBorders>
              <w:top w:val="single" w:sz="2" w:space="0" w:color="FABF8F"/>
              <w:left w:val="single" w:sz="2" w:space="0" w:color="FABF8F"/>
              <w:bottom w:val="single" w:sz="2" w:space="0" w:color="FABF8F"/>
              <w:right w:val="nil"/>
            </w:tcBorders>
            <w:shd w:val="clear" w:color="auto" w:fill="FDE9D9"/>
          </w:tcPr>
          <w:p w:rsidR="000B1863" w:rsidRDefault="00D86A11">
            <w:pPr>
              <w:pStyle w:val="MediumGrid21"/>
              <w:rPr>
                <w:rFonts w:eastAsia="Calibri"/>
                <w:szCs w:val="22"/>
              </w:rPr>
            </w:pPr>
            <w:r>
              <w:rPr>
                <w:rFonts w:eastAsia="Calibri"/>
                <w:szCs w:val="22"/>
              </w:rPr>
              <w:t>- SOP</w:t>
            </w:r>
          </w:p>
        </w:tc>
      </w:tr>
      <w:tr w:rsidR="00D86A11">
        <w:trPr>
          <w:trHeight w:val="566"/>
        </w:trPr>
        <w:tc>
          <w:tcPr>
            <w:tcW w:w="3148" w:type="dxa"/>
            <w:tcBorders>
              <w:top w:val="single" w:sz="2" w:space="0" w:color="FABF8F"/>
              <w:left w:val="nil"/>
              <w:bottom w:val="single" w:sz="2" w:space="0" w:color="FABF8F"/>
              <w:right w:val="single" w:sz="2" w:space="0" w:color="FABF8F"/>
            </w:tcBorders>
          </w:tcPr>
          <w:p w:rsidR="000B1863" w:rsidRDefault="00D86A11">
            <w:pPr>
              <w:pStyle w:val="MediumGrid21"/>
              <w:rPr>
                <w:rFonts w:eastAsia="Calibri"/>
                <w:b/>
                <w:bCs/>
                <w:szCs w:val="22"/>
              </w:rPr>
            </w:pPr>
            <w:r>
              <w:rPr>
                <w:rFonts w:eastAsia="Calibri"/>
                <w:bCs/>
                <w:szCs w:val="22"/>
              </w:rPr>
              <w:t>- Lack of parental motivation/involvement</w:t>
            </w:r>
          </w:p>
        </w:tc>
        <w:tc>
          <w:tcPr>
            <w:tcW w:w="3058"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Use of support networks</w:t>
            </w:r>
          </w:p>
        </w:tc>
        <w:tc>
          <w:tcPr>
            <w:tcW w:w="3032" w:type="dxa"/>
            <w:tcBorders>
              <w:top w:val="single" w:sz="2" w:space="0" w:color="FABF8F"/>
              <w:left w:val="single" w:sz="2" w:space="0" w:color="FABF8F"/>
              <w:bottom w:val="single" w:sz="2" w:space="0" w:color="FABF8F"/>
              <w:right w:val="nil"/>
            </w:tcBorders>
          </w:tcPr>
          <w:p w:rsidR="000B1863" w:rsidRDefault="00D86A11">
            <w:pPr>
              <w:pStyle w:val="MediumGrid21"/>
              <w:rPr>
                <w:rFonts w:eastAsia="Calibri"/>
                <w:szCs w:val="22"/>
              </w:rPr>
            </w:pPr>
            <w:r>
              <w:rPr>
                <w:rFonts w:eastAsia="Calibri"/>
                <w:szCs w:val="22"/>
              </w:rPr>
              <w:t>- Ensure safety of the child</w:t>
            </w:r>
          </w:p>
        </w:tc>
      </w:tr>
      <w:tr w:rsidR="00D86A11">
        <w:trPr>
          <w:trHeight w:val="144"/>
        </w:trPr>
        <w:tc>
          <w:tcPr>
            <w:tcW w:w="3148"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rPr>
                <w:rFonts w:eastAsia="Calibri"/>
                <w:b/>
                <w:bCs/>
                <w:szCs w:val="22"/>
              </w:rPr>
            </w:pPr>
            <w:r>
              <w:rPr>
                <w:rFonts w:eastAsia="Calibri"/>
                <w:bCs/>
                <w:szCs w:val="22"/>
              </w:rPr>
              <w:t>- Lack of housing</w:t>
            </w:r>
          </w:p>
        </w:tc>
        <w:tc>
          <w:tcPr>
            <w:tcW w:w="3058"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rPr>
                <w:rFonts w:eastAsia="Calibri"/>
                <w:szCs w:val="22"/>
              </w:rPr>
            </w:pPr>
            <w:r>
              <w:rPr>
                <w:rFonts w:eastAsia="Calibri"/>
                <w:szCs w:val="22"/>
              </w:rPr>
              <w:t>- Family/Child bond</w:t>
            </w:r>
          </w:p>
        </w:tc>
        <w:tc>
          <w:tcPr>
            <w:tcW w:w="3032" w:type="dxa"/>
            <w:tcBorders>
              <w:top w:val="single" w:sz="2" w:space="0" w:color="FABF8F"/>
              <w:left w:val="single" w:sz="2" w:space="0" w:color="FABF8F"/>
              <w:bottom w:val="single" w:sz="2" w:space="0" w:color="FABF8F"/>
              <w:right w:val="nil"/>
            </w:tcBorders>
            <w:shd w:val="clear" w:color="auto" w:fill="FDE9D9"/>
          </w:tcPr>
          <w:p w:rsidR="000B1863" w:rsidRDefault="00D86A11">
            <w:pPr>
              <w:pStyle w:val="MediumGrid21"/>
              <w:rPr>
                <w:rFonts w:eastAsia="Calibri"/>
                <w:szCs w:val="22"/>
              </w:rPr>
            </w:pPr>
            <w:r>
              <w:rPr>
                <w:rFonts w:eastAsia="Calibri"/>
                <w:szCs w:val="22"/>
              </w:rPr>
              <w:t>- Identify family networks</w:t>
            </w:r>
          </w:p>
        </w:tc>
      </w:tr>
      <w:tr w:rsidR="00D86A11">
        <w:trPr>
          <w:trHeight w:val="548"/>
        </w:trPr>
        <w:tc>
          <w:tcPr>
            <w:tcW w:w="3148" w:type="dxa"/>
            <w:tcBorders>
              <w:top w:val="single" w:sz="2" w:space="0" w:color="FABF8F"/>
              <w:left w:val="nil"/>
              <w:bottom w:val="single" w:sz="2" w:space="0" w:color="FABF8F"/>
              <w:right w:val="single" w:sz="2" w:space="0" w:color="FABF8F"/>
            </w:tcBorders>
          </w:tcPr>
          <w:p w:rsidR="000B1863" w:rsidRDefault="00D86A11">
            <w:pPr>
              <w:pStyle w:val="MediumGrid21"/>
              <w:rPr>
                <w:rFonts w:eastAsia="Calibri"/>
                <w:b/>
                <w:bCs/>
                <w:szCs w:val="22"/>
              </w:rPr>
            </w:pPr>
            <w:r>
              <w:rPr>
                <w:rFonts w:eastAsia="Calibri"/>
                <w:bCs/>
                <w:szCs w:val="22"/>
              </w:rPr>
              <w:t>- Age of youth</w:t>
            </w:r>
          </w:p>
        </w:tc>
        <w:tc>
          <w:tcPr>
            <w:tcW w:w="3058"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Multiple parent/child visits per month</w:t>
            </w:r>
          </w:p>
        </w:tc>
        <w:tc>
          <w:tcPr>
            <w:tcW w:w="3032" w:type="dxa"/>
            <w:tcBorders>
              <w:top w:val="single" w:sz="2" w:space="0" w:color="FABF8F"/>
              <w:left w:val="single" w:sz="2" w:space="0" w:color="FABF8F"/>
              <w:bottom w:val="single" w:sz="2" w:space="0" w:color="FABF8F"/>
              <w:right w:val="nil"/>
            </w:tcBorders>
          </w:tcPr>
          <w:p w:rsidR="000B1863" w:rsidRDefault="00D86A11">
            <w:pPr>
              <w:pStyle w:val="MediumGrid21"/>
              <w:rPr>
                <w:rFonts w:eastAsia="Calibri"/>
                <w:szCs w:val="22"/>
              </w:rPr>
            </w:pPr>
            <w:r>
              <w:rPr>
                <w:rFonts w:eastAsia="Calibri"/>
                <w:szCs w:val="22"/>
              </w:rPr>
              <w:t>-Transfer case from Probation back to CWS near program end</w:t>
            </w:r>
          </w:p>
        </w:tc>
      </w:tr>
      <w:tr w:rsidR="00D86A11">
        <w:trPr>
          <w:trHeight w:val="144"/>
        </w:trPr>
        <w:tc>
          <w:tcPr>
            <w:tcW w:w="3148"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rPr>
                <w:rFonts w:eastAsia="Calibri"/>
                <w:b/>
                <w:bCs/>
                <w:szCs w:val="22"/>
              </w:rPr>
            </w:pPr>
            <w:r>
              <w:rPr>
                <w:rFonts w:eastAsia="Calibri"/>
                <w:bCs/>
                <w:szCs w:val="22"/>
              </w:rPr>
              <w:t>- Lack of services for kinship to maintain youth in the home</w:t>
            </w:r>
          </w:p>
        </w:tc>
        <w:tc>
          <w:tcPr>
            <w:tcW w:w="3058"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rPr>
                <w:rFonts w:eastAsia="Calibri"/>
                <w:szCs w:val="22"/>
              </w:rPr>
            </w:pPr>
            <w:r>
              <w:rPr>
                <w:rFonts w:eastAsia="Calibri"/>
                <w:szCs w:val="22"/>
              </w:rPr>
              <w:t>- Concrete needs are being met and supports are in place</w:t>
            </w:r>
          </w:p>
        </w:tc>
        <w:tc>
          <w:tcPr>
            <w:tcW w:w="3032" w:type="dxa"/>
            <w:tcBorders>
              <w:top w:val="single" w:sz="2" w:space="0" w:color="FABF8F"/>
              <w:left w:val="single" w:sz="2" w:space="0" w:color="FABF8F"/>
              <w:bottom w:val="single" w:sz="2" w:space="0" w:color="FABF8F"/>
              <w:right w:val="nil"/>
            </w:tcBorders>
            <w:shd w:val="clear" w:color="auto" w:fill="FDE9D9"/>
          </w:tcPr>
          <w:p w:rsidR="000B1863" w:rsidRDefault="00D86A11">
            <w:pPr>
              <w:pStyle w:val="MediumGrid21"/>
              <w:rPr>
                <w:rFonts w:eastAsia="Calibri"/>
                <w:szCs w:val="22"/>
              </w:rPr>
            </w:pPr>
            <w:r>
              <w:rPr>
                <w:rFonts w:eastAsia="Calibri"/>
                <w:szCs w:val="22"/>
              </w:rPr>
              <w:t>- Consistent PO or SW</w:t>
            </w:r>
          </w:p>
        </w:tc>
      </w:tr>
      <w:tr w:rsidR="00D86A11">
        <w:trPr>
          <w:trHeight w:val="764"/>
        </w:trPr>
        <w:tc>
          <w:tcPr>
            <w:tcW w:w="3148" w:type="dxa"/>
            <w:tcBorders>
              <w:top w:val="single" w:sz="2" w:space="0" w:color="FABF8F"/>
              <w:left w:val="nil"/>
              <w:bottom w:val="single" w:sz="2" w:space="0" w:color="FABF8F"/>
              <w:right w:val="single" w:sz="2" w:space="0" w:color="FABF8F"/>
            </w:tcBorders>
          </w:tcPr>
          <w:p w:rsidR="000B1863" w:rsidRDefault="00D86A11">
            <w:pPr>
              <w:pStyle w:val="MediumGrid21"/>
              <w:rPr>
                <w:rFonts w:eastAsia="Calibri"/>
                <w:b/>
                <w:bCs/>
                <w:szCs w:val="22"/>
              </w:rPr>
            </w:pPr>
            <w:r>
              <w:rPr>
                <w:rFonts w:eastAsia="Calibri"/>
                <w:bCs/>
                <w:szCs w:val="22"/>
              </w:rPr>
              <w:t>- Parental/familial barriers (i.e. history of MH, AOD, DV)</w:t>
            </w:r>
          </w:p>
        </w:tc>
        <w:tc>
          <w:tcPr>
            <w:tcW w:w="3058"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Short time in out of home care</w:t>
            </w:r>
          </w:p>
        </w:tc>
        <w:tc>
          <w:tcPr>
            <w:tcW w:w="3032" w:type="dxa"/>
            <w:tcBorders>
              <w:top w:val="single" w:sz="2" w:space="0" w:color="FABF8F"/>
              <w:left w:val="single" w:sz="2" w:space="0" w:color="FABF8F"/>
              <w:bottom w:val="single" w:sz="2" w:space="0" w:color="FABF8F"/>
              <w:right w:val="nil"/>
            </w:tcBorders>
          </w:tcPr>
          <w:p w:rsidR="000B1863" w:rsidRDefault="00D86A11">
            <w:pPr>
              <w:pStyle w:val="MediumGrid21"/>
              <w:rPr>
                <w:rFonts w:eastAsia="Calibri"/>
                <w:szCs w:val="22"/>
              </w:rPr>
            </w:pPr>
            <w:r>
              <w:rPr>
                <w:rFonts w:eastAsia="Calibri"/>
                <w:szCs w:val="22"/>
              </w:rPr>
              <w:t>- Better evaluation of parent ability to protect before place with other parent</w:t>
            </w:r>
          </w:p>
        </w:tc>
      </w:tr>
      <w:tr w:rsidR="00D86A11">
        <w:trPr>
          <w:trHeight w:val="701"/>
        </w:trPr>
        <w:tc>
          <w:tcPr>
            <w:tcW w:w="3148"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rPr>
                <w:rFonts w:eastAsia="Calibri"/>
                <w:b/>
                <w:bCs/>
                <w:szCs w:val="22"/>
              </w:rPr>
            </w:pPr>
            <w:r>
              <w:rPr>
                <w:rFonts w:eastAsia="Calibri"/>
                <w:bCs/>
                <w:szCs w:val="22"/>
              </w:rPr>
              <w:t>- Transportation</w:t>
            </w:r>
          </w:p>
        </w:tc>
        <w:tc>
          <w:tcPr>
            <w:tcW w:w="3058"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rPr>
                <w:rFonts w:eastAsia="Calibri"/>
                <w:szCs w:val="22"/>
              </w:rPr>
            </w:pPr>
            <w:r>
              <w:rPr>
                <w:rFonts w:eastAsia="Calibri"/>
                <w:szCs w:val="22"/>
              </w:rPr>
              <w:t>- Limited number of placements</w:t>
            </w:r>
          </w:p>
        </w:tc>
        <w:tc>
          <w:tcPr>
            <w:tcW w:w="3032" w:type="dxa"/>
            <w:tcBorders>
              <w:top w:val="single" w:sz="2" w:space="0" w:color="FABF8F"/>
              <w:left w:val="single" w:sz="2" w:space="0" w:color="FABF8F"/>
              <w:bottom w:val="single" w:sz="2" w:space="0" w:color="FABF8F"/>
              <w:right w:val="nil"/>
            </w:tcBorders>
            <w:shd w:val="clear" w:color="auto" w:fill="FDE9D9"/>
          </w:tcPr>
          <w:p w:rsidR="000B1863" w:rsidRDefault="00D86A11">
            <w:pPr>
              <w:pStyle w:val="MediumGrid21"/>
              <w:rPr>
                <w:rFonts w:eastAsia="Calibri"/>
                <w:szCs w:val="22"/>
              </w:rPr>
            </w:pPr>
            <w:r>
              <w:rPr>
                <w:rFonts w:eastAsia="Calibri"/>
                <w:szCs w:val="22"/>
              </w:rPr>
              <w:t>- On going assessment of protective issue and risk factors</w:t>
            </w:r>
          </w:p>
        </w:tc>
      </w:tr>
      <w:tr w:rsidR="00D86A11">
        <w:trPr>
          <w:trHeight w:val="755"/>
        </w:trPr>
        <w:tc>
          <w:tcPr>
            <w:tcW w:w="3148" w:type="dxa"/>
            <w:tcBorders>
              <w:top w:val="single" w:sz="2" w:space="0" w:color="FABF8F"/>
              <w:left w:val="nil"/>
              <w:bottom w:val="single" w:sz="2" w:space="0" w:color="FABF8F"/>
              <w:right w:val="single" w:sz="2" w:space="0" w:color="FABF8F"/>
            </w:tcBorders>
          </w:tcPr>
          <w:p w:rsidR="000B1863" w:rsidRDefault="00D86A11">
            <w:pPr>
              <w:pStyle w:val="MediumGrid21"/>
              <w:rPr>
                <w:rFonts w:eastAsia="Calibri"/>
                <w:b/>
                <w:bCs/>
                <w:szCs w:val="22"/>
              </w:rPr>
            </w:pPr>
            <w:r>
              <w:rPr>
                <w:rFonts w:eastAsia="Calibri"/>
                <w:bCs/>
                <w:szCs w:val="22"/>
              </w:rPr>
              <w:t>- Geographic barriers (i.e. placement, immigration status, out of state residency)</w:t>
            </w:r>
          </w:p>
        </w:tc>
        <w:tc>
          <w:tcPr>
            <w:tcW w:w="3058"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Mentor involvement</w:t>
            </w:r>
          </w:p>
        </w:tc>
        <w:tc>
          <w:tcPr>
            <w:tcW w:w="3032" w:type="dxa"/>
            <w:tcBorders>
              <w:top w:val="single" w:sz="2" w:space="0" w:color="FABF8F"/>
              <w:left w:val="single" w:sz="2" w:space="0" w:color="FABF8F"/>
              <w:bottom w:val="single" w:sz="2" w:space="0" w:color="FABF8F"/>
              <w:right w:val="nil"/>
            </w:tcBorders>
          </w:tcPr>
          <w:p w:rsidR="000B1863" w:rsidRDefault="00D86A11">
            <w:pPr>
              <w:pStyle w:val="MediumGrid21"/>
              <w:rPr>
                <w:rFonts w:eastAsia="Calibri"/>
                <w:szCs w:val="22"/>
              </w:rPr>
            </w:pPr>
            <w:r>
              <w:rPr>
                <w:rFonts w:eastAsia="Calibri"/>
                <w:szCs w:val="22"/>
              </w:rPr>
              <w:t>- Importance of reviewing documentation when transfer happens</w:t>
            </w:r>
          </w:p>
        </w:tc>
      </w:tr>
      <w:tr w:rsidR="00D86A11">
        <w:trPr>
          <w:trHeight w:val="719"/>
        </w:trPr>
        <w:tc>
          <w:tcPr>
            <w:tcW w:w="3148"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rPr>
                <w:rFonts w:eastAsia="Calibri"/>
                <w:b/>
                <w:bCs/>
                <w:szCs w:val="22"/>
              </w:rPr>
            </w:pPr>
            <w:r>
              <w:rPr>
                <w:rFonts w:eastAsia="Calibri"/>
                <w:bCs/>
                <w:szCs w:val="22"/>
              </w:rPr>
              <w:t>- Trust issues, history, and stigma between family and agencies</w:t>
            </w:r>
          </w:p>
        </w:tc>
        <w:tc>
          <w:tcPr>
            <w:tcW w:w="3058"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rPr>
                <w:rFonts w:eastAsia="Calibri"/>
                <w:szCs w:val="22"/>
              </w:rPr>
            </w:pPr>
            <w:r>
              <w:rPr>
                <w:rFonts w:eastAsia="Calibri"/>
                <w:szCs w:val="22"/>
              </w:rPr>
              <w:t>- Community partner involvement</w:t>
            </w:r>
          </w:p>
        </w:tc>
        <w:tc>
          <w:tcPr>
            <w:tcW w:w="3032" w:type="dxa"/>
            <w:tcBorders>
              <w:top w:val="single" w:sz="2" w:space="0" w:color="FABF8F"/>
              <w:left w:val="single" w:sz="2" w:space="0" w:color="FABF8F"/>
              <w:bottom w:val="single" w:sz="2" w:space="0" w:color="FABF8F"/>
              <w:right w:val="nil"/>
            </w:tcBorders>
            <w:shd w:val="clear" w:color="auto" w:fill="FDE9D9"/>
          </w:tcPr>
          <w:p w:rsidR="000B1863" w:rsidRDefault="00D86A11">
            <w:pPr>
              <w:pStyle w:val="MediumGrid21"/>
              <w:rPr>
                <w:rFonts w:eastAsia="Calibri"/>
                <w:szCs w:val="22"/>
              </w:rPr>
            </w:pPr>
            <w:r>
              <w:rPr>
                <w:rFonts w:eastAsia="Calibri"/>
                <w:szCs w:val="22"/>
              </w:rPr>
              <w:t>- Minimize case transfers</w:t>
            </w:r>
          </w:p>
        </w:tc>
      </w:tr>
      <w:tr w:rsidR="00D86A11">
        <w:trPr>
          <w:trHeight w:val="692"/>
        </w:trPr>
        <w:tc>
          <w:tcPr>
            <w:tcW w:w="3148" w:type="dxa"/>
            <w:tcBorders>
              <w:top w:val="single" w:sz="2" w:space="0" w:color="FABF8F"/>
              <w:left w:val="nil"/>
              <w:bottom w:val="single" w:sz="2" w:space="0" w:color="FABF8F"/>
              <w:right w:val="single" w:sz="2" w:space="0" w:color="FABF8F"/>
            </w:tcBorders>
          </w:tcPr>
          <w:p w:rsidR="000B1863" w:rsidRDefault="00D86A11">
            <w:pPr>
              <w:pStyle w:val="MediumGrid21"/>
              <w:rPr>
                <w:rFonts w:eastAsia="Calibri"/>
                <w:b/>
                <w:bCs/>
                <w:szCs w:val="22"/>
              </w:rPr>
            </w:pPr>
            <w:r>
              <w:rPr>
                <w:rFonts w:eastAsia="Calibri"/>
                <w:bCs/>
                <w:szCs w:val="22"/>
              </w:rPr>
              <w:t>- Cultural barriers (i.e. language, lack of services, isolation of immigration families)</w:t>
            </w:r>
          </w:p>
        </w:tc>
        <w:tc>
          <w:tcPr>
            <w:tcW w:w="3058"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Family familiarity with agency</w:t>
            </w:r>
          </w:p>
        </w:tc>
        <w:tc>
          <w:tcPr>
            <w:tcW w:w="3032" w:type="dxa"/>
            <w:tcBorders>
              <w:top w:val="single" w:sz="2" w:space="0" w:color="FABF8F"/>
              <w:left w:val="single" w:sz="2" w:space="0" w:color="FABF8F"/>
              <w:bottom w:val="single" w:sz="2" w:space="0" w:color="FABF8F"/>
              <w:right w:val="nil"/>
            </w:tcBorders>
          </w:tcPr>
          <w:p w:rsidR="000B1863" w:rsidRDefault="00D86A11">
            <w:pPr>
              <w:pStyle w:val="MediumGrid21"/>
              <w:rPr>
                <w:rFonts w:eastAsia="Calibri"/>
                <w:szCs w:val="22"/>
              </w:rPr>
            </w:pPr>
            <w:r>
              <w:rPr>
                <w:rFonts w:eastAsia="Calibri"/>
                <w:szCs w:val="22"/>
              </w:rPr>
              <w:t>- Warm hand off transition</w:t>
            </w:r>
          </w:p>
        </w:tc>
      </w:tr>
      <w:tr w:rsidR="00D86A11">
        <w:trPr>
          <w:trHeight w:val="188"/>
        </w:trPr>
        <w:tc>
          <w:tcPr>
            <w:tcW w:w="3148"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rPr>
                <w:rFonts w:eastAsia="Calibri"/>
                <w:b/>
                <w:bCs/>
                <w:szCs w:val="22"/>
              </w:rPr>
            </w:pPr>
            <w:r>
              <w:rPr>
                <w:rFonts w:eastAsia="Calibri"/>
                <w:bCs/>
                <w:szCs w:val="22"/>
              </w:rPr>
              <w:t>- Lack of child development knowledge by all parties</w:t>
            </w:r>
          </w:p>
        </w:tc>
        <w:tc>
          <w:tcPr>
            <w:tcW w:w="3058"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rPr>
                <w:rFonts w:eastAsia="Calibri"/>
                <w:szCs w:val="22"/>
              </w:rPr>
            </w:pPr>
            <w:r>
              <w:rPr>
                <w:rFonts w:eastAsia="Calibri"/>
                <w:szCs w:val="22"/>
              </w:rPr>
              <w:t>- When child has no complicating factors, focus is on protective issue</w:t>
            </w:r>
          </w:p>
        </w:tc>
        <w:tc>
          <w:tcPr>
            <w:tcW w:w="3032" w:type="dxa"/>
            <w:tcBorders>
              <w:top w:val="single" w:sz="2" w:space="0" w:color="FABF8F"/>
              <w:left w:val="single" w:sz="2" w:space="0" w:color="FABF8F"/>
              <w:bottom w:val="single" w:sz="2" w:space="0" w:color="FABF8F"/>
              <w:right w:val="nil"/>
            </w:tcBorders>
            <w:shd w:val="clear" w:color="auto" w:fill="FDE9D9"/>
          </w:tcPr>
          <w:p w:rsidR="000B1863" w:rsidRDefault="00D86A11">
            <w:pPr>
              <w:pStyle w:val="MediumGrid21"/>
              <w:rPr>
                <w:rFonts w:eastAsia="Calibri"/>
                <w:szCs w:val="22"/>
              </w:rPr>
            </w:pPr>
            <w:r>
              <w:rPr>
                <w:rFonts w:eastAsia="Calibri"/>
                <w:szCs w:val="22"/>
              </w:rPr>
              <w:t>- Trauma informed practice</w:t>
            </w:r>
          </w:p>
        </w:tc>
      </w:tr>
      <w:tr w:rsidR="00D86A11">
        <w:trPr>
          <w:trHeight w:val="90"/>
        </w:trPr>
        <w:tc>
          <w:tcPr>
            <w:tcW w:w="3148" w:type="dxa"/>
            <w:tcBorders>
              <w:top w:val="single" w:sz="2" w:space="0" w:color="FABF8F"/>
              <w:left w:val="nil"/>
              <w:bottom w:val="single" w:sz="2" w:space="0" w:color="FABF8F"/>
              <w:right w:val="single" w:sz="2" w:space="0" w:color="FABF8F"/>
            </w:tcBorders>
          </w:tcPr>
          <w:p w:rsidR="000B1863" w:rsidRDefault="000B1863">
            <w:pPr>
              <w:pStyle w:val="MediumGrid21"/>
              <w:rPr>
                <w:rFonts w:eastAsia="Calibri"/>
                <w:b/>
                <w:bCs/>
                <w:szCs w:val="22"/>
              </w:rPr>
            </w:pPr>
          </w:p>
        </w:tc>
        <w:tc>
          <w:tcPr>
            <w:tcW w:w="3058"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Coordination between community partners, courts, and CWS align case plan and goals</w:t>
            </w:r>
          </w:p>
        </w:tc>
        <w:tc>
          <w:tcPr>
            <w:tcW w:w="3032" w:type="dxa"/>
            <w:tcBorders>
              <w:top w:val="single" w:sz="2" w:space="0" w:color="FABF8F"/>
              <w:left w:val="single" w:sz="2" w:space="0" w:color="FABF8F"/>
              <w:bottom w:val="single" w:sz="2" w:space="0" w:color="FABF8F"/>
              <w:right w:val="nil"/>
            </w:tcBorders>
          </w:tcPr>
          <w:p w:rsidR="000B1863" w:rsidRDefault="00D86A11">
            <w:pPr>
              <w:pStyle w:val="MediumGrid21"/>
              <w:rPr>
                <w:rFonts w:eastAsia="Calibri"/>
                <w:szCs w:val="22"/>
              </w:rPr>
            </w:pPr>
            <w:r>
              <w:rPr>
                <w:rFonts w:eastAsia="Calibri"/>
                <w:szCs w:val="22"/>
              </w:rPr>
              <w:t>- Valuable trainings on DV, visitation, supervision, substance abuse, mental health, SOP, and military</w:t>
            </w:r>
          </w:p>
        </w:tc>
      </w:tr>
      <w:tr w:rsidR="00D86A11">
        <w:trPr>
          <w:trHeight w:val="215"/>
        </w:trPr>
        <w:tc>
          <w:tcPr>
            <w:tcW w:w="3148" w:type="dxa"/>
            <w:tcBorders>
              <w:top w:val="single" w:sz="2" w:space="0" w:color="FABF8F"/>
              <w:left w:val="nil"/>
              <w:bottom w:val="single" w:sz="2" w:space="0" w:color="FABF8F"/>
              <w:right w:val="single" w:sz="2" w:space="0" w:color="FABF8F"/>
            </w:tcBorders>
            <w:shd w:val="clear" w:color="auto" w:fill="FDE9D9"/>
          </w:tcPr>
          <w:p w:rsidR="000B1863" w:rsidRDefault="000B1863">
            <w:pPr>
              <w:pStyle w:val="MediumGrid21"/>
              <w:rPr>
                <w:rFonts w:eastAsia="Calibri"/>
                <w:b/>
                <w:bCs/>
                <w:szCs w:val="22"/>
              </w:rPr>
            </w:pPr>
          </w:p>
        </w:tc>
        <w:tc>
          <w:tcPr>
            <w:tcW w:w="3058"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rPr>
                <w:rFonts w:eastAsia="Calibri"/>
                <w:szCs w:val="22"/>
              </w:rPr>
            </w:pPr>
            <w:r>
              <w:rPr>
                <w:rFonts w:eastAsia="Calibri"/>
                <w:szCs w:val="22"/>
              </w:rPr>
              <w:t>- Relative placement</w:t>
            </w:r>
          </w:p>
        </w:tc>
        <w:tc>
          <w:tcPr>
            <w:tcW w:w="3032" w:type="dxa"/>
            <w:tcBorders>
              <w:top w:val="single" w:sz="2" w:space="0" w:color="FABF8F"/>
              <w:left w:val="single" w:sz="2" w:space="0" w:color="FABF8F"/>
              <w:bottom w:val="single" w:sz="2" w:space="0" w:color="FABF8F"/>
              <w:right w:val="nil"/>
            </w:tcBorders>
            <w:shd w:val="clear" w:color="auto" w:fill="FDE9D9"/>
          </w:tcPr>
          <w:p w:rsidR="000B1863" w:rsidRDefault="000B1863">
            <w:pPr>
              <w:pStyle w:val="MediumGrid21"/>
              <w:rPr>
                <w:rFonts w:eastAsia="Calibri"/>
                <w:szCs w:val="22"/>
              </w:rPr>
            </w:pPr>
          </w:p>
        </w:tc>
      </w:tr>
    </w:tbl>
    <w:p w:rsidR="000B1863" w:rsidRDefault="000B1863">
      <w:pPr>
        <w:pStyle w:val="MediumGrid21"/>
      </w:pPr>
    </w:p>
    <w:p w:rsidR="000B1863" w:rsidRDefault="000B1863">
      <w:pPr>
        <w:pStyle w:val="MediumGrid21"/>
      </w:pPr>
    </w:p>
    <w:tbl>
      <w:tblPr>
        <w:tblW w:w="9223" w:type="dxa"/>
        <w:tblBorders>
          <w:top w:val="single" w:sz="2" w:space="0" w:color="D99594"/>
          <w:bottom w:val="single" w:sz="2" w:space="0" w:color="D99594"/>
          <w:insideH w:val="single" w:sz="2" w:space="0" w:color="D99594"/>
          <w:insideV w:val="single" w:sz="2" w:space="0" w:color="D99594"/>
        </w:tblBorders>
        <w:tblLook w:val="04A0" w:firstRow="1" w:lastRow="0" w:firstColumn="1" w:lastColumn="0" w:noHBand="0" w:noVBand="1"/>
      </w:tblPr>
      <w:tblGrid>
        <w:gridCol w:w="3143"/>
        <w:gridCol w:w="3053"/>
        <w:gridCol w:w="3027"/>
      </w:tblGrid>
      <w:tr w:rsidR="00D86A11">
        <w:trPr>
          <w:trHeight w:val="255"/>
        </w:trPr>
        <w:tc>
          <w:tcPr>
            <w:tcW w:w="9223" w:type="dxa"/>
            <w:gridSpan w:val="3"/>
            <w:tcBorders>
              <w:top w:val="nil"/>
              <w:left w:val="nil"/>
              <w:bottom w:val="single" w:sz="12" w:space="0" w:color="D99594"/>
              <w:right w:val="nil"/>
            </w:tcBorders>
            <w:shd w:val="clear" w:color="auto" w:fill="FFFFFF"/>
            <w:vAlign w:val="center"/>
          </w:tcPr>
          <w:p w:rsidR="00D86A11" w:rsidRDefault="00D86A11">
            <w:pPr>
              <w:pStyle w:val="Heading3"/>
              <w:rPr>
                <w:rFonts w:eastAsia="Calibri"/>
                <w:b w:val="0"/>
                <w:bCs/>
              </w:rPr>
            </w:pPr>
            <w:r>
              <w:rPr>
                <w:rFonts w:eastAsia="Calibri"/>
                <w:b w:val="0"/>
                <w:bCs/>
              </w:rPr>
              <w:t>Maintaining Connections Themes</w:t>
            </w:r>
          </w:p>
        </w:tc>
      </w:tr>
      <w:tr w:rsidR="00D86A11">
        <w:trPr>
          <w:trHeight w:val="276"/>
        </w:trPr>
        <w:tc>
          <w:tcPr>
            <w:tcW w:w="3143" w:type="dxa"/>
            <w:tcBorders>
              <w:top w:val="single" w:sz="2" w:space="0" w:color="D99594"/>
              <w:left w:val="nil"/>
              <w:bottom w:val="single" w:sz="2" w:space="0" w:color="D99594"/>
              <w:right w:val="single" w:sz="2" w:space="0" w:color="D99594"/>
            </w:tcBorders>
            <w:shd w:val="clear" w:color="auto" w:fill="F2DBDB"/>
          </w:tcPr>
          <w:p w:rsidR="000B1863" w:rsidRDefault="00D86A11">
            <w:pPr>
              <w:pStyle w:val="MediumGrid21"/>
              <w:jc w:val="center"/>
              <w:rPr>
                <w:rFonts w:eastAsia="Calibri"/>
                <w:b/>
                <w:bCs/>
                <w:szCs w:val="22"/>
              </w:rPr>
            </w:pPr>
            <w:r>
              <w:rPr>
                <w:rFonts w:eastAsia="Calibri"/>
                <w:b/>
                <w:bCs/>
                <w:szCs w:val="22"/>
              </w:rPr>
              <w:t>Challenges</w:t>
            </w:r>
          </w:p>
        </w:tc>
        <w:tc>
          <w:tcPr>
            <w:tcW w:w="3053"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D86A11">
            <w:pPr>
              <w:pStyle w:val="MediumGrid21"/>
              <w:jc w:val="center"/>
              <w:rPr>
                <w:rFonts w:eastAsia="Calibri"/>
                <w:b/>
                <w:szCs w:val="22"/>
              </w:rPr>
            </w:pPr>
            <w:r>
              <w:rPr>
                <w:rFonts w:eastAsia="Calibri"/>
                <w:b/>
                <w:szCs w:val="22"/>
              </w:rPr>
              <w:t>Strengths</w:t>
            </w:r>
          </w:p>
        </w:tc>
        <w:tc>
          <w:tcPr>
            <w:tcW w:w="3027" w:type="dxa"/>
            <w:tcBorders>
              <w:top w:val="single" w:sz="2" w:space="0" w:color="D99594"/>
              <w:left w:val="single" w:sz="2" w:space="0" w:color="D99594"/>
              <w:bottom w:val="single" w:sz="2" w:space="0" w:color="D99594"/>
              <w:right w:val="nil"/>
            </w:tcBorders>
            <w:shd w:val="clear" w:color="auto" w:fill="F2DBDB"/>
          </w:tcPr>
          <w:p w:rsidR="000B1863" w:rsidRDefault="00D86A11">
            <w:pPr>
              <w:pStyle w:val="MediumGrid21"/>
              <w:jc w:val="center"/>
              <w:rPr>
                <w:rFonts w:eastAsia="Calibri"/>
                <w:b/>
                <w:szCs w:val="22"/>
              </w:rPr>
            </w:pPr>
            <w:r>
              <w:rPr>
                <w:rFonts w:eastAsia="Calibri"/>
                <w:b/>
                <w:szCs w:val="22"/>
              </w:rPr>
              <w:t>Insights/Best Practices</w:t>
            </w:r>
          </w:p>
        </w:tc>
      </w:tr>
      <w:tr w:rsidR="00D86A11">
        <w:trPr>
          <w:trHeight w:val="143"/>
        </w:trPr>
        <w:tc>
          <w:tcPr>
            <w:tcW w:w="3143" w:type="dxa"/>
            <w:tcBorders>
              <w:top w:val="single" w:sz="2" w:space="0" w:color="D99594"/>
              <w:left w:val="nil"/>
              <w:bottom w:val="single" w:sz="2" w:space="0" w:color="D99594"/>
              <w:right w:val="single" w:sz="2" w:space="0" w:color="D99594"/>
            </w:tcBorders>
          </w:tcPr>
          <w:p w:rsidR="000B1863" w:rsidRDefault="00D86A11">
            <w:pPr>
              <w:pStyle w:val="MediumGrid21"/>
              <w:rPr>
                <w:rFonts w:eastAsia="Calibri"/>
                <w:b/>
                <w:bCs/>
                <w:szCs w:val="22"/>
              </w:rPr>
            </w:pPr>
            <w:r>
              <w:rPr>
                <w:rFonts w:eastAsia="Calibri"/>
                <w:bCs/>
                <w:szCs w:val="22"/>
              </w:rPr>
              <w:t>- Lack of or no family finding</w:t>
            </w:r>
          </w:p>
        </w:tc>
        <w:tc>
          <w:tcPr>
            <w:tcW w:w="3053" w:type="dxa"/>
            <w:tcBorders>
              <w:top w:val="single" w:sz="2" w:space="0" w:color="D99594"/>
              <w:left w:val="single" w:sz="2" w:space="0" w:color="D99594"/>
              <w:bottom w:val="single" w:sz="2" w:space="0" w:color="D99594"/>
              <w:right w:val="single" w:sz="2" w:space="0" w:color="D99594"/>
            </w:tcBorders>
          </w:tcPr>
          <w:p w:rsidR="000B1863" w:rsidRDefault="00D86A11">
            <w:pPr>
              <w:pStyle w:val="MediumGrid21"/>
              <w:rPr>
                <w:rFonts w:eastAsia="Calibri"/>
                <w:szCs w:val="22"/>
              </w:rPr>
            </w:pPr>
            <w:r>
              <w:rPr>
                <w:rFonts w:eastAsia="Calibri"/>
                <w:szCs w:val="22"/>
              </w:rPr>
              <w:t>- Strong adult connections</w:t>
            </w:r>
          </w:p>
        </w:tc>
        <w:tc>
          <w:tcPr>
            <w:tcW w:w="3027" w:type="dxa"/>
            <w:tcBorders>
              <w:top w:val="single" w:sz="2" w:space="0" w:color="D99594"/>
              <w:left w:val="single" w:sz="2" w:space="0" w:color="D99594"/>
              <w:bottom w:val="single" w:sz="2" w:space="0" w:color="D99594"/>
              <w:right w:val="nil"/>
            </w:tcBorders>
          </w:tcPr>
          <w:p w:rsidR="000B1863" w:rsidRDefault="00D86A11">
            <w:pPr>
              <w:pStyle w:val="MediumGrid21"/>
              <w:rPr>
                <w:rFonts w:eastAsia="Calibri"/>
                <w:szCs w:val="22"/>
              </w:rPr>
            </w:pPr>
            <w:r>
              <w:rPr>
                <w:rFonts w:eastAsia="Calibri"/>
                <w:szCs w:val="22"/>
              </w:rPr>
              <w:t>- Family Finding</w:t>
            </w:r>
          </w:p>
        </w:tc>
      </w:tr>
      <w:tr w:rsidR="00D86A11">
        <w:trPr>
          <w:trHeight w:val="305"/>
        </w:trPr>
        <w:tc>
          <w:tcPr>
            <w:tcW w:w="3143" w:type="dxa"/>
            <w:tcBorders>
              <w:top w:val="single" w:sz="2" w:space="0" w:color="D99594"/>
              <w:left w:val="nil"/>
              <w:bottom w:val="single" w:sz="2" w:space="0" w:color="D99594"/>
              <w:right w:val="single" w:sz="2" w:space="0" w:color="D99594"/>
            </w:tcBorders>
            <w:shd w:val="clear" w:color="auto" w:fill="F2DBDB"/>
          </w:tcPr>
          <w:p w:rsidR="000B1863" w:rsidRDefault="00D86A11">
            <w:pPr>
              <w:pStyle w:val="MediumGrid21"/>
              <w:rPr>
                <w:rFonts w:eastAsia="Calibri"/>
                <w:b/>
                <w:bCs/>
                <w:szCs w:val="22"/>
              </w:rPr>
            </w:pPr>
            <w:r>
              <w:rPr>
                <w:rFonts w:eastAsia="Calibri"/>
                <w:bCs/>
                <w:szCs w:val="22"/>
              </w:rPr>
              <w:t>- Lack of or no support network/family involvement</w:t>
            </w:r>
          </w:p>
        </w:tc>
        <w:tc>
          <w:tcPr>
            <w:tcW w:w="3053"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D86A11">
            <w:pPr>
              <w:pStyle w:val="MediumGrid21"/>
              <w:rPr>
                <w:rFonts w:eastAsia="Calibri"/>
                <w:szCs w:val="22"/>
              </w:rPr>
            </w:pPr>
            <w:r>
              <w:rPr>
                <w:rFonts w:eastAsia="Calibri"/>
                <w:szCs w:val="22"/>
              </w:rPr>
              <w:t>- Family, friend, and relative support</w:t>
            </w:r>
          </w:p>
        </w:tc>
        <w:tc>
          <w:tcPr>
            <w:tcW w:w="3027" w:type="dxa"/>
            <w:tcBorders>
              <w:top w:val="single" w:sz="2" w:space="0" w:color="D99594"/>
              <w:left w:val="single" w:sz="2" w:space="0" w:color="D99594"/>
              <w:bottom w:val="single" w:sz="2" w:space="0" w:color="D99594"/>
              <w:right w:val="nil"/>
            </w:tcBorders>
            <w:shd w:val="clear" w:color="auto" w:fill="F2DBDB"/>
          </w:tcPr>
          <w:p w:rsidR="000B1863" w:rsidRDefault="00D86A11">
            <w:pPr>
              <w:pStyle w:val="MediumGrid21"/>
              <w:rPr>
                <w:rFonts w:eastAsia="Calibri"/>
                <w:szCs w:val="22"/>
              </w:rPr>
            </w:pPr>
            <w:r>
              <w:rPr>
                <w:rFonts w:eastAsia="Calibri"/>
                <w:szCs w:val="22"/>
              </w:rPr>
              <w:t>- Build support networks</w:t>
            </w:r>
          </w:p>
        </w:tc>
      </w:tr>
      <w:tr w:rsidR="00D86A11">
        <w:trPr>
          <w:trHeight w:val="90"/>
        </w:trPr>
        <w:tc>
          <w:tcPr>
            <w:tcW w:w="3143" w:type="dxa"/>
            <w:tcBorders>
              <w:top w:val="single" w:sz="2" w:space="0" w:color="D99594"/>
              <w:left w:val="nil"/>
              <w:bottom w:val="single" w:sz="2" w:space="0" w:color="D99594"/>
              <w:right w:val="single" w:sz="2" w:space="0" w:color="D99594"/>
            </w:tcBorders>
          </w:tcPr>
          <w:p w:rsidR="000B1863" w:rsidRDefault="00D86A11">
            <w:pPr>
              <w:pStyle w:val="MediumGrid21"/>
              <w:rPr>
                <w:rFonts w:eastAsia="Calibri"/>
                <w:b/>
                <w:bCs/>
                <w:szCs w:val="22"/>
              </w:rPr>
            </w:pPr>
            <w:r>
              <w:rPr>
                <w:rFonts w:eastAsia="Calibri"/>
                <w:bCs/>
                <w:szCs w:val="22"/>
              </w:rPr>
              <w:t>- Case time pressures and commitments</w:t>
            </w:r>
          </w:p>
        </w:tc>
        <w:tc>
          <w:tcPr>
            <w:tcW w:w="3053" w:type="dxa"/>
            <w:tcBorders>
              <w:top w:val="single" w:sz="2" w:space="0" w:color="D99594"/>
              <w:left w:val="single" w:sz="2" w:space="0" w:color="D99594"/>
              <w:bottom w:val="single" w:sz="2" w:space="0" w:color="D99594"/>
              <w:right w:val="single" w:sz="2" w:space="0" w:color="D99594"/>
            </w:tcBorders>
          </w:tcPr>
          <w:p w:rsidR="000B1863" w:rsidRDefault="00D86A11">
            <w:pPr>
              <w:pStyle w:val="MediumGrid21"/>
              <w:rPr>
                <w:rFonts w:eastAsia="Calibri"/>
                <w:szCs w:val="22"/>
              </w:rPr>
            </w:pPr>
            <w:r>
              <w:rPr>
                <w:rFonts w:eastAsia="Calibri"/>
                <w:szCs w:val="22"/>
              </w:rPr>
              <w:t>- Ensuring voice of the child in case planning</w:t>
            </w:r>
          </w:p>
        </w:tc>
        <w:tc>
          <w:tcPr>
            <w:tcW w:w="3027" w:type="dxa"/>
            <w:tcBorders>
              <w:top w:val="single" w:sz="2" w:space="0" w:color="D99594"/>
              <w:left w:val="single" w:sz="2" w:space="0" w:color="D99594"/>
              <w:bottom w:val="single" w:sz="2" w:space="0" w:color="D99594"/>
              <w:right w:val="nil"/>
            </w:tcBorders>
          </w:tcPr>
          <w:p w:rsidR="000B1863" w:rsidRDefault="00D86A11">
            <w:pPr>
              <w:pStyle w:val="MediumGrid21"/>
              <w:rPr>
                <w:rFonts w:eastAsia="Calibri"/>
                <w:szCs w:val="22"/>
              </w:rPr>
            </w:pPr>
            <w:r>
              <w:rPr>
                <w:rFonts w:eastAsia="Calibri"/>
                <w:szCs w:val="22"/>
              </w:rPr>
              <w:t>- Facilitate more family visitation</w:t>
            </w:r>
          </w:p>
        </w:tc>
      </w:tr>
      <w:tr w:rsidR="00D86A11">
        <w:trPr>
          <w:trHeight w:val="144"/>
        </w:trPr>
        <w:tc>
          <w:tcPr>
            <w:tcW w:w="3143" w:type="dxa"/>
            <w:tcBorders>
              <w:top w:val="single" w:sz="2" w:space="0" w:color="D99594"/>
              <w:left w:val="nil"/>
              <w:bottom w:val="single" w:sz="2" w:space="0" w:color="D99594"/>
              <w:right w:val="single" w:sz="2" w:space="0" w:color="D99594"/>
            </w:tcBorders>
            <w:shd w:val="clear" w:color="auto" w:fill="F2DBDB"/>
          </w:tcPr>
          <w:p w:rsidR="000B1863" w:rsidRDefault="00D86A11">
            <w:pPr>
              <w:pStyle w:val="MediumGrid21"/>
              <w:rPr>
                <w:rFonts w:eastAsia="Calibri"/>
                <w:b/>
                <w:bCs/>
                <w:szCs w:val="22"/>
              </w:rPr>
            </w:pPr>
            <w:r>
              <w:rPr>
                <w:rFonts w:eastAsia="Calibri"/>
                <w:bCs/>
                <w:szCs w:val="22"/>
              </w:rPr>
              <w:t>- Missed assessments</w:t>
            </w:r>
          </w:p>
        </w:tc>
        <w:tc>
          <w:tcPr>
            <w:tcW w:w="3053"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D86A11">
            <w:pPr>
              <w:pStyle w:val="MediumGrid21"/>
              <w:rPr>
                <w:rFonts w:eastAsia="Calibri"/>
                <w:szCs w:val="22"/>
              </w:rPr>
            </w:pPr>
            <w:r>
              <w:rPr>
                <w:rFonts w:eastAsia="Calibri"/>
                <w:szCs w:val="22"/>
              </w:rPr>
              <w:t>- Regular, liberal, and consistent family/caregiver visitation</w:t>
            </w:r>
          </w:p>
        </w:tc>
        <w:tc>
          <w:tcPr>
            <w:tcW w:w="3027" w:type="dxa"/>
            <w:tcBorders>
              <w:top w:val="single" w:sz="2" w:space="0" w:color="D99594"/>
              <w:left w:val="single" w:sz="2" w:space="0" w:color="D99594"/>
              <w:bottom w:val="single" w:sz="2" w:space="0" w:color="D99594"/>
              <w:right w:val="nil"/>
            </w:tcBorders>
            <w:shd w:val="clear" w:color="auto" w:fill="F2DBDB"/>
          </w:tcPr>
          <w:p w:rsidR="000B1863" w:rsidRDefault="00D86A11">
            <w:pPr>
              <w:pStyle w:val="MediumGrid21"/>
              <w:rPr>
                <w:rFonts w:eastAsia="Calibri"/>
                <w:szCs w:val="22"/>
              </w:rPr>
            </w:pPr>
            <w:r>
              <w:rPr>
                <w:rFonts w:eastAsia="Calibri"/>
                <w:szCs w:val="22"/>
              </w:rPr>
              <w:t>- Offer visitation in natural and appropriate places</w:t>
            </w:r>
          </w:p>
        </w:tc>
      </w:tr>
      <w:tr w:rsidR="00D86A11">
        <w:trPr>
          <w:trHeight w:val="90"/>
        </w:trPr>
        <w:tc>
          <w:tcPr>
            <w:tcW w:w="3143" w:type="dxa"/>
            <w:tcBorders>
              <w:top w:val="single" w:sz="2" w:space="0" w:color="D99594"/>
              <w:left w:val="nil"/>
              <w:bottom w:val="single" w:sz="2" w:space="0" w:color="D99594"/>
              <w:right w:val="single" w:sz="2" w:space="0" w:color="D99594"/>
            </w:tcBorders>
          </w:tcPr>
          <w:p w:rsidR="000B1863" w:rsidRDefault="00D86A11">
            <w:pPr>
              <w:pStyle w:val="MediumGrid21"/>
              <w:rPr>
                <w:rFonts w:eastAsia="Calibri"/>
                <w:b/>
                <w:bCs/>
                <w:szCs w:val="22"/>
              </w:rPr>
            </w:pPr>
            <w:r>
              <w:rPr>
                <w:rFonts w:eastAsia="Calibri"/>
                <w:bCs/>
                <w:szCs w:val="22"/>
              </w:rPr>
              <w:t>- Logistical issues (i.e. transportation)</w:t>
            </w:r>
          </w:p>
        </w:tc>
        <w:tc>
          <w:tcPr>
            <w:tcW w:w="3053" w:type="dxa"/>
            <w:tcBorders>
              <w:top w:val="single" w:sz="2" w:space="0" w:color="D99594"/>
              <w:left w:val="single" w:sz="2" w:space="0" w:color="D99594"/>
              <w:bottom w:val="single" w:sz="2" w:space="0" w:color="D99594"/>
              <w:right w:val="single" w:sz="2" w:space="0" w:color="D99594"/>
            </w:tcBorders>
          </w:tcPr>
          <w:p w:rsidR="000B1863" w:rsidRDefault="00D86A11">
            <w:pPr>
              <w:pStyle w:val="MediumGrid21"/>
              <w:rPr>
                <w:rFonts w:eastAsia="Calibri"/>
                <w:szCs w:val="22"/>
              </w:rPr>
            </w:pPr>
            <w:r>
              <w:rPr>
                <w:rFonts w:eastAsia="Calibri"/>
                <w:szCs w:val="22"/>
              </w:rPr>
              <w:t>- Limited time in out of home placements</w:t>
            </w:r>
          </w:p>
        </w:tc>
        <w:tc>
          <w:tcPr>
            <w:tcW w:w="3027" w:type="dxa"/>
            <w:tcBorders>
              <w:top w:val="single" w:sz="2" w:space="0" w:color="D99594"/>
              <w:left w:val="single" w:sz="2" w:space="0" w:color="D99594"/>
              <w:bottom w:val="single" w:sz="2" w:space="0" w:color="D99594"/>
              <w:right w:val="nil"/>
            </w:tcBorders>
          </w:tcPr>
          <w:p w:rsidR="000B1863" w:rsidRDefault="00D86A11">
            <w:pPr>
              <w:pStyle w:val="MediumGrid21"/>
              <w:rPr>
                <w:rFonts w:eastAsia="Calibri"/>
                <w:szCs w:val="22"/>
              </w:rPr>
            </w:pPr>
            <w:r>
              <w:rPr>
                <w:rFonts w:eastAsia="Calibri"/>
                <w:szCs w:val="22"/>
              </w:rPr>
              <w:t>- Utilize TDMs</w:t>
            </w:r>
          </w:p>
        </w:tc>
      </w:tr>
      <w:tr w:rsidR="00D86A11">
        <w:trPr>
          <w:trHeight w:val="144"/>
        </w:trPr>
        <w:tc>
          <w:tcPr>
            <w:tcW w:w="3143" w:type="dxa"/>
            <w:tcBorders>
              <w:top w:val="single" w:sz="2" w:space="0" w:color="D99594"/>
              <w:left w:val="nil"/>
              <w:bottom w:val="single" w:sz="2" w:space="0" w:color="D99594"/>
              <w:right w:val="single" w:sz="2" w:space="0" w:color="D99594"/>
            </w:tcBorders>
            <w:shd w:val="clear" w:color="auto" w:fill="F2DBDB"/>
          </w:tcPr>
          <w:p w:rsidR="000B1863" w:rsidRDefault="00D86A11">
            <w:pPr>
              <w:pStyle w:val="MediumGrid21"/>
              <w:rPr>
                <w:rFonts w:eastAsia="Calibri"/>
                <w:b/>
                <w:bCs/>
                <w:szCs w:val="22"/>
              </w:rPr>
            </w:pPr>
            <w:r>
              <w:rPr>
                <w:rFonts w:eastAsia="Calibri"/>
                <w:bCs/>
                <w:szCs w:val="22"/>
              </w:rPr>
              <w:t>- Lack of caregiver flexibility</w:t>
            </w:r>
          </w:p>
        </w:tc>
        <w:tc>
          <w:tcPr>
            <w:tcW w:w="3053"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D86A11">
            <w:pPr>
              <w:pStyle w:val="MediumGrid21"/>
              <w:rPr>
                <w:rFonts w:eastAsia="Calibri"/>
                <w:szCs w:val="22"/>
              </w:rPr>
            </w:pPr>
            <w:r>
              <w:rPr>
                <w:rFonts w:eastAsia="Calibri"/>
                <w:szCs w:val="22"/>
              </w:rPr>
              <w:t>- TDMs</w:t>
            </w:r>
          </w:p>
        </w:tc>
        <w:tc>
          <w:tcPr>
            <w:tcW w:w="3027" w:type="dxa"/>
            <w:tcBorders>
              <w:top w:val="single" w:sz="2" w:space="0" w:color="D99594"/>
              <w:left w:val="single" w:sz="2" w:space="0" w:color="D99594"/>
              <w:bottom w:val="single" w:sz="2" w:space="0" w:color="D99594"/>
              <w:right w:val="nil"/>
            </w:tcBorders>
            <w:shd w:val="clear" w:color="auto" w:fill="F2DBDB"/>
          </w:tcPr>
          <w:p w:rsidR="000B1863" w:rsidRDefault="00D86A11">
            <w:pPr>
              <w:pStyle w:val="MediumGrid21"/>
              <w:rPr>
                <w:rFonts w:eastAsia="Calibri"/>
                <w:szCs w:val="22"/>
              </w:rPr>
            </w:pPr>
            <w:r>
              <w:rPr>
                <w:rFonts w:eastAsia="Calibri"/>
                <w:szCs w:val="22"/>
              </w:rPr>
              <w:t>- Incredible Families</w:t>
            </w:r>
          </w:p>
        </w:tc>
      </w:tr>
      <w:tr w:rsidR="00D86A11">
        <w:trPr>
          <w:trHeight w:val="90"/>
        </w:trPr>
        <w:tc>
          <w:tcPr>
            <w:tcW w:w="3143" w:type="dxa"/>
            <w:tcBorders>
              <w:top w:val="single" w:sz="2" w:space="0" w:color="D99594"/>
              <w:left w:val="nil"/>
              <w:bottom w:val="single" w:sz="2" w:space="0" w:color="D99594"/>
              <w:right w:val="single" w:sz="2" w:space="0" w:color="D99594"/>
            </w:tcBorders>
          </w:tcPr>
          <w:p w:rsidR="000B1863" w:rsidRDefault="00D86A11">
            <w:pPr>
              <w:pStyle w:val="MediumGrid21"/>
              <w:rPr>
                <w:rFonts w:eastAsia="Calibri"/>
                <w:b/>
                <w:bCs/>
                <w:szCs w:val="22"/>
              </w:rPr>
            </w:pPr>
            <w:r>
              <w:rPr>
                <w:rFonts w:eastAsia="Calibri"/>
                <w:bCs/>
                <w:szCs w:val="22"/>
              </w:rPr>
              <w:t>- Out of county or state NFRMS</w:t>
            </w:r>
          </w:p>
        </w:tc>
        <w:tc>
          <w:tcPr>
            <w:tcW w:w="3053" w:type="dxa"/>
            <w:tcBorders>
              <w:top w:val="single" w:sz="2" w:space="0" w:color="D99594"/>
              <w:left w:val="single" w:sz="2" w:space="0" w:color="D99594"/>
              <w:bottom w:val="single" w:sz="2" w:space="0" w:color="D99594"/>
              <w:right w:val="single" w:sz="2" w:space="0" w:color="D99594"/>
            </w:tcBorders>
          </w:tcPr>
          <w:p w:rsidR="000B1863" w:rsidRDefault="00D86A11">
            <w:pPr>
              <w:pStyle w:val="MediumGrid21"/>
              <w:rPr>
                <w:rFonts w:eastAsia="Calibri"/>
                <w:szCs w:val="22"/>
              </w:rPr>
            </w:pPr>
            <w:r>
              <w:rPr>
                <w:rFonts w:eastAsia="Calibri"/>
                <w:szCs w:val="22"/>
              </w:rPr>
              <w:t>- Kept number of outside parties involved with the child to a minimum</w:t>
            </w:r>
          </w:p>
        </w:tc>
        <w:tc>
          <w:tcPr>
            <w:tcW w:w="3027" w:type="dxa"/>
            <w:tcBorders>
              <w:top w:val="single" w:sz="2" w:space="0" w:color="D99594"/>
              <w:left w:val="single" w:sz="2" w:space="0" w:color="D99594"/>
              <w:bottom w:val="single" w:sz="2" w:space="0" w:color="D99594"/>
              <w:right w:val="nil"/>
            </w:tcBorders>
          </w:tcPr>
          <w:p w:rsidR="000B1863" w:rsidRDefault="00D86A11">
            <w:pPr>
              <w:pStyle w:val="MediumGrid21"/>
              <w:rPr>
                <w:rFonts w:eastAsia="Calibri"/>
                <w:szCs w:val="22"/>
              </w:rPr>
            </w:pPr>
            <w:r>
              <w:rPr>
                <w:rFonts w:eastAsia="Calibri"/>
                <w:szCs w:val="22"/>
              </w:rPr>
              <w:t>- Safety planning for visitation</w:t>
            </w:r>
          </w:p>
        </w:tc>
      </w:tr>
      <w:tr w:rsidR="00D86A11">
        <w:trPr>
          <w:trHeight w:val="90"/>
        </w:trPr>
        <w:tc>
          <w:tcPr>
            <w:tcW w:w="3143" w:type="dxa"/>
            <w:tcBorders>
              <w:top w:val="single" w:sz="2" w:space="0" w:color="D99594"/>
              <w:left w:val="nil"/>
              <w:bottom w:val="single" w:sz="2" w:space="0" w:color="D99594"/>
              <w:right w:val="single" w:sz="2" w:space="0" w:color="D99594"/>
            </w:tcBorders>
            <w:shd w:val="clear" w:color="auto" w:fill="F2DBDB"/>
          </w:tcPr>
          <w:p w:rsidR="000B1863" w:rsidRDefault="00D86A11">
            <w:pPr>
              <w:pStyle w:val="MediumGrid21"/>
              <w:rPr>
                <w:rFonts w:eastAsia="Calibri"/>
                <w:b/>
                <w:bCs/>
                <w:szCs w:val="22"/>
              </w:rPr>
            </w:pPr>
            <w:r>
              <w:rPr>
                <w:rFonts w:eastAsia="Calibri"/>
                <w:bCs/>
                <w:szCs w:val="22"/>
              </w:rPr>
              <w:t>- Lack of culturally appropriate support</w:t>
            </w:r>
          </w:p>
        </w:tc>
        <w:tc>
          <w:tcPr>
            <w:tcW w:w="3053"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D86A11">
            <w:pPr>
              <w:pStyle w:val="MediumGrid21"/>
              <w:rPr>
                <w:rFonts w:eastAsia="Calibri"/>
                <w:szCs w:val="22"/>
              </w:rPr>
            </w:pPr>
            <w:r>
              <w:rPr>
                <w:rFonts w:eastAsia="Calibri"/>
                <w:szCs w:val="22"/>
              </w:rPr>
              <w:t>- Regular visits with quick progression to unsupervised</w:t>
            </w:r>
          </w:p>
        </w:tc>
        <w:tc>
          <w:tcPr>
            <w:tcW w:w="3027" w:type="dxa"/>
            <w:tcBorders>
              <w:top w:val="single" w:sz="2" w:space="0" w:color="D99594"/>
              <w:left w:val="single" w:sz="2" w:space="0" w:color="D99594"/>
              <w:bottom w:val="single" w:sz="2" w:space="0" w:color="D99594"/>
              <w:right w:val="nil"/>
            </w:tcBorders>
            <w:shd w:val="clear" w:color="auto" w:fill="F2DBDB"/>
          </w:tcPr>
          <w:p w:rsidR="000B1863" w:rsidRDefault="00D86A11">
            <w:pPr>
              <w:pStyle w:val="MediumGrid21"/>
              <w:rPr>
                <w:rFonts w:eastAsia="Calibri"/>
                <w:szCs w:val="22"/>
              </w:rPr>
            </w:pPr>
            <w:r>
              <w:rPr>
                <w:rFonts w:eastAsia="Calibri"/>
                <w:szCs w:val="22"/>
              </w:rPr>
              <w:t>- Strengthen foster parent training to understand their roles in the reunification process</w:t>
            </w:r>
          </w:p>
        </w:tc>
      </w:tr>
      <w:tr w:rsidR="00D86A11">
        <w:trPr>
          <w:trHeight w:val="90"/>
        </w:trPr>
        <w:tc>
          <w:tcPr>
            <w:tcW w:w="3143" w:type="dxa"/>
            <w:tcBorders>
              <w:top w:val="single" w:sz="2" w:space="0" w:color="D99594"/>
              <w:left w:val="nil"/>
              <w:bottom w:val="single" w:sz="2" w:space="0" w:color="D99594"/>
              <w:right w:val="single" w:sz="2" w:space="0" w:color="D99594"/>
            </w:tcBorders>
          </w:tcPr>
          <w:p w:rsidR="000B1863" w:rsidRDefault="00D86A11">
            <w:pPr>
              <w:pStyle w:val="MediumGrid21"/>
              <w:rPr>
                <w:rFonts w:eastAsia="Calibri"/>
                <w:b/>
                <w:bCs/>
                <w:szCs w:val="22"/>
              </w:rPr>
            </w:pPr>
            <w:r>
              <w:rPr>
                <w:rFonts w:eastAsia="Calibri"/>
                <w:bCs/>
                <w:szCs w:val="22"/>
              </w:rPr>
              <w:t>- Once one bio parent is ID’d, efforts stop to find/engage other parent</w:t>
            </w:r>
          </w:p>
        </w:tc>
        <w:tc>
          <w:tcPr>
            <w:tcW w:w="3053" w:type="dxa"/>
            <w:tcBorders>
              <w:top w:val="single" w:sz="2" w:space="0" w:color="D99594"/>
              <w:left w:val="single" w:sz="2" w:space="0" w:color="D99594"/>
              <w:bottom w:val="single" w:sz="2" w:space="0" w:color="D99594"/>
              <w:right w:val="single" w:sz="2" w:space="0" w:color="D99594"/>
            </w:tcBorders>
          </w:tcPr>
          <w:p w:rsidR="000B1863" w:rsidRDefault="00D86A11">
            <w:pPr>
              <w:pStyle w:val="MediumGrid21"/>
              <w:rPr>
                <w:rFonts w:eastAsia="Calibri"/>
                <w:szCs w:val="22"/>
              </w:rPr>
            </w:pPr>
            <w:r>
              <w:rPr>
                <w:rFonts w:eastAsia="Calibri"/>
                <w:szCs w:val="22"/>
              </w:rPr>
              <w:t>- Worker supervision of visits to see family dynamic</w:t>
            </w:r>
          </w:p>
        </w:tc>
        <w:tc>
          <w:tcPr>
            <w:tcW w:w="3027" w:type="dxa"/>
            <w:tcBorders>
              <w:top w:val="single" w:sz="2" w:space="0" w:color="D99594"/>
              <w:left w:val="single" w:sz="2" w:space="0" w:color="D99594"/>
              <w:bottom w:val="single" w:sz="2" w:space="0" w:color="D99594"/>
              <w:right w:val="nil"/>
            </w:tcBorders>
          </w:tcPr>
          <w:p w:rsidR="000B1863" w:rsidRDefault="00D86A11">
            <w:pPr>
              <w:pStyle w:val="MediumGrid21"/>
              <w:rPr>
                <w:rFonts w:eastAsia="Calibri"/>
                <w:szCs w:val="22"/>
              </w:rPr>
            </w:pPr>
            <w:r>
              <w:rPr>
                <w:rFonts w:eastAsia="Calibri"/>
                <w:szCs w:val="22"/>
              </w:rPr>
              <w:t>- Build mentorship or support model for foster parent to support reunification</w:t>
            </w:r>
          </w:p>
        </w:tc>
      </w:tr>
      <w:tr w:rsidR="00D86A11">
        <w:trPr>
          <w:trHeight w:val="90"/>
        </w:trPr>
        <w:tc>
          <w:tcPr>
            <w:tcW w:w="3143" w:type="dxa"/>
            <w:tcBorders>
              <w:top w:val="single" w:sz="2" w:space="0" w:color="D99594"/>
              <w:left w:val="nil"/>
              <w:bottom w:val="single" w:sz="2" w:space="0" w:color="D99594"/>
              <w:right w:val="single" w:sz="2" w:space="0" w:color="D99594"/>
            </w:tcBorders>
            <w:shd w:val="clear" w:color="auto" w:fill="F2DBDB"/>
          </w:tcPr>
          <w:p w:rsidR="000B1863" w:rsidRDefault="000B1863">
            <w:pPr>
              <w:pStyle w:val="MediumGrid21"/>
              <w:rPr>
                <w:rFonts w:eastAsia="Calibri"/>
                <w:b/>
                <w:bCs/>
                <w:szCs w:val="22"/>
              </w:rPr>
            </w:pPr>
          </w:p>
        </w:tc>
        <w:tc>
          <w:tcPr>
            <w:tcW w:w="3053"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D86A11">
            <w:pPr>
              <w:pStyle w:val="MediumGrid21"/>
              <w:rPr>
                <w:rFonts w:eastAsia="Calibri"/>
                <w:szCs w:val="22"/>
              </w:rPr>
            </w:pPr>
            <w:r>
              <w:rPr>
                <w:rFonts w:eastAsia="Calibri"/>
                <w:szCs w:val="22"/>
              </w:rPr>
              <w:t>- Use of NREFM’s to supervise visits</w:t>
            </w:r>
          </w:p>
        </w:tc>
        <w:tc>
          <w:tcPr>
            <w:tcW w:w="3027" w:type="dxa"/>
            <w:tcBorders>
              <w:top w:val="single" w:sz="2" w:space="0" w:color="D99594"/>
              <w:left w:val="single" w:sz="2" w:space="0" w:color="D99594"/>
              <w:bottom w:val="single" w:sz="2" w:space="0" w:color="D99594"/>
              <w:right w:val="nil"/>
            </w:tcBorders>
            <w:shd w:val="clear" w:color="auto" w:fill="F2DBDB"/>
          </w:tcPr>
          <w:p w:rsidR="000B1863" w:rsidRDefault="00D86A11">
            <w:pPr>
              <w:pStyle w:val="MediumGrid21"/>
              <w:rPr>
                <w:rFonts w:eastAsia="Calibri"/>
                <w:szCs w:val="22"/>
              </w:rPr>
            </w:pPr>
            <w:r>
              <w:rPr>
                <w:rFonts w:eastAsia="Calibri"/>
                <w:szCs w:val="22"/>
              </w:rPr>
              <w:t>- On going assessment of parent’s ability to acknowledge, articulate, and use resources to prevent the issues that led up to the removal</w:t>
            </w:r>
          </w:p>
        </w:tc>
      </w:tr>
      <w:tr w:rsidR="00D86A11">
        <w:trPr>
          <w:trHeight w:val="90"/>
        </w:trPr>
        <w:tc>
          <w:tcPr>
            <w:tcW w:w="3143" w:type="dxa"/>
            <w:tcBorders>
              <w:top w:val="single" w:sz="2" w:space="0" w:color="D99594"/>
              <w:left w:val="nil"/>
              <w:bottom w:val="single" w:sz="2" w:space="0" w:color="D99594"/>
              <w:right w:val="single" w:sz="2" w:space="0" w:color="D99594"/>
            </w:tcBorders>
          </w:tcPr>
          <w:p w:rsidR="000B1863" w:rsidRDefault="000B1863">
            <w:pPr>
              <w:pStyle w:val="MediumGrid21"/>
              <w:rPr>
                <w:rFonts w:eastAsia="Calibri"/>
                <w:b/>
                <w:bCs/>
                <w:szCs w:val="22"/>
              </w:rPr>
            </w:pPr>
          </w:p>
        </w:tc>
        <w:tc>
          <w:tcPr>
            <w:tcW w:w="3053" w:type="dxa"/>
            <w:tcBorders>
              <w:top w:val="single" w:sz="2" w:space="0" w:color="D99594"/>
              <w:left w:val="single" w:sz="2" w:space="0" w:color="D99594"/>
              <w:bottom w:val="single" w:sz="2" w:space="0" w:color="D99594"/>
              <w:right w:val="single" w:sz="2" w:space="0" w:color="D99594"/>
            </w:tcBorders>
          </w:tcPr>
          <w:p w:rsidR="000B1863" w:rsidRDefault="00D86A11">
            <w:pPr>
              <w:pStyle w:val="MediumGrid21"/>
              <w:rPr>
                <w:rFonts w:eastAsia="Calibri"/>
                <w:szCs w:val="22"/>
              </w:rPr>
            </w:pPr>
            <w:r>
              <w:rPr>
                <w:rFonts w:eastAsia="Calibri"/>
                <w:szCs w:val="22"/>
              </w:rPr>
              <w:t>- Identified least restrictive environment</w:t>
            </w:r>
          </w:p>
        </w:tc>
        <w:tc>
          <w:tcPr>
            <w:tcW w:w="3027" w:type="dxa"/>
            <w:tcBorders>
              <w:top w:val="single" w:sz="2" w:space="0" w:color="D99594"/>
              <w:left w:val="single" w:sz="2" w:space="0" w:color="D99594"/>
              <w:bottom w:val="single" w:sz="2" w:space="0" w:color="D99594"/>
              <w:right w:val="nil"/>
            </w:tcBorders>
          </w:tcPr>
          <w:p w:rsidR="000B1863" w:rsidRDefault="00D86A11">
            <w:pPr>
              <w:pStyle w:val="MediumGrid21"/>
              <w:rPr>
                <w:rFonts w:eastAsia="Calibri"/>
                <w:szCs w:val="22"/>
              </w:rPr>
            </w:pPr>
            <w:r>
              <w:rPr>
                <w:rFonts w:eastAsia="Calibri"/>
                <w:szCs w:val="22"/>
              </w:rPr>
              <w:t>- Trauma informed/child centered practices</w:t>
            </w:r>
          </w:p>
        </w:tc>
      </w:tr>
    </w:tbl>
    <w:p w:rsidR="00D86A11" w:rsidRPr="00227DB4" w:rsidRDefault="00D86A11" w:rsidP="00D86A11">
      <w:pPr>
        <w:spacing w:after="0"/>
        <w:rPr>
          <w:vanish/>
        </w:rPr>
      </w:pPr>
    </w:p>
    <w:tbl>
      <w:tblPr>
        <w:tblpPr w:leftFromText="180" w:rightFromText="180" w:vertAnchor="text" w:horzAnchor="page" w:tblpX="1450" w:tblpY="134"/>
        <w:tblW w:w="9244" w:type="dxa"/>
        <w:tblBorders>
          <w:top w:val="single" w:sz="2" w:space="0" w:color="95B3D7"/>
          <w:bottom w:val="single" w:sz="2" w:space="0" w:color="95B3D7"/>
          <w:insideH w:val="single" w:sz="2" w:space="0" w:color="95B3D7"/>
          <w:insideV w:val="single" w:sz="2" w:space="0" w:color="95B3D7"/>
        </w:tblBorders>
        <w:tblLook w:val="04A0" w:firstRow="1" w:lastRow="0" w:firstColumn="1" w:lastColumn="0" w:noHBand="0" w:noVBand="1"/>
      </w:tblPr>
      <w:tblGrid>
        <w:gridCol w:w="3150"/>
        <w:gridCol w:w="3060"/>
        <w:gridCol w:w="3034"/>
      </w:tblGrid>
      <w:tr w:rsidR="00D86A11">
        <w:trPr>
          <w:trHeight w:val="350"/>
        </w:trPr>
        <w:tc>
          <w:tcPr>
            <w:tcW w:w="9244" w:type="dxa"/>
            <w:gridSpan w:val="3"/>
            <w:tcBorders>
              <w:top w:val="nil"/>
              <w:left w:val="nil"/>
              <w:bottom w:val="single" w:sz="12" w:space="0" w:color="95B3D7"/>
              <w:right w:val="nil"/>
            </w:tcBorders>
            <w:shd w:val="clear" w:color="auto" w:fill="FFFFFF"/>
            <w:vAlign w:val="center"/>
          </w:tcPr>
          <w:p w:rsidR="00D86A11" w:rsidRDefault="00D86A11">
            <w:pPr>
              <w:pStyle w:val="Heading3"/>
              <w:rPr>
                <w:rFonts w:eastAsia="Calibri"/>
                <w:b w:val="0"/>
                <w:bCs/>
              </w:rPr>
            </w:pPr>
            <w:r>
              <w:rPr>
                <w:rFonts w:eastAsia="Calibri"/>
                <w:b w:val="0"/>
                <w:bCs/>
              </w:rPr>
              <w:t>Assessment and Services Themes</w:t>
            </w:r>
          </w:p>
        </w:tc>
      </w:tr>
      <w:tr w:rsidR="00D86A11">
        <w:trPr>
          <w:trHeight w:val="255"/>
        </w:trPr>
        <w:tc>
          <w:tcPr>
            <w:tcW w:w="3150" w:type="dxa"/>
            <w:tcBorders>
              <w:top w:val="single" w:sz="2" w:space="0" w:color="95B3D7"/>
              <w:left w:val="nil"/>
              <w:bottom w:val="single" w:sz="2" w:space="0" w:color="95B3D7"/>
              <w:right w:val="single" w:sz="2" w:space="0" w:color="95B3D7"/>
            </w:tcBorders>
            <w:shd w:val="clear" w:color="auto" w:fill="DBE5F1"/>
          </w:tcPr>
          <w:p w:rsidR="000B1863" w:rsidRDefault="00D86A11">
            <w:pPr>
              <w:pStyle w:val="MediumGrid21"/>
              <w:jc w:val="center"/>
              <w:rPr>
                <w:rFonts w:eastAsia="Calibri"/>
                <w:b/>
                <w:bCs/>
                <w:szCs w:val="22"/>
              </w:rPr>
            </w:pPr>
            <w:r>
              <w:rPr>
                <w:rFonts w:eastAsia="Calibri"/>
                <w:b/>
                <w:bCs/>
                <w:szCs w:val="22"/>
              </w:rPr>
              <w:t>Challenges</w:t>
            </w:r>
          </w:p>
        </w:tc>
        <w:tc>
          <w:tcPr>
            <w:tcW w:w="3060" w:type="dxa"/>
            <w:tcBorders>
              <w:top w:val="single" w:sz="2" w:space="0" w:color="95B3D7"/>
              <w:left w:val="single" w:sz="2" w:space="0" w:color="95B3D7"/>
              <w:bottom w:val="single" w:sz="2" w:space="0" w:color="95B3D7"/>
              <w:right w:val="single" w:sz="2" w:space="0" w:color="95B3D7"/>
            </w:tcBorders>
            <w:shd w:val="clear" w:color="auto" w:fill="DBE5F1"/>
          </w:tcPr>
          <w:p w:rsidR="000B1863" w:rsidRDefault="00D86A11">
            <w:pPr>
              <w:pStyle w:val="MediumGrid21"/>
              <w:jc w:val="center"/>
              <w:rPr>
                <w:rFonts w:eastAsia="Calibri"/>
                <w:b/>
                <w:szCs w:val="22"/>
              </w:rPr>
            </w:pPr>
            <w:r>
              <w:rPr>
                <w:rFonts w:eastAsia="Calibri"/>
                <w:b/>
                <w:szCs w:val="22"/>
              </w:rPr>
              <w:t>Strengths</w:t>
            </w:r>
          </w:p>
        </w:tc>
        <w:tc>
          <w:tcPr>
            <w:tcW w:w="3034" w:type="dxa"/>
            <w:tcBorders>
              <w:top w:val="single" w:sz="2" w:space="0" w:color="95B3D7"/>
              <w:left w:val="single" w:sz="2" w:space="0" w:color="95B3D7"/>
              <w:bottom w:val="single" w:sz="2" w:space="0" w:color="95B3D7"/>
              <w:right w:val="nil"/>
            </w:tcBorders>
            <w:shd w:val="clear" w:color="auto" w:fill="DBE5F1"/>
          </w:tcPr>
          <w:p w:rsidR="000B1863" w:rsidRDefault="00D86A11">
            <w:pPr>
              <w:pStyle w:val="MediumGrid21"/>
              <w:jc w:val="center"/>
              <w:rPr>
                <w:rFonts w:eastAsia="Calibri"/>
                <w:b/>
                <w:szCs w:val="22"/>
              </w:rPr>
            </w:pPr>
            <w:r>
              <w:rPr>
                <w:rFonts w:eastAsia="Calibri"/>
                <w:b/>
                <w:szCs w:val="22"/>
              </w:rPr>
              <w:t>Insights/Best Practices</w:t>
            </w:r>
          </w:p>
        </w:tc>
      </w:tr>
      <w:tr w:rsidR="00D86A11">
        <w:trPr>
          <w:trHeight w:val="143"/>
        </w:trPr>
        <w:tc>
          <w:tcPr>
            <w:tcW w:w="3150" w:type="dxa"/>
            <w:tcBorders>
              <w:top w:val="single" w:sz="2" w:space="0" w:color="95B3D7"/>
              <w:left w:val="nil"/>
              <w:bottom w:val="single" w:sz="2" w:space="0" w:color="95B3D7"/>
              <w:right w:val="single" w:sz="2" w:space="0" w:color="95B3D7"/>
            </w:tcBorders>
          </w:tcPr>
          <w:p w:rsidR="000B1863" w:rsidRDefault="00D86A11">
            <w:pPr>
              <w:pStyle w:val="MediumGrid21"/>
              <w:rPr>
                <w:rFonts w:eastAsia="Calibri"/>
                <w:b/>
                <w:bCs/>
                <w:szCs w:val="22"/>
              </w:rPr>
            </w:pPr>
            <w:r>
              <w:rPr>
                <w:rFonts w:eastAsia="Calibri"/>
                <w:bCs/>
                <w:szCs w:val="22"/>
              </w:rPr>
              <w:t>- Lack of medical coverage</w:t>
            </w:r>
          </w:p>
        </w:tc>
        <w:tc>
          <w:tcPr>
            <w:tcW w:w="3060" w:type="dxa"/>
            <w:tcBorders>
              <w:top w:val="single" w:sz="2" w:space="0" w:color="95B3D7"/>
              <w:left w:val="single" w:sz="2" w:space="0" w:color="95B3D7"/>
              <w:bottom w:val="single" w:sz="2" w:space="0" w:color="95B3D7"/>
              <w:right w:val="single" w:sz="2" w:space="0" w:color="95B3D7"/>
            </w:tcBorders>
          </w:tcPr>
          <w:p w:rsidR="000B1863" w:rsidRDefault="00D86A11">
            <w:pPr>
              <w:pStyle w:val="MediumGrid21"/>
              <w:rPr>
                <w:rFonts w:eastAsia="Calibri"/>
                <w:szCs w:val="22"/>
              </w:rPr>
            </w:pPr>
            <w:r>
              <w:rPr>
                <w:rFonts w:eastAsia="Calibri"/>
                <w:szCs w:val="22"/>
              </w:rPr>
              <w:t>-  Awareness of youth’s educational needs (early enrollment)</w:t>
            </w:r>
          </w:p>
        </w:tc>
        <w:tc>
          <w:tcPr>
            <w:tcW w:w="3034" w:type="dxa"/>
            <w:tcBorders>
              <w:top w:val="single" w:sz="2" w:space="0" w:color="95B3D7"/>
              <w:left w:val="single" w:sz="2" w:space="0" w:color="95B3D7"/>
              <w:bottom w:val="single" w:sz="2" w:space="0" w:color="95B3D7"/>
              <w:right w:val="nil"/>
            </w:tcBorders>
          </w:tcPr>
          <w:p w:rsidR="000B1863" w:rsidRDefault="00D86A11">
            <w:pPr>
              <w:pStyle w:val="MediumGrid21"/>
              <w:rPr>
                <w:rFonts w:eastAsia="Calibri"/>
                <w:szCs w:val="22"/>
              </w:rPr>
            </w:pPr>
            <w:r>
              <w:rPr>
                <w:rFonts w:eastAsia="Calibri"/>
                <w:szCs w:val="22"/>
              </w:rPr>
              <w:t>- Expand strength-based assessments</w:t>
            </w:r>
          </w:p>
        </w:tc>
      </w:tr>
      <w:tr w:rsidR="00D86A11">
        <w:trPr>
          <w:trHeight w:val="305"/>
        </w:trPr>
        <w:tc>
          <w:tcPr>
            <w:tcW w:w="3150" w:type="dxa"/>
            <w:tcBorders>
              <w:top w:val="single" w:sz="2" w:space="0" w:color="95B3D7"/>
              <w:left w:val="nil"/>
              <w:bottom w:val="single" w:sz="2" w:space="0" w:color="95B3D7"/>
              <w:right w:val="single" w:sz="2" w:space="0" w:color="95B3D7"/>
            </w:tcBorders>
            <w:shd w:val="clear" w:color="auto" w:fill="DBE5F1"/>
          </w:tcPr>
          <w:p w:rsidR="000B1863" w:rsidRDefault="00D86A11">
            <w:pPr>
              <w:pStyle w:val="MediumGrid21"/>
              <w:rPr>
                <w:rFonts w:eastAsia="Calibri"/>
                <w:b/>
                <w:bCs/>
                <w:szCs w:val="22"/>
              </w:rPr>
            </w:pPr>
            <w:r>
              <w:rPr>
                <w:rFonts w:eastAsia="Calibri"/>
                <w:bCs/>
                <w:szCs w:val="22"/>
              </w:rPr>
              <w:t>- Lack of appropriate services and follow through based on assessment results</w:t>
            </w:r>
          </w:p>
        </w:tc>
        <w:tc>
          <w:tcPr>
            <w:tcW w:w="3060" w:type="dxa"/>
            <w:tcBorders>
              <w:top w:val="single" w:sz="2" w:space="0" w:color="95B3D7"/>
              <w:left w:val="single" w:sz="2" w:space="0" w:color="95B3D7"/>
              <w:bottom w:val="single" w:sz="2" w:space="0" w:color="95B3D7"/>
              <w:right w:val="single" w:sz="2" w:space="0" w:color="95B3D7"/>
            </w:tcBorders>
            <w:shd w:val="clear" w:color="auto" w:fill="DBE5F1"/>
          </w:tcPr>
          <w:p w:rsidR="000B1863" w:rsidRDefault="00D86A11">
            <w:pPr>
              <w:pStyle w:val="MediumGrid21"/>
              <w:rPr>
                <w:rFonts w:eastAsia="Calibri"/>
                <w:szCs w:val="22"/>
              </w:rPr>
            </w:pPr>
            <w:r>
              <w:rPr>
                <w:rFonts w:eastAsia="Calibri"/>
                <w:szCs w:val="22"/>
              </w:rPr>
              <w:t>- PO/SW communicates with treatment teams</w:t>
            </w:r>
          </w:p>
        </w:tc>
        <w:tc>
          <w:tcPr>
            <w:tcW w:w="3034" w:type="dxa"/>
            <w:tcBorders>
              <w:top w:val="single" w:sz="2" w:space="0" w:color="95B3D7"/>
              <w:left w:val="single" w:sz="2" w:space="0" w:color="95B3D7"/>
              <w:bottom w:val="single" w:sz="2" w:space="0" w:color="95B3D7"/>
              <w:right w:val="nil"/>
            </w:tcBorders>
            <w:shd w:val="clear" w:color="auto" w:fill="DBE5F1"/>
          </w:tcPr>
          <w:p w:rsidR="000B1863" w:rsidRDefault="00D86A11">
            <w:pPr>
              <w:pStyle w:val="MediumGrid21"/>
              <w:rPr>
                <w:rFonts w:eastAsia="Calibri"/>
                <w:szCs w:val="22"/>
              </w:rPr>
            </w:pPr>
            <w:r>
              <w:rPr>
                <w:rFonts w:eastAsia="Calibri"/>
                <w:szCs w:val="22"/>
              </w:rPr>
              <w:t>- Provide sufficient oversight and mentoring around use of assessments</w:t>
            </w:r>
          </w:p>
        </w:tc>
      </w:tr>
      <w:tr w:rsidR="00D86A11">
        <w:trPr>
          <w:trHeight w:val="90"/>
        </w:trPr>
        <w:tc>
          <w:tcPr>
            <w:tcW w:w="3150" w:type="dxa"/>
            <w:tcBorders>
              <w:top w:val="single" w:sz="2" w:space="0" w:color="95B3D7"/>
              <w:left w:val="nil"/>
              <w:bottom w:val="single" w:sz="2" w:space="0" w:color="95B3D7"/>
              <w:right w:val="single" w:sz="2" w:space="0" w:color="95B3D7"/>
            </w:tcBorders>
          </w:tcPr>
          <w:p w:rsidR="000B1863" w:rsidRDefault="00D86A11">
            <w:pPr>
              <w:pStyle w:val="MediumGrid21"/>
              <w:rPr>
                <w:rFonts w:eastAsia="Calibri"/>
                <w:b/>
                <w:bCs/>
                <w:szCs w:val="22"/>
              </w:rPr>
            </w:pPr>
            <w:r>
              <w:rPr>
                <w:rFonts w:eastAsia="Calibri"/>
                <w:bCs/>
                <w:szCs w:val="22"/>
              </w:rPr>
              <w:t xml:space="preserve">- Lack of </w:t>
            </w:r>
            <w:r w:rsidR="00A56CE5">
              <w:rPr>
                <w:rFonts w:eastAsia="Calibri"/>
                <w:bCs/>
                <w:szCs w:val="22"/>
              </w:rPr>
              <w:t>ongoing</w:t>
            </w:r>
            <w:r>
              <w:rPr>
                <w:rFonts w:eastAsia="Calibri"/>
                <w:bCs/>
                <w:szCs w:val="22"/>
              </w:rPr>
              <w:t xml:space="preserve"> risk assessments</w:t>
            </w:r>
          </w:p>
        </w:tc>
        <w:tc>
          <w:tcPr>
            <w:tcW w:w="3060" w:type="dxa"/>
            <w:tcBorders>
              <w:top w:val="single" w:sz="2" w:space="0" w:color="95B3D7"/>
              <w:left w:val="single" w:sz="2" w:space="0" w:color="95B3D7"/>
              <w:bottom w:val="single" w:sz="2" w:space="0" w:color="95B3D7"/>
              <w:right w:val="single" w:sz="2" w:space="0" w:color="95B3D7"/>
            </w:tcBorders>
          </w:tcPr>
          <w:p w:rsidR="000B1863" w:rsidRDefault="00D86A11">
            <w:pPr>
              <w:pStyle w:val="MediumGrid21"/>
              <w:rPr>
                <w:rFonts w:eastAsia="Calibri"/>
                <w:szCs w:val="22"/>
              </w:rPr>
            </w:pPr>
            <w:r>
              <w:rPr>
                <w:rFonts w:eastAsia="Calibri"/>
                <w:szCs w:val="22"/>
              </w:rPr>
              <w:t>- No gaps in services</w:t>
            </w:r>
          </w:p>
        </w:tc>
        <w:tc>
          <w:tcPr>
            <w:tcW w:w="3034" w:type="dxa"/>
            <w:tcBorders>
              <w:top w:val="single" w:sz="2" w:space="0" w:color="95B3D7"/>
              <w:left w:val="single" w:sz="2" w:space="0" w:color="95B3D7"/>
              <w:bottom w:val="single" w:sz="2" w:space="0" w:color="95B3D7"/>
              <w:right w:val="nil"/>
            </w:tcBorders>
          </w:tcPr>
          <w:p w:rsidR="000B1863" w:rsidRDefault="00D86A11">
            <w:pPr>
              <w:pStyle w:val="MediumGrid21"/>
              <w:rPr>
                <w:rFonts w:eastAsia="Calibri"/>
                <w:szCs w:val="22"/>
              </w:rPr>
            </w:pPr>
            <w:r>
              <w:rPr>
                <w:rFonts w:eastAsia="Calibri"/>
                <w:szCs w:val="22"/>
              </w:rPr>
              <w:t>- Ensure assessments guide treatment services</w:t>
            </w:r>
          </w:p>
        </w:tc>
      </w:tr>
      <w:tr w:rsidR="00D86A11">
        <w:trPr>
          <w:trHeight w:val="144"/>
        </w:trPr>
        <w:tc>
          <w:tcPr>
            <w:tcW w:w="3150" w:type="dxa"/>
            <w:tcBorders>
              <w:top w:val="single" w:sz="2" w:space="0" w:color="95B3D7"/>
              <w:left w:val="nil"/>
              <w:bottom w:val="single" w:sz="2" w:space="0" w:color="95B3D7"/>
              <w:right w:val="single" w:sz="2" w:space="0" w:color="95B3D7"/>
            </w:tcBorders>
            <w:shd w:val="clear" w:color="auto" w:fill="DBE5F1"/>
          </w:tcPr>
          <w:p w:rsidR="000B1863" w:rsidRDefault="00D86A11">
            <w:pPr>
              <w:pStyle w:val="MediumGrid21"/>
              <w:rPr>
                <w:rFonts w:eastAsia="Calibri"/>
                <w:b/>
                <w:bCs/>
                <w:szCs w:val="22"/>
              </w:rPr>
            </w:pPr>
            <w:r>
              <w:rPr>
                <w:rFonts w:eastAsia="Calibri"/>
                <w:bCs/>
                <w:szCs w:val="22"/>
              </w:rPr>
              <w:t>- Youth behavioral health issues</w:t>
            </w:r>
          </w:p>
        </w:tc>
        <w:tc>
          <w:tcPr>
            <w:tcW w:w="3060" w:type="dxa"/>
            <w:tcBorders>
              <w:top w:val="single" w:sz="2" w:space="0" w:color="95B3D7"/>
              <w:left w:val="single" w:sz="2" w:space="0" w:color="95B3D7"/>
              <w:bottom w:val="single" w:sz="2" w:space="0" w:color="95B3D7"/>
              <w:right w:val="single" w:sz="2" w:space="0" w:color="95B3D7"/>
            </w:tcBorders>
            <w:shd w:val="clear" w:color="auto" w:fill="DBE5F1"/>
          </w:tcPr>
          <w:p w:rsidR="000B1863" w:rsidRDefault="00D86A11">
            <w:pPr>
              <w:pStyle w:val="MediumGrid21"/>
              <w:rPr>
                <w:rFonts w:eastAsia="Calibri"/>
                <w:szCs w:val="22"/>
              </w:rPr>
            </w:pPr>
            <w:r>
              <w:rPr>
                <w:rFonts w:eastAsia="Calibri"/>
                <w:szCs w:val="22"/>
              </w:rPr>
              <w:t>- Quickly identify family needs</w:t>
            </w:r>
          </w:p>
        </w:tc>
        <w:tc>
          <w:tcPr>
            <w:tcW w:w="3034" w:type="dxa"/>
            <w:tcBorders>
              <w:top w:val="single" w:sz="2" w:space="0" w:color="95B3D7"/>
              <w:left w:val="single" w:sz="2" w:space="0" w:color="95B3D7"/>
              <w:bottom w:val="single" w:sz="2" w:space="0" w:color="95B3D7"/>
              <w:right w:val="nil"/>
            </w:tcBorders>
            <w:shd w:val="clear" w:color="auto" w:fill="DBE5F1"/>
          </w:tcPr>
          <w:p w:rsidR="000B1863" w:rsidRDefault="00D86A11">
            <w:pPr>
              <w:pStyle w:val="MediumGrid21"/>
              <w:rPr>
                <w:rFonts w:eastAsia="Calibri"/>
                <w:szCs w:val="22"/>
              </w:rPr>
            </w:pPr>
            <w:r>
              <w:rPr>
                <w:rFonts w:eastAsia="Calibri"/>
                <w:szCs w:val="22"/>
              </w:rPr>
              <w:t>- Assess for the need of WRAP</w:t>
            </w:r>
          </w:p>
        </w:tc>
      </w:tr>
      <w:tr w:rsidR="00D86A11">
        <w:trPr>
          <w:trHeight w:val="90"/>
        </w:trPr>
        <w:tc>
          <w:tcPr>
            <w:tcW w:w="3150" w:type="dxa"/>
            <w:tcBorders>
              <w:top w:val="single" w:sz="2" w:space="0" w:color="95B3D7"/>
              <w:left w:val="nil"/>
              <w:bottom w:val="single" w:sz="2" w:space="0" w:color="95B3D7"/>
              <w:right w:val="single" w:sz="2" w:space="0" w:color="95B3D7"/>
            </w:tcBorders>
          </w:tcPr>
          <w:p w:rsidR="000B1863" w:rsidRDefault="00D86A11">
            <w:pPr>
              <w:pStyle w:val="MediumGrid21"/>
              <w:rPr>
                <w:rFonts w:eastAsia="Calibri"/>
                <w:b/>
                <w:bCs/>
                <w:szCs w:val="22"/>
              </w:rPr>
            </w:pPr>
            <w:r>
              <w:rPr>
                <w:rFonts w:eastAsia="Calibri"/>
                <w:bCs/>
                <w:szCs w:val="22"/>
              </w:rPr>
              <w:t>- Parent not willing to engage in services</w:t>
            </w:r>
          </w:p>
        </w:tc>
        <w:tc>
          <w:tcPr>
            <w:tcW w:w="3060" w:type="dxa"/>
            <w:tcBorders>
              <w:top w:val="single" w:sz="2" w:space="0" w:color="95B3D7"/>
              <w:left w:val="single" w:sz="2" w:space="0" w:color="95B3D7"/>
              <w:bottom w:val="single" w:sz="2" w:space="0" w:color="95B3D7"/>
              <w:right w:val="single" w:sz="2" w:space="0" w:color="95B3D7"/>
            </w:tcBorders>
          </w:tcPr>
          <w:p w:rsidR="000B1863" w:rsidRDefault="00D86A11">
            <w:pPr>
              <w:pStyle w:val="MediumGrid21"/>
              <w:rPr>
                <w:rFonts w:eastAsia="Calibri"/>
                <w:szCs w:val="22"/>
              </w:rPr>
            </w:pPr>
            <w:r>
              <w:rPr>
                <w:rFonts w:eastAsia="Calibri"/>
                <w:szCs w:val="22"/>
              </w:rPr>
              <w:t>- Parental voice in case planning</w:t>
            </w:r>
          </w:p>
        </w:tc>
        <w:tc>
          <w:tcPr>
            <w:tcW w:w="3034" w:type="dxa"/>
            <w:tcBorders>
              <w:top w:val="single" w:sz="2" w:space="0" w:color="95B3D7"/>
              <w:left w:val="single" w:sz="2" w:space="0" w:color="95B3D7"/>
              <w:bottom w:val="single" w:sz="2" w:space="0" w:color="95B3D7"/>
              <w:right w:val="nil"/>
            </w:tcBorders>
          </w:tcPr>
          <w:p w:rsidR="000B1863" w:rsidRDefault="00D86A11">
            <w:pPr>
              <w:pStyle w:val="MediumGrid21"/>
              <w:rPr>
                <w:rFonts w:eastAsia="Calibri"/>
                <w:szCs w:val="22"/>
              </w:rPr>
            </w:pPr>
            <w:r>
              <w:rPr>
                <w:rFonts w:eastAsia="Calibri"/>
                <w:szCs w:val="22"/>
              </w:rPr>
              <w:t>- Ongoing communication with schools</w:t>
            </w:r>
          </w:p>
        </w:tc>
      </w:tr>
      <w:tr w:rsidR="00D86A11">
        <w:trPr>
          <w:trHeight w:val="543"/>
        </w:trPr>
        <w:tc>
          <w:tcPr>
            <w:tcW w:w="3150" w:type="dxa"/>
            <w:tcBorders>
              <w:top w:val="single" w:sz="2" w:space="0" w:color="95B3D7"/>
              <w:left w:val="nil"/>
              <w:bottom w:val="single" w:sz="2" w:space="0" w:color="95B3D7"/>
              <w:right w:val="single" w:sz="2" w:space="0" w:color="95B3D7"/>
            </w:tcBorders>
            <w:shd w:val="clear" w:color="auto" w:fill="DBE5F1"/>
          </w:tcPr>
          <w:p w:rsidR="000B1863" w:rsidRDefault="00D86A11">
            <w:pPr>
              <w:pStyle w:val="MediumGrid21"/>
              <w:rPr>
                <w:rFonts w:eastAsia="Calibri"/>
                <w:b/>
                <w:bCs/>
                <w:szCs w:val="22"/>
              </w:rPr>
            </w:pPr>
            <w:r>
              <w:rPr>
                <w:rFonts w:eastAsia="Calibri"/>
                <w:bCs/>
                <w:szCs w:val="22"/>
              </w:rPr>
              <w:t>- Immigration and legal residency of youth and family</w:t>
            </w:r>
          </w:p>
        </w:tc>
        <w:tc>
          <w:tcPr>
            <w:tcW w:w="3060" w:type="dxa"/>
            <w:tcBorders>
              <w:top w:val="single" w:sz="2" w:space="0" w:color="95B3D7"/>
              <w:left w:val="single" w:sz="2" w:space="0" w:color="95B3D7"/>
              <w:bottom w:val="single" w:sz="2" w:space="0" w:color="95B3D7"/>
              <w:right w:val="single" w:sz="2" w:space="0" w:color="95B3D7"/>
            </w:tcBorders>
            <w:shd w:val="clear" w:color="auto" w:fill="DBE5F1"/>
          </w:tcPr>
          <w:p w:rsidR="000B1863" w:rsidRDefault="00D86A11">
            <w:pPr>
              <w:pStyle w:val="MediumGrid21"/>
              <w:rPr>
                <w:rFonts w:eastAsia="Calibri"/>
                <w:szCs w:val="22"/>
              </w:rPr>
            </w:pPr>
            <w:r>
              <w:rPr>
                <w:rFonts w:eastAsia="Calibri"/>
                <w:szCs w:val="22"/>
              </w:rPr>
              <w:t>- Use of developmental and behavioral assessments</w:t>
            </w:r>
          </w:p>
        </w:tc>
        <w:tc>
          <w:tcPr>
            <w:tcW w:w="3034" w:type="dxa"/>
            <w:tcBorders>
              <w:top w:val="single" w:sz="2" w:space="0" w:color="95B3D7"/>
              <w:left w:val="single" w:sz="2" w:space="0" w:color="95B3D7"/>
              <w:bottom w:val="single" w:sz="2" w:space="0" w:color="95B3D7"/>
              <w:right w:val="nil"/>
            </w:tcBorders>
            <w:shd w:val="clear" w:color="auto" w:fill="DBE5F1"/>
          </w:tcPr>
          <w:p w:rsidR="000B1863" w:rsidRDefault="00D86A11">
            <w:pPr>
              <w:pStyle w:val="MediumGrid21"/>
              <w:rPr>
                <w:rFonts w:eastAsia="Calibri"/>
                <w:szCs w:val="22"/>
              </w:rPr>
            </w:pPr>
            <w:r>
              <w:rPr>
                <w:rFonts w:eastAsia="Calibri"/>
                <w:szCs w:val="22"/>
              </w:rPr>
              <w:t>- Knowledge of resources</w:t>
            </w:r>
          </w:p>
        </w:tc>
      </w:tr>
      <w:tr w:rsidR="00D86A11">
        <w:trPr>
          <w:trHeight w:val="90"/>
        </w:trPr>
        <w:tc>
          <w:tcPr>
            <w:tcW w:w="3150" w:type="dxa"/>
            <w:tcBorders>
              <w:top w:val="single" w:sz="2" w:space="0" w:color="95B3D7"/>
              <w:left w:val="nil"/>
              <w:bottom w:val="single" w:sz="2" w:space="0" w:color="95B3D7"/>
              <w:right w:val="single" w:sz="2" w:space="0" w:color="95B3D7"/>
            </w:tcBorders>
          </w:tcPr>
          <w:p w:rsidR="000B1863" w:rsidRDefault="00D86A11">
            <w:pPr>
              <w:pStyle w:val="MediumGrid21"/>
              <w:rPr>
                <w:rFonts w:eastAsia="Calibri"/>
                <w:b/>
                <w:bCs/>
                <w:szCs w:val="22"/>
              </w:rPr>
            </w:pPr>
            <w:r>
              <w:rPr>
                <w:rFonts w:eastAsia="Calibri"/>
                <w:bCs/>
                <w:szCs w:val="22"/>
              </w:rPr>
              <w:t>- Parental substance use</w:t>
            </w:r>
          </w:p>
        </w:tc>
        <w:tc>
          <w:tcPr>
            <w:tcW w:w="3060" w:type="dxa"/>
            <w:tcBorders>
              <w:top w:val="single" w:sz="2" w:space="0" w:color="95B3D7"/>
              <w:left w:val="single" w:sz="2" w:space="0" w:color="95B3D7"/>
              <w:bottom w:val="single" w:sz="2" w:space="0" w:color="95B3D7"/>
              <w:right w:val="single" w:sz="2" w:space="0" w:color="95B3D7"/>
            </w:tcBorders>
          </w:tcPr>
          <w:p w:rsidR="002B386D" w:rsidRDefault="00D86A11">
            <w:pPr>
              <w:pStyle w:val="MediumGrid21"/>
              <w:rPr>
                <w:rFonts w:eastAsia="Calibri"/>
                <w:szCs w:val="22"/>
              </w:rPr>
            </w:pPr>
            <w:r>
              <w:rPr>
                <w:rFonts w:eastAsia="Calibri"/>
                <w:szCs w:val="22"/>
              </w:rPr>
              <w:t xml:space="preserve">- Youth </w:t>
            </w:r>
            <w:r w:rsidR="00A56CE5">
              <w:rPr>
                <w:rFonts w:eastAsia="Calibri"/>
                <w:szCs w:val="22"/>
              </w:rPr>
              <w:t>psychological evaluations</w:t>
            </w:r>
          </w:p>
          <w:p w:rsidR="000B1863" w:rsidRDefault="002B386D">
            <w:pPr>
              <w:pStyle w:val="MediumGrid21"/>
              <w:rPr>
                <w:rFonts w:eastAsia="Calibri"/>
                <w:szCs w:val="22"/>
              </w:rPr>
            </w:pPr>
            <w:r>
              <w:rPr>
                <w:rFonts w:eastAsia="Calibri"/>
                <w:szCs w:val="22"/>
              </w:rPr>
              <w:t xml:space="preserve">- </w:t>
            </w:r>
            <w:r w:rsidR="00D86A11">
              <w:rPr>
                <w:rFonts w:eastAsia="Calibri"/>
                <w:szCs w:val="22"/>
              </w:rPr>
              <w:t>psych evals prior to placement</w:t>
            </w:r>
          </w:p>
        </w:tc>
        <w:tc>
          <w:tcPr>
            <w:tcW w:w="3034" w:type="dxa"/>
            <w:tcBorders>
              <w:top w:val="single" w:sz="2" w:space="0" w:color="95B3D7"/>
              <w:left w:val="single" w:sz="2" w:space="0" w:color="95B3D7"/>
              <w:bottom w:val="single" w:sz="2" w:space="0" w:color="95B3D7"/>
              <w:right w:val="nil"/>
            </w:tcBorders>
          </w:tcPr>
          <w:p w:rsidR="000B1863" w:rsidRDefault="00D86A11">
            <w:pPr>
              <w:pStyle w:val="MediumGrid21"/>
              <w:rPr>
                <w:rFonts w:eastAsia="Calibri"/>
                <w:szCs w:val="22"/>
              </w:rPr>
            </w:pPr>
            <w:r>
              <w:rPr>
                <w:rFonts w:eastAsia="Calibri"/>
                <w:szCs w:val="22"/>
              </w:rPr>
              <w:t>- County use of EBP</w:t>
            </w:r>
          </w:p>
        </w:tc>
      </w:tr>
      <w:tr w:rsidR="00D86A11">
        <w:trPr>
          <w:trHeight w:val="90"/>
        </w:trPr>
        <w:tc>
          <w:tcPr>
            <w:tcW w:w="3150" w:type="dxa"/>
            <w:tcBorders>
              <w:top w:val="single" w:sz="2" w:space="0" w:color="95B3D7"/>
              <w:left w:val="nil"/>
              <w:bottom w:val="single" w:sz="2" w:space="0" w:color="95B3D7"/>
              <w:right w:val="single" w:sz="2" w:space="0" w:color="95B3D7"/>
            </w:tcBorders>
            <w:shd w:val="clear" w:color="auto" w:fill="DBE5F1"/>
          </w:tcPr>
          <w:p w:rsidR="000B1863" w:rsidRDefault="00D86A11">
            <w:pPr>
              <w:pStyle w:val="MediumGrid21"/>
              <w:rPr>
                <w:rFonts w:eastAsia="Calibri"/>
                <w:b/>
                <w:bCs/>
                <w:szCs w:val="22"/>
              </w:rPr>
            </w:pPr>
            <w:r>
              <w:rPr>
                <w:rFonts w:eastAsia="Calibri"/>
                <w:bCs/>
                <w:szCs w:val="22"/>
              </w:rPr>
              <w:t>- Parental incarceration</w:t>
            </w:r>
          </w:p>
        </w:tc>
        <w:tc>
          <w:tcPr>
            <w:tcW w:w="3060" w:type="dxa"/>
            <w:tcBorders>
              <w:top w:val="single" w:sz="2" w:space="0" w:color="95B3D7"/>
              <w:left w:val="single" w:sz="2" w:space="0" w:color="95B3D7"/>
              <w:bottom w:val="single" w:sz="2" w:space="0" w:color="95B3D7"/>
              <w:right w:val="single" w:sz="2" w:space="0" w:color="95B3D7"/>
            </w:tcBorders>
            <w:shd w:val="clear" w:color="auto" w:fill="DBE5F1"/>
          </w:tcPr>
          <w:p w:rsidR="000B1863" w:rsidRDefault="000B1863">
            <w:pPr>
              <w:pStyle w:val="MediumGrid21"/>
              <w:rPr>
                <w:rFonts w:eastAsia="Calibri"/>
                <w:szCs w:val="22"/>
              </w:rPr>
            </w:pPr>
          </w:p>
        </w:tc>
        <w:tc>
          <w:tcPr>
            <w:tcW w:w="3034" w:type="dxa"/>
            <w:tcBorders>
              <w:top w:val="single" w:sz="2" w:space="0" w:color="95B3D7"/>
              <w:left w:val="single" w:sz="2" w:space="0" w:color="95B3D7"/>
              <w:bottom w:val="single" w:sz="2" w:space="0" w:color="95B3D7"/>
              <w:right w:val="nil"/>
            </w:tcBorders>
            <w:shd w:val="clear" w:color="auto" w:fill="DBE5F1"/>
          </w:tcPr>
          <w:p w:rsidR="000B1863" w:rsidRDefault="000B1863">
            <w:pPr>
              <w:pStyle w:val="MediumGrid21"/>
              <w:rPr>
                <w:rFonts w:eastAsia="Calibri"/>
                <w:szCs w:val="22"/>
              </w:rPr>
            </w:pPr>
          </w:p>
        </w:tc>
      </w:tr>
    </w:tbl>
    <w:p w:rsidR="000B1863" w:rsidRDefault="000B1863">
      <w:pPr>
        <w:pStyle w:val="MediumGrid21"/>
      </w:pPr>
    </w:p>
    <w:tbl>
      <w:tblPr>
        <w:tblW w:w="9244" w:type="dxa"/>
        <w:tblBorders>
          <w:top w:val="single" w:sz="2" w:space="0" w:color="FABF8F"/>
          <w:bottom w:val="single" w:sz="2" w:space="0" w:color="FABF8F"/>
          <w:insideH w:val="single" w:sz="2" w:space="0" w:color="FABF8F"/>
          <w:insideV w:val="single" w:sz="2" w:space="0" w:color="FABF8F"/>
        </w:tblBorders>
        <w:tblLook w:val="04A0" w:firstRow="1" w:lastRow="0" w:firstColumn="1" w:lastColumn="0" w:noHBand="0" w:noVBand="1"/>
      </w:tblPr>
      <w:tblGrid>
        <w:gridCol w:w="3150"/>
        <w:gridCol w:w="3060"/>
        <w:gridCol w:w="3034"/>
      </w:tblGrid>
      <w:tr w:rsidR="00D86A11">
        <w:trPr>
          <w:trHeight w:val="255"/>
        </w:trPr>
        <w:tc>
          <w:tcPr>
            <w:tcW w:w="9244" w:type="dxa"/>
            <w:gridSpan w:val="3"/>
            <w:tcBorders>
              <w:top w:val="nil"/>
              <w:left w:val="nil"/>
              <w:bottom w:val="single" w:sz="12" w:space="0" w:color="FABF8F"/>
              <w:right w:val="nil"/>
            </w:tcBorders>
            <w:shd w:val="clear" w:color="auto" w:fill="FFFFFF"/>
            <w:vAlign w:val="center"/>
          </w:tcPr>
          <w:p w:rsidR="00D86A11" w:rsidRDefault="00D86A11">
            <w:pPr>
              <w:pStyle w:val="Heading3"/>
              <w:rPr>
                <w:rFonts w:eastAsia="Calibri"/>
                <w:b w:val="0"/>
                <w:bCs/>
              </w:rPr>
            </w:pPr>
            <w:r>
              <w:rPr>
                <w:rFonts w:eastAsia="Calibri"/>
                <w:b w:val="0"/>
                <w:bCs/>
              </w:rPr>
              <w:lastRenderedPageBreak/>
              <w:t>Engagement Themes</w:t>
            </w:r>
          </w:p>
        </w:tc>
      </w:tr>
      <w:tr w:rsidR="00D86A11">
        <w:trPr>
          <w:trHeight w:val="255"/>
        </w:trPr>
        <w:tc>
          <w:tcPr>
            <w:tcW w:w="3150"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jc w:val="center"/>
              <w:rPr>
                <w:rFonts w:eastAsia="Calibri"/>
                <w:b/>
                <w:bCs/>
                <w:szCs w:val="22"/>
              </w:rPr>
            </w:pPr>
            <w:r>
              <w:rPr>
                <w:rFonts w:eastAsia="Calibri"/>
                <w:b/>
                <w:bCs/>
                <w:szCs w:val="22"/>
              </w:rPr>
              <w:t>Challenges</w:t>
            </w:r>
          </w:p>
        </w:tc>
        <w:tc>
          <w:tcPr>
            <w:tcW w:w="3060"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jc w:val="center"/>
              <w:rPr>
                <w:rFonts w:eastAsia="Calibri"/>
                <w:b/>
                <w:szCs w:val="22"/>
              </w:rPr>
            </w:pPr>
            <w:r>
              <w:rPr>
                <w:rFonts w:eastAsia="Calibri"/>
                <w:b/>
                <w:szCs w:val="22"/>
              </w:rPr>
              <w:t>Strengths</w:t>
            </w:r>
          </w:p>
        </w:tc>
        <w:tc>
          <w:tcPr>
            <w:tcW w:w="3034" w:type="dxa"/>
            <w:tcBorders>
              <w:top w:val="single" w:sz="2" w:space="0" w:color="FABF8F"/>
              <w:left w:val="single" w:sz="2" w:space="0" w:color="FABF8F"/>
              <w:bottom w:val="single" w:sz="2" w:space="0" w:color="FABF8F"/>
              <w:right w:val="nil"/>
            </w:tcBorders>
            <w:shd w:val="clear" w:color="auto" w:fill="FDE9D9"/>
          </w:tcPr>
          <w:p w:rsidR="000B1863" w:rsidRDefault="00D86A11">
            <w:pPr>
              <w:pStyle w:val="MediumGrid21"/>
              <w:jc w:val="center"/>
              <w:rPr>
                <w:rFonts w:eastAsia="Calibri"/>
                <w:b/>
                <w:szCs w:val="22"/>
              </w:rPr>
            </w:pPr>
            <w:r>
              <w:rPr>
                <w:rFonts w:eastAsia="Calibri"/>
                <w:b/>
                <w:szCs w:val="22"/>
              </w:rPr>
              <w:t>Insights/Best Practices</w:t>
            </w:r>
          </w:p>
        </w:tc>
      </w:tr>
      <w:tr w:rsidR="00D86A11">
        <w:trPr>
          <w:trHeight w:val="143"/>
        </w:trPr>
        <w:tc>
          <w:tcPr>
            <w:tcW w:w="3150" w:type="dxa"/>
            <w:tcBorders>
              <w:top w:val="single" w:sz="2" w:space="0" w:color="FABF8F"/>
              <w:left w:val="nil"/>
              <w:bottom w:val="single" w:sz="2" w:space="0" w:color="FABF8F"/>
              <w:right w:val="single" w:sz="2" w:space="0" w:color="FABF8F"/>
            </w:tcBorders>
          </w:tcPr>
          <w:p w:rsidR="000B1863" w:rsidRDefault="00D86A11">
            <w:pPr>
              <w:pStyle w:val="MediumGrid21"/>
              <w:rPr>
                <w:rFonts w:eastAsia="Calibri"/>
                <w:b/>
                <w:bCs/>
                <w:szCs w:val="22"/>
              </w:rPr>
            </w:pPr>
            <w:r>
              <w:rPr>
                <w:rFonts w:eastAsia="Calibri"/>
                <w:bCs/>
                <w:szCs w:val="22"/>
              </w:rPr>
              <w:t>- No face to face PO/parental contact</w:t>
            </w:r>
          </w:p>
        </w:tc>
        <w:tc>
          <w:tcPr>
            <w:tcW w:w="3060"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Positive relationship between PO/SW, child, and family</w:t>
            </w:r>
          </w:p>
        </w:tc>
        <w:tc>
          <w:tcPr>
            <w:tcW w:w="3034" w:type="dxa"/>
            <w:tcBorders>
              <w:top w:val="single" w:sz="2" w:space="0" w:color="FABF8F"/>
              <w:left w:val="single" w:sz="2" w:space="0" w:color="FABF8F"/>
              <w:bottom w:val="single" w:sz="2" w:space="0" w:color="FABF8F"/>
              <w:right w:val="nil"/>
            </w:tcBorders>
          </w:tcPr>
          <w:p w:rsidR="000B1863" w:rsidRDefault="00D86A11">
            <w:pPr>
              <w:pStyle w:val="MediumGrid21"/>
              <w:rPr>
                <w:rFonts w:eastAsia="Calibri"/>
                <w:szCs w:val="22"/>
              </w:rPr>
            </w:pPr>
            <w:r>
              <w:rPr>
                <w:rFonts w:eastAsia="Calibri"/>
                <w:szCs w:val="22"/>
              </w:rPr>
              <w:t>- Meet with youth in multiple locations/settings and alone</w:t>
            </w:r>
          </w:p>
        </w:tc>
      </w:tr>
      <w:tr w:rsidR="00D86A11">
        <w:trPr>
          <w:trHeight w:val="305"/>
        </w:trPr>
        <w:tc>
          <w:tcPr>
            <w:tcW w:w="3150"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rPr>
                <w:rFonts w:eastAsia="Calibri"/>
                <w:b/>
                <w:bCs/>
                <w:szCs w:val="22"/>
              </w:rPr>
            </w:pPr>
            <w:r>
              <w:rPr>
                <w:rFonts w:eastAsia="Calibri"/>
                <w:bCs/>
                <w:szCs w:val="22"/>
              </w:rPr>
              <w:t>- PO not visiting parent home</w:t>
            </w:r>
          </w:p>
        </w:tc>
        <w:tc>
          <w:tcPr>
            <w:tcW w:w="3060"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rPr>
                <w:rFonts w:eastAsia="Calibri"/>
                <w:szCs w:val="22"/>
              </w:rPr>
            </w:pPr>
            <w:r>
              <w:rPr>
                <w:rFonts w:eastAsia="Calibri"/>
                <w:szCs w:val="22"/>
              </w:rPr>
              <w:t>- Ensuring voice of child in case planning</w:t>
            </w:r>
          </w:p>
        </w:tc>
        <w:tc>
          <w:tcPr>
            <w:tcW w:w="3034" w:type="dxa"/>
            <w:tcBorders>
              <w:top w:val="single" w:sz="2" w:space="0" w:color="FABF8F"/>
              <w:left w:val="single" w:sz="2" w:space="0" w:color="FABF8F"/>
              <w:bottom w:val="single" w:sz="2" w:space="0" w:color="FABF8F"/>
              <w:right w:val="nil"/>
            </w:tcBorders>
            <w:shd w:val="clear" w:color="auto" w:fill="FDE9D9"/>
          </w:tcPr>
          <w:p w:rsidR="000B1863" w:rsidRDefault="00D86A11">
            <w:pPr>
              <w:pStyle w:val="MediumGrid21"/>
              <w:rPr>
                <w:rFonts w:eastAsia="Calibri"/>
                <w:szCs w:val="22"/>
              </w:rPr>
            </w:pPr>
            <w:r>
              <w:rPr>
                <w:rFonts w:eastAsia="Calibri"/>
                <w:szCs w:val="22"/>
              </w:rPr>
              <w:t>- Develop relationship with youth early and provide ongoing communication</w:t>
            </w:r>
          </w:p>
        </w:tc>
      </w:tr>
      <w:tr w:rsidR="00D86A11">
        <w:trPr>
          <w:trHeight w:val="90"/>
        </w:trPr>
        <w:tc>
          <w:tcPr>
            <w:tcW w:w="3150" w:type="dxa"/>
            <w:tcBorders>
              <w:top w:val="single" w:sz="2" w:space="0" w:color="FABF8F"/>
              <w:left w:val="nil"/>
              <w:bottom w:val="single" w:sz="2" w:space="0" w:color="FABF8F"/>
              <w:right w:val="single" w:sz="2" w:space="0" w:color="FABF8F"/>
            </w:tcBorders>
          </w:tcPr>
          <w:p w:rsidR="000B1863" w:rsidRDefault="00D86A11">
            <w:pPr>
              <w:pStyle w:val="MediumGrid21"/>
              <w:rPr>
                <w:rFonts w:eastAsia="Calibri"/>
                <w:b/>
                <w:bCs/>
                <w:szCs w:val="22"/>
              </w:rPr>
            </w:pPr>
            <w:r>
              <w:rPr>
                <w:rFonts w:eastAsia="Calibri"/>
                <w:bCs/>
                <w:szCs w:val="22"/>
              </w:rPr>
              <w:t>- Lack of community connections or after care services</w:t>
            </w:r>
          </w:p>
        </w:tc>
        <w:tc>
          <w:tcPr>
            <w:tcW w:w="3060"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Tailored case plan</w:t>
            </w:r>
          </w:p>
        </w:tc>
        <w:tc>
          <w:tcPr>
            <w:tcW w:w="3034" w:type="dxa"/>
            <w:tcBorders>
              <w:top w:val="single" w:sz="2" w:space="0" w:color="FABF8F"/>
              <w:left w:val="single" w:sz="2" w:space="0" w:color="FABF8F"/>
              <w:bottom w:val="single" w:sz="2" w:space="0" w:color="FABF8F"/>
              <w:right w:val="nil"/>
            </w:tcBorders>
          </w:tcPr>
          <w:p w:rsidR="000B1863" w:rsidRDefault="00D86A11">
            <w:pPr>
              <w:pStyle w:val="MediumGrid21"/>
              <w:rPr>
                <w:rFonts w:eastAsia="Calibri"/>
                <w:szCs w:val="22"/>
              </w:rPr>
            </w:pPr>
            <w:r>
              <w:rPr>
                <w:rFonts w:eastAsia="Calibri"/>
                <w:szCs w:val="22"/>
              </w:rPr>
              <w:t>- Discuss case plan with parents monthly</w:t>
            </w:r>
          </w:p>
        </w:tc>
      </w:tr>
      <w:tr w:rsidR="00D86A11">
        <w:trPr>
          <w:trHeight w:val="144"/>
        </w:trPr>
        <w:tc>
          <w:tcPr>
            <w:tcW w:w="3150"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rPr>
                <w:rFonts w:eastAsia="Calibri"/>
                <w:b/>
                <w:bCs/>
                <w:szCs w:val="22"/>
              </w:rPr>
            </w:pPr>
            <w:r>
              <w:rPr>
                <w:rFonts w:eastAsia="Calibri"/>
                <w:bCs/>
                <w:szCs w:val="22"/>
              </w:rPr>
              <w:t>- Lack of parental involvement</w:t>
            </w:r>
          </w:p>
        </w:tc>
        <w:tc>
          <w:tcPr>
            <w:tcW w:w="3060"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rPr>
                <w:rFonts w:eastAsia="Calibri"/>
                <w:szCs w:val="22"/>
              </w:rPr>
            </w:pPr>
            <w:r>
              <w:rPr>
                <w:rFonts w:eastAsia="Calibri"/>
                <w:szCs w:val="22"/>
              </w:rPr>
              <w:t>- SW’s transparent in what to expect</w:t>
            </w:r>
          </w:p>
        </w:tc>
        <w:tc>
          <w:tcPr>
            <w:tcW w:w="3034" w:type="dxa"/>
            <w:tcBorders>
              <w:top w:val="single" w:sz="2" w:space="0" w:color="FABF8F"/>
              <w:left w:val="single" w:sz="2" w:space="0" w:color="FABF8F"/>
              <w:bottom w:val="single" w:sz="2" w:space="0" w:color="FABF8F"/>
              <w:right w:val="nil"/>
            </w:tcBorders>
            <w:shd w:val="clear" w:color="auto" w:fill="FDE9D9"/>
          </w:tcPr>
          <w:p w:rsidR="000B1863" w:rsidRDefault="00D86A11">
            <w:pPr>
              <w:pStyle w:val="MediumGrid21"/>
              <w:rPr>
                <w:rFonts w:eastAsia="Calibri"/>
                <w:szCs w:val="22"/>
              </w:rPr>
            </w:pPr>
            <w:r>
              <w:rPr>
                <w:rFonts w:eastAsia="Calibri"/>
                <w:szCs w:val="22"/>
              </w:rPr>
              <w:t>- Connect families with formal and informal supports</w:t>
            </w:r>
          </w:p>
        </w:tc>
      </w:tr>
      <w:tr w:rsidR="00D86A11">
        <w:trPr>
          <w:trHeight w:val="90"/>
        </w:trPr>
        <w:tc>
          <w:tcPr>
            <w:tcW w:w="3150" w:type="dxa"/>
            <w:tcBorders>
              <w:top w:val="single" w:sz="2" w:space="0" w:color="FABF8F"/>
              <w:left w:val="nil"/>
              <w:bottom w:val="single" w:sz="2" w:space="0" w:color="FABF8F"/>
              <w:right w:val="single" w:sz="2" w:space="0" w:color="FABF8F"/>
            </w:tcBorders>
          </w:tcPr>
          <w:p w:rsidR="000B1863" w:rsidRDefault="00D86A11">
            <w:pPr>
              <w:pStyle w:val="MediumGrid21"/>
              <w:rPr>
                <w:rFonts w:eastAsia="Calibri"/>
                <w:b/>
                <w:bCs/>
                <w:szCs w:val="22"/>
              </w:rPr>
            </w:pPr>
            <w:r>
              <w:rPr>
                <w:rFonts w:eastAsia="Calibri"/>
                <w:bCs/>
                <w:szCs w:val="22"/>
              </w:rPr>
              <w:t>- TDM not utilized</w:t>
            </w:r>
          </w:p>
        </w:tc>
        <w:tc>
          <w:tcPr>
            <w:tcW w:w="3060"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Resource planning</w:t>
            </w:r>
          </w:p>
        </w:tc>
        <w:tc>
          <w:tcPr>
            <w:tcW w:w="3034" w:type="dxa"/>
            <w:tcBorders>
              <w:top w:val="single" w:sz="2" w:space="0" w:color="FABF8F"/>
              <w:left w:val="single" w:sz="2" w:space="0" w:color="FABF8F"/>
              <w:bottom w:val="single" w:sz="2" w:space="0" w:color="FABF8F"/>
              <w:right w:val="nil"/>
            </w:tcBorders>
          </w:tcPr>
          <w:p w:rsidR="000B1863" w:rsidRDefault="00D86A11">
            <w:pPr>
              <w:pStyle w:val="MediumGrid21"/>
              <w:rPr>
                <w:rFonts w:eastAsia="Calibri"/>
                <w:szCs w:val="22"/>
              </w:rPr>
            </w:pPr>
            <w:r>
              <w:rPr>
                <w:rFonts w:eastAsia="Calibri"/>
                <w:szCs w:val="22"/>
              </w:rPr>
              <w:t>- TDM with support network</w:t>
            </w:r>
          </w:p>
        </w:tc>
      </w:tr>
      <w:tr w:rsidR="00D86A11">
        <w:trPr>
          <w:trHeight w:val="144"/>
        </w:trPr>
        <w:tc>
          <w:tcPr>
            <w:tcW w:w="3150"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rPr>
                <w:rFonts w:eastAsia="Calibri"/>
                <w:b/>
                <w:bCs/>
                <w:szCs w:val="22"/>
              </w:rPr>
            </w:pPr>
            <w:r>
              <w:rPr>
                <w:rFonts w:eastAsia="Calibri"/>
                <w:bCs/>
                <w:szCs w:val="22"/>
              </w:rPr>
              <w:t>- Premature case determination</w:t>
            </w:r>
          </w:p>
        </w:tc>
        <w:tc>
          <w:tcPr>
            <w:tcW w:w="3060"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rPr>
                <w:rFonts w:eastAsia="Calibri"/>
                <w:szCs w:val="22"/>
              </w:rPr>
            </w:pPr>
            <w:r>
              <w:rPr>
                <w:rFonts w:eastAsia="Calibri"/>
                <w:szCs w:val="22"/>
              </w:rPr>
              <w:t>- Support networks</w:t>
            </w:r>
          </w:p>
        </w:tc>
        <w:tc>
          <w:tcPr>
            <w:tcW w:w="3034" w:type="dxa"/>
            <w:tcBorders>
              <w:top w:val="single" w:sz="2" w:space="0" w:color="FABF8F"/>
              <w:left w:val="single" w:sz="2" w:space="0" w:color="FABF8F"/>
              <w:bottom w:val="single" w:sz="2" w:space="0" w:color="FABF8F"/>
              <w:right w:val="nil"/>
            </w:tcBorders>
            <w:shd w:val="clear" w:color="auto" w:fill="FDE9D9"/>
          </w:tcPr>
          <w:p w:rsidR="000B1863" w:rsidRDefault="00D86A11">
            <w:pPr>
              <w:pStyle w:val="MediumGrid21"/>
              <w:rPr>
                <w:rFonts w:eastAsia="Calibri"/>
                <w:szCs w:val="22"/>
              </w:rPr>
            </w:pPr>
            <w:r>
              <w:rPr>
                <w:rFonts w:eastAsia="Calibri"/>
                <w:szCs w:val="22"/>
              </w:rPr>
              <w:t>- SOP</w:t>
            </w:r>
          </w:p>
        </w:tc>
      </w:tr>
      <w:tr w:rsidR="00D86A11">
        <w:trPr>
          <w:trHeight w:val="90"/>
        </w:trPr>
        <w:tc>
          <w:tcPr>
            <w:tcW w:w="3150" w:type="dxa"/>
            <w:tcBorders>
              <w:top w:val="single" w:sz="2" w:space="0" w:color="FABF8F"/>
              <w:left w:val="nil"/>
              <w:bottom w:val="single" w:sz="2" w:space="0" w:color="FABF8F"/>
              <w:right w:val="single" w:sz="2" w:space="0" w:color="FABF8F"/>
            </w:tcBorders>
          </w:tcPr>
          <w:p w:rsidR="000B1863" w:rsidRDefault="00D86A11">
            <w:pPr>
              <w:pStyle w:val="MediumGrid21"/>
              <w:rPr>
                <w:rFonts w:eastAsia="Calibri"/>
                <w:b/>
                <w:bCs/>
                <w:szCs w:val="22"/>
              </w:rPr>
            </w:pPr>
            <w:r>
              <w:rPr>
                <w:rFonts w:eastAsia="Calibri"/>
                <w:bCs/>
                <w:szCs w:val="22"/>
              </w:rPr>
              <w:t>- Lack of assessment of protective capacity</w:t>
            </w:r>
          </w:p>
        </w:tc>
        <w:tc>
          <w:tcPr>
            <w:tcW w:w="3060"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Child resiliency</w:t>
            </w:r>
          </w:p>
        </w:tc>
        <w:tc>
          <w:tcPr>
            <w:tcW w:w="3034" w:type="dxa"/>
            <w:tcBorders>
              <w:top w:val="single" w:sz="2" w:space="0" w:color="FABF8F"/>
              <w:left w:val="single" w:sz="2" w:space="0" w:color="FABF8F"/>
              <w:bottom w:val="single" w:sz="2" w:space="0" w:color="FABF8F"/>
              <w:right w:val="nil"/>
            </w:tcBorders>
          </w:tcPr>
          <w:p w:rsidR="000B1863" w:rsidRDefault="00D86A11">
            <w:pPr>
              <w:pStyle w:val="MediumGrid21"/>
              <w:rPr>
                <w:rFonts w:eastAsia="Calibri"/>
                <w:szCs w:val="22"/>
              </w:rPr>
            </w:pPr>
            <w:r>
              <w:rPr>
                <w:rFonts w:eastAsia="Calibri"/>
                <w:szCs w:val="22"/>
              </w:rPr>
              <w:t>- Agreement and commitment to case plan by all parties</w:t>
            </w:r>
          </w:p>
        </w:tc>
      </w:tr>
      <w:tr w:rsidR="00D86A11">
        <w:trPr>
          <w:trHeight w:val="90"/>
        </w:trPr>
        <w:tc>
          <w:tcPr>
            <w:tcW w:w="3150"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rPr>
                <w:rFonts w:eastAsia="Calibri"/>
                <w:b/>
                <w:bCs/>
                <w:szCs w:val="22"/>
              </w:rPr>
            </w:pPr>
            <w:r>
              <w:rPr>
                <w:rFonts w:eastAsia="Calibri"/>
                <w:bCs/>
                <w:szCs w:val="22"/>
              </w:rPr>
              <w:t>- Military system barrier due to deployment</w:t>
            </w:r>
          </w:p>
        </w:tc>
        <w:tc>
          <w:tcPr>
            <w:tcW w:w="3060"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rPr>
                <w:rFonts w:eastAsia="Calibri"/>
                <w:szCs w:val="22"/>
              </w:rPr>
            </w:pPr>
            <w:r>
              <w:rPr>
                <w:rFonts w:eastAsia="Calibri"/>
                <w:szCs w:val="22"/>
              </w:rPr>
              <w:t>- Father engagement</w:t>
            </w:r>
          </w:p>
        </w:tc>
        <w:tc>
          <w:tcPr>
            <w:tcW w:w="3034" w:type="dxa"/>
            <w:tcBorders>
              <w:top w:val="single" w:sz="2" w:space="0" w:color="FABF8F"/>
              <w:left w:val="single" w:sz="2" w:space="0" w:color="FABF8F"/>
              <w:bottom w:val="single" w:sz="2" w:space="0" w:color="FABF8F"/>
              <w:right w:val="nil"/>
            </w:tcBorders>
            <w:shd w:val="clear" w:color="auto" w:fill="FDE9D9"/>
          </w:tcPr>
          <w:p w:rsidR="000B1863" w:rsidRDefault="000B1863">
            <w:pPr>
              <w:pStyle w:val="MediumGrid21"/>
              <w:rPr>
                <w:rFonts w:eastAsia="Calibri"/>
                <w:szCs w:val="22"/>
              </w:rPr>
            </w:pPr>
          </w:p>
        </w:tc>
      </w:tr>
      <w:tr w:rsidR="00D86A11">
        <w:trPr>
          <w:trHeight w:val="305"/>
        </w:trPr>
        <w:tc>
          <w:tcPr>
            <w:tcW w:w="3150" w:type="dxa"/>
            <w:tcBorders>
              <w:top w:val="single" w:sz="2" w:space="0" w:color="FABF8F"/>
              <w:left w:val="nil"/>
              <w:bottom w:val="single" w:sz="2" w:space="0" w:color="FABF8F"/>
              <w:right w:val="single" w:sz="2" w:space="0" w:color="FABF8F"/>
            </w:tcBorders>
          </w:tcPr>
          <w:p w:rsidR="000B1863" w:rsidRDefault="000B1863">
            <w:pPr>
              <w:pStyle w:val="MediumGrid21"/>
              <w:rPr>
                <w:rFonts w:eastAsia="Calibri"/>
                <w:b/>
                <w:bCs/>
                <w:szCs w:val="22"/>
              </w:rPr>
            </w:pPr>
          </w:p>
        </w:tc>
        <w:tc>
          <w:tcPr>
            <w:tcW w:w="3060"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Assess/refer for MH needs</w:t>
            </w:r>
          </w:p>
        </w:tc>
        <w:tc>
          <w:tcPr>
            <w:tcW w:w="3034" w:type="dxa"/>
            <w:tcBorders>
              <w:top w:val="single" w:sz="2" w:space="0" w:color="FABF8F"/>
              <w:left w:val="single" w:sz="2" w:space="0" w:color="FABF8F"/>
              <w:bottom w:val="single" w:sz="2" w:space="0" w:color="FABF8F"/>
              <w:right w:val="nil"/>
            </w:tcBorders>
          </w:tcPr>
          <w:p w:rsidR="000B1863" w:rsidRDefault="000B1863">
            <w:pPr>
              <w:pStyle w:val="MediumGrid21"/>
              <w:rPr>
                <w:rFonts w:eastAsia="Calibri"/>
                <w:szCs w:val="22"/>
              </w:rPr>
            </w:pPr>
          </w:p>
        </w:tc>
      </w:tr>
    </w:tbl>
    <w:p w:rsidR="000B1863" w:rsidRDefault="000B1863">
      <w:pPr>
        <w:pStyle w:val="MediumGrid21"/>
      </w:pPr>
    </w:p>
    <w:tbl>
      <w:tblPr>
        <w:tblW w:w="9244" w:type="dxa"/>
        <w:tblBorders>
          <w:top w:val="single" w:sz="2" w:space="0" w:color="D99594"/>
          <w:bottom w:val="single" w:sz="2" w:space="0" w:color="D99594"/>
          <w:insideH w:val="single" w:sz="2" w:space="0" w:color="D99594"/>
          <w:insideV w:val="single" w:sz="2" w:space="0" w:color="D99594"/>
        </w:tblBorders>
        <w:tblLook w:val="04A0" w:firstRow="1" w:lastRow="0" w:firstColumn="1" w:lastColumn="0" w:noHBand="0" w:noVBand="1"/>
      </w:tblPr>
      <w:tblGrid>
        <w:gridCol w:w="3150"/>
        <w:gridCol w:w="3060"/>
        <w:gridCol w:w="3034"/>
      </w:tblGrid>
      <w:tr w:rsidR="00D86A11">
        <w:trPr>
          <w:trHeight w:val="255"/>
        </w:trPr>
        <w:tc>
          <w:tcPr>
            <w:tcW w:w="9244" w:type="dxa"/>
            <w:gridSpan w:val="3"/>
            <w:tcBorders>
              <w:top w:val="nil"/>
              <w:left w:val="nil"/>
              <w:bottom w:val="single" w:sz="12" w:space="0" w:color="D99594"/>
              <w:right w:val="nil"/>
            </w:tcBorders>
            <w:shd w:val="clear" w:color="auto" w:fill="FFFFFF"/>
            <w:vAlign w:val="center"/>
          </w:tcPr>
          <w:p w:rsidR="00D86A11" w:rsidRDefault="00D86A11">
            <w:pPr>
              <w:pStyle w:val="Heading3"/>
              <w:rPr>
                <w:rFonts w:eastAsia="Calibri"/>
                <w:b w:val="0"/>
                <w:bCs/>
              </w:rPr>
            </w:pPr>
            <w:r>
              <w:rPr>
                <w:rFonts w:eastAsia="Calibri"/>
                <w:b w:val="0"/>
                <w:bCs/>
              </w:rPr>
              <w:t>Placement Matching Themes</w:t>
            </w:r>
          </w:p>
        </w:tc>
      </w:tr>
      <w:tr w:rsidR="00D86A11">
        <w:trPr>
          <w:trHeight w:val="255"/>
        </w:trPr>
        <w:tc>
          <w:tcPr>
            <w:tcW w:w="3150" w:type="dxa"/>
            <w:tcBorders>
              <w:top w:val="single" w:sz="2" w:space="0" w:color="D99594"/>
              <w:left w:val="nil"/>
              <w:bottom w:val="single" w:sz="2" w:space="0" w:color="D99594"/>
              <w:right w:val="single" w:sz="2" w:space="0" w:color="D99594"/>
            </w:tcBorders>
            <w:shd w:val="clear" w:color="auto" w:fill="F2DBDB"/>
          </w:tcPr>
          <w:p w:rsidR="000B1863" w:rsidRDefault="00D86A11">
            <w:pPr>
              <w:pStyle w:val="MediumGrid21"/>
              <w:jc w:val="center"/>
              <w:rPr>
                <w:rFonts w:eastAsia="Calibri"/>
                <w:b/>
                <w:bCs/>
                <w:szCs w:val="22"/>
              </w:rPr>
            </w:pPr>
            <w:r>
              <w:rPr>
                <w:rFonts w:eastAsia="Calibri"/>
                <w:b/>
                <w:bCs/>
                <w:szCs w:val="22"/>
              </w:rPr>
              <w:t>Challenges</w:t>
            </w:r>
          </w:p>
        </w:tc>
        <w:tc>
          <w:tcPr>
            <w:tcW w:w="3060"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D86A11">
            <w:pPr>
              <w:pStyle w:val="MediumGrid21"/>
              <w:jc w:val="center"/>
              <w:rPr>
                <w:rFonts w:eastAsia="Calibri"/>
                <w:b/>
                <w:szCs w:val="22"/>
              </w:rPr>
            </w:pPr>
            <w:r>
              <w:rPr>
                <w:rFonts w:eastAsia="Calibri"/>
                <w:b/>
                <w:szCs w:val="22"/>
              </w:rPr>
              <w:t>Strengths</w:t>
            </w:r>
          </w:p>
        </w:tc>
        <w:tc>
          <w:tcPr>
            <w:tcW w:w="3034" w:type="dxa"/>
            <w:tcBorders>
              <w:top w:val="single" w:sz="2" w:space="0" w:color="D99594"/>
              <w:left w:val="single" w:sz="2" w:space="0" w:color="D99594"/>
              <w:bottom w:val="single" w:sz="2" w:space="0" w:color="D99594"/>
              <w:right w:val="nil"/>
            </w:tcBorders>
            <w:shd w:val="clear" w:color="auto" w:fill="F2DBDB"/>
          </w:tcPr>
          <w:p w:rsidR="000B1863" w:rsidRDefault="00D86A11">
            <w:pPr>
              <w:pStyle w:val="MediumGrid21"/>
              <w:jc w:val="center"/>
              <w:rPr>
                <w:rFonts w:eastAsia="Calibri"/>
                <w:b/>
                <w:szCs w:val="22"/>
              </w:rPr>
            </w:pPr>
            <w:r>
              <w:rPr>
                <w:rFonts w:eastAsia="Calibri"/>
                <w:b/>
                <w:szCs w:val="22"/>
              </w:rPr>
              <w:t>Insights/Best Practices</w:t>
            </w:r>
          </w:p>
        </w:tc>
      </w:tr>
      <w:tr w:rsidR="00D86A11">
        <w:trPr>
          <w:trHeight w:val="143"/>
        </w:trPr>
        <w:tc>
          <w:tcPr>
            <w:tcW w:w="3150" w:type="dxa"/>
            <w:tcBorders>
              <w:top w:val="single" w:sz="2" w:space="0" w:color="D99594"/>
              <w:left w:val="nil"/>
              <w:bottom w:val="single" w:sz="2" w:space="0" w:color="D99594"/>
              <w:right w:val="single" w:sz="2" w:space="0" w:color="D99594"/>
            </w:tcBorders>
          </w:tcPr>
          <w:p w:rsidR="000B1863" w:rsidRDefault="00D86A11">
            <w:pPr>
              <w:pStyle w:val="MediumGrid21"/>
              <w:rPr>
                <w:rFonts w:eastAsia="Calibri"/>
                <w:b/>
                <w:bCs/>
                <w:szCs w:val="22"/>
              </w:rPr>
            </w:pPr>
            <w:r>
              <w:rPr>
                <w:rFonts w:eastAsia="Calibri"/>
                <w:bCs/>
                <w:szCs w:val="22"/>
              </w:rPr>
              <w:t>- Youth behavioral/mental issues</w:t>
            </w:r>
          </w:p>
        </w:tc>
        <w:tc>
          <w:tcPr>
            <w:tcW w:w="3060" w:type="dxa"/>
            <w:tcBorders>
              <w:top w:val="single" w:sz="2" w:space="0" w:color="D99594"/>
              <w:left w:val="single" w:sz="2" w:space="0" w:color="D99594"/>
              <w:bottom w:val="single" w:sz="2" w:space="0" w:color="D99594"/>
              <w:right w:val="single" w:sz="2" w:space="0" w:color="D99594"/>
            </w:tcBorders>
          </w:tcPr>
          <w:p w:rsidR="000B1863" w:rsidRDefault="00D86A11">
            <w:pPr>
              <w:pStyle w:val="MediumGrid21"/>
              <w:rPr>
                <w:rFonts w:eastAsia="Calibri"/>
                <w:szCs w:val="22"/>
              </w:rPr>
            </w:pPr>
            <w:r>
              <w:rPr>
                <w:rFonts w:eastAsia="Calibri"/>
                <w:szCs w:val="22"/>
              </w:rPr>
              <w:t>- Placed in the lowest level of care</w:t>
            </w:r>
          </w:p>
        </w:tc>
        <w:tc>
          <w:tcPr>
            <w:tcW w:w="3034" w:type="dxa"/>
            <w:tcBorders>
              <w:top w:val="single" w:sz="2" w:space="0" w:color="D99594"/>
              <w:left w:val="single" w:sz="2" w:space="0" w:color="D99594"/>
              <w:bottom w:val="single" w:sz="2" w:space="0" w:color="D99594"/>
              <w:right w:val="nil"/>
            </w:tcBorders>
          </w:tcPr>
          <w:p w:rsidR="000B1863" w:rsidRDefault="00D86A11">
            <w:pPr>
              <w:pStyle w:val="MediumGrid21"/>
              <w:rPr>
                <w:rFonts w:eastAsia="Calibri"/>
                <w:szCs w:val="22"/>
              </w:rPr>
            </w:pPr>
            <w:r>
              <w:rPr>
                <w:rFonts w:eastAsia="Calibri"/>
                <w:szCs w:val="22"/>
              </w:rPr>
              <w:t>- Use sanction in lieu of placement change or petition</w:t>
            </w:r>
          </w:p>
        </w:tc>
      </w:tr>
      <w:tr w:rsidR="00D86A11">
        <w:trPr>
          <w:trHeight w:val="305"/>
        </w:trPr>
        <w:tc>
          <w:tcPr>
            <w:tcW w:w="3150" w:type="dxa"/>
            <w:tcBorders>
              <w:top w:val="single" w:sz="2" w:space="0" w:color="D99594"/>
              <w:left w:val="nil"/>
              <w:bottom w:val="single" w:sz="2" w:space="0" w:color="D99594"/>
              <w:right w:val="single" w:sz="2" w:space="0" w:color="D99594"/>
            </w:tcBorders>
            <w:shd w:val="clear" w:color="auto" w:fill="F2DBDB"/>
          </w:tcPr>
          <w:p w:rsidR="000B1863" w:rsidRDefault="00D86A11">
            <w:pPr>
              <w:pStyle w:val="MediumGrid21"/>
              <w:rPr>
                <w:rFonts w:eastAsia="Calibri"/>
                <w:b/>
                <w:bCs/>
                <w:szCs w:val="22"/>
              </w:rPr>
            </w:pPr>
            <w:r>
              <w:rPr>
                <w:rFonts w:eastAsia="Calibri"/>
                <w:bCs/>
                <w:szCs w:val="22"/>
              </w:rPr>
              <w:t>- Multiple placement failures</w:t>
            </w:r>
          </w:p>
        </w:tc>
        <w:tc>
          <w:tcPr>
            <w:tcW w:w="3060"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D86A11">
            <w:pPr>
              <w:pStyle w:val="MediumGrid21"/>
              <w:rPr>
                <w:rFonts w:eastAsia="Calibri"/>
                <w:szCs w:val="22"/>
              </w:rPr>
            </w:pPr>
            <w:r>
              <w:rPr>
                <w:rFonts w:eastAsia="Calibri"/>
                <w:szCs w:val="22"/>
              </w:rPr>
              <w:t>- Ensure minimal disruptions for child</w:t>
            </w:r>
          </w:p>
        </w:tc>
        <w:tc>
          <w:tcPr>
            <w:tcW w:w="3034" w:type="dxa"/>
            <w:tcBorders>
              <w:top w:val="single" w:sz="2" w:space="0" w:color="D99594"/>
              <w:left w:val="single" w:sz="2" w:space="0" w:color="D99594"/>
              <w:bottom w:val="single" w:sz="2" w:space="0" w:color="D99594"/>
              <w:right w:val="nil"/>
            </w:tcBorders>
            <w:shd w:val="clear" w:color="auto" w:fill="F2DBDB"/>
          </w:tcPr>
          <w:p w:rsidR="000B1863" w:rsidRDefault="00D86A11">
            <w:pPr>
              <w:pStyle w:val="MediumGrid21"/>
              <w:rPr>
                <w:rFonts w:eastAsia="Calibri"/>
                <w:szCs w:val="22"/>
              </w:rPr>
            </w:pPr>
            <w:r>
              <w:rPr>
                <w:rFonts w:eastAsia="Calibri"/>
                <w:szCs w:val="22"/>
              </w:rPr>
              <w:t>- Match the placement with the child</w:t>
            </w:r>
          </w:p>
        </w:tc>
      </w:tr>
      <w:tr w:rsidR="00D86A11">
        <w:trPr>
          <w:trHeight w:val="90"/>
        </w:trPr>
        <w:tc>
          <w:tcPr>
            <w:tcW w:w="3150" w:type="dxa"/>
            <w:tcBorders>
              <w:top w:val="single" w:sz="2" w:space="0" w:color="D99594"/>
              <w:left w:val="nil"/>
              <w:bottom w:val="single" w:sz="2" w:space="0" w:color="D99594"/>
              <w:right w:val="single" w:sz="2" w:space="0" w:color="D99594"/>
            </w:tcBorders>
          </w:tcPr>
          <w:p w:rsidR="000B1863" w:rsidRDefault="00D86A11">
            <w:pPr>
              <w:pStyle w:val="MediumGrid21"/>
              <w:rPr>
                <w:rFonts w:eastAsia="Calibri"/>
                <w:b/>
                <w:bCs/>
                <w:szCs w:val="22"/>
              </w:rPr>
            </w:pPr>
            <w:r>
              <w:rPr>
                <w:rFonts w:eastAsia="Calibri"/>
                <w:bCs/>
                <w:szCs w:val="22"/>
              </w:rPr>
              <w:t>- Ensuring child receives appropriate services (child sent to PCC when placement was available)</w:t>
            </w:r>
          </w:p>
        </w:tc>
        <w:tc>
          <w:tcPr>
            <w:tcW w:w="3060" w:type="dxa"/>
            <w:tcBorders>
              <w:top w:val="single" w:sz="2" w:space="0" w:color="D99594"/>
              <w:left w:val="single" w:sz="2" w:space="0" w:color="D99594"/>
              <w:bottom w:val="single" w:sz="2" w:space="0" w:color="D99594"/>
              <w:right w:val="single" w:sz="2" w:space="0" w:color="D99594"/>
            </w:tcBorders>
          </w:tcPr>
          <w:p w:rsidR="000B1863" w:rsidRDefault="00D86A11">
            <w:pPr>
              <w:pStyle w:val="MediumGrid21"/>
              <w:rPr>
                <w:rFonts w:eastAsia="Calibri"/>
                <w:szCs w:val="22"/>
              </w:rPr>
            </w:pPr>
            <w:r>
              <w:rPr>
                <w:rFonts w:eastAsia="Calibri"/>
                <w:szCs w:val="22"/>
              </w:rPr>
              <w:t>- Prioritize same sibling placement</w:t>
            </w:r>
          </w:p>
        </w:tc>
        <w:tc>
          <w:tcPr>
            <w:tcW w:w="3034" w:type="dxa"/>
            <w:tcBorders>
              <w:top w:val="single" w:sz="2" w:space="0" w:color="D99594"/>
              <w:left w:val="single" w:sz="2" w:space="0" w:color="D99594"/>
              <w:bottom w:val="single" w:sz="2" w:space="0" w:color="D99594"/>
              <w:right w:val="nil"/>
            </w:tcBorders>
          </w:tcPr>
          <w:p w:rsidR="000B1863" w:rsidRDefault="00D86A11">
            <w:pPr>
              <w:pStyle w:val="MediumGrid21"/>
              <w:rPr>
                <w:rFonts w:eastAsia="Calibri"/>
                <w:szCs w:val="22"/>
              </w:rPr>
            </w:pPr>
            <w:r>
              <w:rPr>
                <w:rFonts w:eastAsia="Calibri"/>
                <w:szCs w:val="22"/>
              </w:rPr>
              <w:t>- Relative placement</w:t>
            </w:r>
          </w:p>
        </w:tc>
      </w:tr>
      <w:tr w:rsidR="00D86A11">
        <w:trPr>
          <w:trHeight w:val="144"/>
        </w:trPr>
        <w:tc>
          <w:tcPr>
            <w:tcW w:w="3150" w:type="dxa"/>
            <w:tcBorders>
              <w:top w:val="single" w:sz="2" w:space="0" w:color="D99594"/>
              <w:left w:val="nil"/>
              <w:bottom w:val="single" w:sz="2" w:space="0" w:color="D99594"/>
              <w:right w:val="single" w:sz="2" w:space="0" w:color="D99594"/>
            </w:tcBorders>
            <w:shd w:val="clear" w:color="auto" w:fill="F2DBDB"/>
          </w:tcPr>
          <w:p w:rsidR="000B1863" w:rsidRDefault="00D86A11">
            <w:pPr>
              <w:pStyle w:val="MediumGrid21"/>
              <w:rPr>
                <w:rFonts w:eastAsia="Calibri"/>
                <w:b/>
                <w:bCs/>
                <w:szCs w:val="22"/>
              </w:rPr>
            </w:pPr>
            <w:r>
              <w:rPr>
                <w:rFonts w:eastAsia="Calibri"/>
                <w:bCs/>
                <w:szCs w:val="22"/>
              </w:rPr>
              <w:t>- Lack of placement options for families of a different cultural or language</w:t>
            </w:r>
          </w:p>
        </w:tc>
        <w:tc>
          <w:tcPr>
            <w:tcW w:w="3060"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D86A11">
            <w:pPr>
              <w:pStyle w:val="MediumGrid21"/>
              <w:rPr>
                <w:rFonts w:eastAsia="Calibri"/>
                <w:szCs w:val="22"/>
              </w:rPr>
            </w:pPr>
            <w:r>
              <w:rPr>
                <w:rFonts w:eastAsia="Calibri"/>
                <w:szCs w:val="22"/>
              </w:rPr>
              <w:t>- One placement</w:t>
            </w:r>
          </w:p>
        </w:tc>
        <w:tc>
          <w:tcPr>
            <w:tcW w:w="3034" w:type="dxa"/>
            <w:tcBorders>
              <w:top w:val="single" w:sz="2" w:space="0" w:color="D99594"/>
              <w:left w:val="single" w:sz="2" w:space="0" w:color="D99594"/>
              <w:bottom w:val="single" w:sz="2" w:space="0" w:color="D99594"/>
              <w:right w:val="nil"/>
            </w:tcBorders>
            <w:shd w:val="clear" w:color="auto" w:fill="F2DBDB"/>
          </w:tcPr>
          <w:p w:rsidR="000B1863" w:rsidRDefault="00D86A11">
            <w:pPr>
              <w:pStyle w:val="MediumGrid21"/>
              <w:rPr>
                <w:rFonts w:eastAsia="Calibri"/>
                <w:szCs w:val="22"/>
              </w:rPr>
            </w:pPr>
            <w:r>
              <w:rPr>
                <w:rFonts w:eastAsia="Calibri"/>
                <w:szCs w:val="22"/>
              </w:rPr>
              <w:t>- Minimal placement change</w:t>
            </w:r>
          </w:p>
        </w:tc>
      </w:tr>
      <w:tr w:rsidR="00D86A11">
        <w:trPr>
          <w:trHeight w:val="90"/>
        </w:trPr>
        <w:tc>
          <w:tcPr>
            <w:tcW w:w="3150" w:type="dxa"/>
            <w:tcBorders>
              <w:top w:val="single" w:sz="2" w:space="0" w:color="D99594"/>
              <w:left w:val="nil"/>
              <w:bottom w:val="single" w:sz="2" w:space="0" w:color="D99594"/>
              <w:right w:val="single" w:sz="2" w:space="0" w:color="D99594"/>
            </w:tcBorders>
          </w:tcPr>
          <w:p w:rsidR="000B1863" w:rsidRDefault="00D86A11">
            <w:pPr>
              <w:pStyle w:val="MediumGrid21"/>
              <w:rPr>
                <w:rFonts w:eastAsia="Calibri"/>
                <w:b/>
                <w:bCs/>
                <w:szCs w:val="22"/>
              </w:rPr>
            </w:pPr>
            <w:r>
              <w:rPr>
                <w:rFonts w:eastAsia="Calibri"/>
                <w:bCs/>
                <w:szCs w:val="22"/>
              </w:rPr>
              <w:t>- Geographical location</w:t>
            </w:r>
          </w:p>
        </w:tc>
        <w:tc>
          <w:tcPr>
            <w:tcW w:w="3060" w:type="dxa"/>
            <w:tcBorders>
              <w:top w:val="single" w:sz="2" w:space="0" w:color="D99594"/>
              <w:left w:val="single" w:sz="2" w:space="0" w:color="D99594"/>
              <w:bottom w:val="single" w:sz="2" w:space="0" w:color="D99594"/>
              <w:right w:val="single" w:sz="2" w:space="0" w:color="D99594"/>
            </w:tcBorders>
          </w:tcPr>
          <w:p w:rsidR="000B1863" w:rsidRDefault="00D86A11">
            <w:pPr>
              <w:pStyle w:val="MediumGrid21"/>
              <w:rPr>
                <w:rFonts w:eastAsia="Calibri"/>
                <w:szCs w:val="22"/>
              </w:rPr>
            </w:pPr>
            <w:r>
              <w:rPr>
                <w:rFonts w:eastAsia="Calibri"/>
                <w:szCs w:val="22"/>
              </w:rPr>
              <w:t>- County Placement Coordinator</w:t>
            </w:r>
          </w:p>
        </w:tc>
        <w:tc>
          <w:tcPr>
            <w:tcW w:w="3034" w:type="dxa"/>
            <w:tcBorders>
              <w:top w:val="single" w:sz="2" w:space="0" w:color="D99594"/>
              <w:left w:val="single" w:sz="2" w:space="0" w:color="D99594"/>
              <w:bottom w:val="single" w:sz="2" w:space="0" w:color="D99594"/>
              <w:right w:val="nil"/>
            </w:tcBorders>
          </w:tcPr>
          <w:p w:rsidR="000B1863" w:rsidRDefault="00D86A11">
            <w:pPr>
              <w:pStyle w:val="MediumGrid21"/>
              <w:rPr>
                <w:rFonts w:eastAsia="Calibri"/>
                <w:szCs w:val="22"/>
              </w:rPr>
            </w:pPr>
            <w:r>
              <w:rPr>
                <w:rFonts w:eastAsia="Calibri"/>
                <w:szCs w:val="22"/>
              </w:rPr>
              <w:t>- Recruit NFRMS</w:t>
            </w:r>
          </w:p>
        </w:tc>
      </w:tr>
      <w:tr w:rsidR="00D86A11">
        <w:trPr>
          <w:trHeight w:val="144"/>
        </w:trPr>
        <w:tc>
          <w:tcPr>
            <w:tcW w:w="3150" w:type="dxa"/>
            <w:tcBorders>
              <w:top w:val="single" w:sz="2" w:space="0" w:color="D99594"/>
              <w:left w:val="nil"/>
              <w:bottom w:val="single" w:sz="2" w:space="0" w:color="D99594"/>
              <w:right w:val="single" w:sz="2" w:space="0" w:color="D99594"/>
            </w:tcBorders>
            <w:shd w:val="clear" w:color="auto" w:fill="F2DBDB"/>
          </w:tcPr>
          <w:p w:rsidR="000B1863" w:rsidRDefault="00D86A11">
            <w:pPr>
              <w:pStyle w:val="MediumGrid21"/>
              <w:rPr>
                <w:rFonts w:eastAsia="Calibri"/>
                <w:b/>
                <w:bCs/>
                <w:szCs w:val="22"/>
              </w:rPr>
            </w:pPr>
            <w:r>
              <w:rPr>
                <w:rFonts w:eastAsia="Calibri"/>
                <w:bCs/>
                <w:szCs w:val="22"/>
              </w:rPr>
              <w:t>- Not all workers consider risk for trauma in placement decisions</w:t>
            </w:r>
          </w:p>
        </w:tc>
        <w:tc>
          <w:tcPr>
            <w:tcW w:w="3060"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0B1863">
            <w:pPr>
              <w:pStyle w:val="MediumGrid21"/>
              <w:rPr>
                <w:rFonts w:eastAsia="Calibri"/>
                <w:szCs w:val="22"/>
              </w:rPr>
            </w:pPr>
          </w:p>
        </w:tc>
        <w:tc>
          <w:tcPr>
            <w:tcW w:w="3034" w:type="dxa"/>
            <w:tcBorders>
              <w:top w:val="single" w:sz="2" w:space="0" w:color="D99594"/>
              <w:left w:val="single" w:sz="2" w:space="0" w:color="D99594"/>
              <w:bottom w:val="single" w:sz="2" w:space="0" w:color="D99594"/>
              <w:right w:val="nil"/>
            </w:tcBorders>
            <w:shd w:val="clear" w:color="auto" w:fill="F2DBDB"/>
          </w:tcPr>
          <w:p w:rsidR="000B1863" w:rsidRDefault="00D86A11">
            <w:pPr>
              <w:pStyle w:val="MediumGrid21"/>
              <w:rPr>
                <w:rFonts w:eastAsia="Calibri"/>
                <w:szCs w:val="22"/>
              </w:rPr>
            </w:pPr>
            <w:r>
              <w:rPr>
                <w:rFonts w:eastAsia="Calibri"/>
                <w:szCs w:val="22"/>
              </w:rPr>
              <w:t>- Utilize trauma informed practices when looking for placements</w:t>
            </w:r>
          </w:p>
        </w:tc>
      </w:tr>
      <w:tr w:rsidR="00D86A11">
        <w:trPr>
          <w:trHeight w:val="90"/>
        </w:trPr>
        <w:tc>
          <w:tcPr>
            <w:tcW w:w="3150" w:type="dxa"/>
            <w:tcBorders>
              <w:top w:val="single" w:sz="2" w:space="0" w:color="D99594"/>
              <w:left w:val="nil"/>
              <w:bottom w:val="single" w:sz="2" w:space="0" w:color="D99594"/>
              <w:right w:val="single" w:sz="2" w:space="0" w:color="D99594"/>
            </w:tcBorders>
          </w:tcPr>
          <w:p w:rsidR="000B1863" w:rsidRDefault="00D86A11">
            <w:pPr>
              <w:pStyle w:val="MediumGrid21"/>
              <w:rPr>
                <w:rFonts w:eastAsia="Calibri"/>
                <w:b/>
                <w:bCs/>
                <w:szCs w:val="22"/>
              </w:rPr>
            </w:pPr>
            <w:r>
              <w:rPr>
                <w:rFonts w:eastAsia="Calibri"/>
                <w:bCs/>
                <w:szCs w:val="22"/>
              </w:rPr>
              <w:t>- Lack of communication between guardian and SW</w:t>
            </w:r>
          </w:p>
        </w:tc>
        <w:tc>
          <w:tcPr>
            <w:tcW w:w="3060" w:type="dxa"/>
            <w:tcBorders>
              <w:top w:val="single" w:sz="2" w:space="0" w:color="D99594"/>
              <w:left w:val="single" w:sz="2" w:space="0" w:color="D99594"/>
              <w:bottom w:val="single" w:sz="2" w:space="0" w:color="D99594"/>
              <w:right w:val="single" w:sz="2" w:space="0" w:color="D99594"/>
            </w:tcBorders>
          </w:tcPr>
          <w:p w:rsidR="000B1863" w:rsidRDefault="000B1863">
            <w:pPr>
              <w:pStyle w:val="MediumGrid21"/>
              <w:rPr>
                <w:rFonts w:eastAsia="Calibri"/>
                <w:szCs w:val="22"/>
              </w:rPr>
            </w:pPr>
          </w:p>
        </w:tc>
        <w:tc>
          <w:tcPr>
            <w:tcW w:w="3034" w:type="dxa"/>
            <w:tcBorders>
              <w:top w:val="single" w:sz="2" w:space="0" w:color="D99594"/>
              <w:left w:val="single" w:sz="2" w:space="0" w:color="D99594"/>
              <w:bottom w:val="single" w:sz="2" w:space="0" w:color="D99594"/>
              <w:right w:val="nil"/>
            </w:tcBorders>
          </w:tcPr>
          <w:p w:rsidR="000B1863" w:rsidRDefault="00D86A11">
            <w:pPr>
              <w:pStyle w:val="MediumGrid21"/>
              <w:rPr>
                <w:rFonts w:eastAsia="Calibri"/>
                <w:szCs w:val="22"/>
              </w:rPr>
            </w:pPr>
            <w:r>
              <w:rPr>
                <w:rFonts w:eastAsia="Calibri"/>
                <w:szCs w:val="22"/>
              </w:rPr>
              <w:t>- Assess and support father engagement</w:t>
            </w:r>
          </w:p>
        </w:tc>
      </w:tr>
      <w:tr w:rsidR="00D86A11">
        <w:trPr>
          <w:trHeight w:val="90"/>
        </w:trPr>
        <w:tc>
          <w:tcPr>
            <w:tcW w:w="3150" w:type="dxa"/>
            <w:tcBorders>
              <w:top w:val="single" w:sz="2" w:space="0" w:color="D99594"/>
              <w:left w:val="nil"/>
              <w:bottom w:val="single" w:sz="2" w:space="0" w:color="D99594"/>
              <w:right w:val="single" w:sz="2" w:space="0" w:color="D99594"/>
            </w:tcBorders>
            <w:shd w:val="clear" w:color="auto" w:fill="F2DBDB"/>
          </w:tcPr>
          <w:p w:rsidR="000B1863" w:rsidRDefault="000B1863">
            <w:pPr>
              <w:pStyle w:val="MediumGrid21"/>
              <w:rPr>
                <w:rFonts w:eastAsia="Calibri"/>
                <w:b/>
                <w:bCs/>
                <w:szCs w:val="22"/>
              </w:rPr>
            </w:pPr>
          </w:p>
        </w:tc>
        <w:tc>
          <w:tcPr>
            <w:tcW w:w="3060"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0B1863">
            <w:pPr>
              <w:pStyle w:val="MediumGrid21"/>
              <w:rPr>
                <w:rFonts w:eastAsia="Calibri"/>
                <w:szCs w:val="22"/>
              </w:rPr>
            </w:pPr>
          </w:p>
        </w:tc>
        <w:tc>
          <w:tcPr>
            <w:tcW w:w="3034" w:type="dxa"/>
            <w:tcBorders>
              <w:top w:val="single" w:sz="2" w:space="0" w:color="D99594"/>
              <w:left w:val="single" w:sz="2" w:space="0" w:color="D99594"/>
              <w:bottom w:val="single" w:sz="2" w:space="0" w:color="D99594"/>
              <w:right w:val="nil"/>
            </w:tcBorders>
            <w:shd w:val="clear" w:color="auto" w:fill="F2DBDB"/>
          </w:tcPr>
          <w:p w:rsidR="000B1863" w:rsidRDefault="00D86A11">
            <w:pPr>
              <w:pStyle w:val="MediumGrid21"/>
              <w:rPr>
                <w:rFonts w:eastAsia="Calibri"/>
                <w:szCs w:val="22"/>
              </w:rPr>
            </w:pPr>
            <w:r>
              <w:rPr>
                <w:rFonts w:eastAsia="Calibri"/>
                <w:szCs w:val="22"/>
              </w:rPr>
              <w:t>- Strengthen relationships with military family advocates</w:t>
            </w:r>
          </w:p>
        </w:tc>
      </w:tr>
    </w:tbl>
    <w:p w:rsidR="000B1863" w:rsidRDefault="000B1863">
      <w:pPr>
        <w:pStyle w:val="MediumGrid21"/>
      </w:pPr>
    </w:p>
    <w:p w:rsidR="00D86A11" w:rsidRDefault="00D86A11">
      <w:r>
        <w:rPr>
          <w:b/>
        </w:rPr>
        <w:br w:type="page"/>
      </w:r>
    </w:p>
    <w:tbl>
      <w:tblPr>
        <w:tblW w:w="9213" w:type="dxa"/>
        <w:tblBorders>
          <w:top w:val="single" w:sz="2" w:space="0" w:color="95B3D7"/>
          <w:bottom w:val="single" w:sz="2" w:space="0" w:color="95B3D7"/>
          <w:insideH w:val="single" w:sz="2" w:space="0" w:color="95B3D7"/>
          <w:insideV w:val="single" w:sz="2" w:space="0" w:color="95B3D7"/>
        </w:tblBorders>
        <w:tblLook w:val="04A0" w:firstRow="1" w:lastRow="0" w:firstColumn="1" w:lastColumn="0" w:noHBand="0" w:noVBand="1"/>
      </w:tblPr>
      <w:tblGrid>
        <w:gridCol w:w="3139"/>
        <w:gridCol w:w="3050"/>
        <w:gridCol w:w="3024"/>
      </w:tblGrid>
      <w:tr w:rsidR="00D86A11">
        <w:trPr>
          <w:trHeight w:val="255"/>
        </w:trPr>
        <w:tc>
          <w:tcPr>
            <w:tcW w:w="9213" w:type="dxa"/>
            <w:gridSpan w:val="3"/>
            <w:tcBorders>
              <w:top w:val="nil"/>
              <w:left w:val="nil"/>
              <w:bottom w:val="single" w:sz="12" w:space="0" w:color="95B3D7"/>
              <w:right w:val="nil"/>
            </w:tcBorders>
            <w:shd w:val="clear" w:color="auto" w:fill="FFFFFF"/>
            <w:vAlign w:val="center"/>
          </w:tcPr>
          <w:p w:rsidR="00D86A11" w:rsidRDefault="00D86A11">
            <w:pPr>
              <w:pStyle w:val="Heading3"/>
              <w:rPr>
                <w:rFonts w:eastAsia="Calibri"/>
                <w:b w:val="0"/>
                <w:bCs/>
              </w:rPr>
            </w:pPr>
            <w:r>
              <w:rPr>
                <w:rFonts w:eastAsia="Calibri"/>
                <w:b w:val="0"/>
                <w:bCs/>
              </w:rPr>
              <w:lastRenderedPageBreak/>
              <w:t>Reunification Themes</w:t>
            </w:r>
          </w:p>
        </w:tc>
      </w:tr>
      <w:tr w:rsidR="00D86A11">
        <w:trPr>
          <w:trHeight w:val="255"/>
        </w:trPr>
        <w:tc>
          <w:tcPr>
            <w:tcW w:w="3139" w:type="dxa"/>
            <w:tcBorders>
              <w:top w:val="single" w:sz="2" w:space="0" w:color="95B3D7"/>
              <w:left w:val="nil"/>
              <w:bottom w:val="single" w:sz="2" w:space="0" w:color="95B3D7"/>
              <w:right w:val="single" w:sz="2" w:space="0" w:color="95B3D7"/>
            </w:tcBorders>
            <w:shd w:val="clear" w:color="auto" w:fill="DBE5F1"/>
          </w:tcPr>
          <w:p w:rsidR="000B1863" w:rsidRDefault="00D86A11">
            <w:pPr>
              <w:pStyle w:val="MediumGrid21"/>
              <w:jc w:val="center"/>
              <w:rPr>
                <w:rFonts w:eastAsia="Calibri"/>
                <w:b/>
                <w:bCs/>
                <w:szCs w:val="22"/>
              </w:rPr>
            </w:pPr>
            <w:r>
              <w:rPr>
                <w:rFonts w:eastAsia="Calibri"/>
                <w:b/>
                <w:bCs/>
                <w:szCs w:val="22"/>
              </w:rPr>
              <w:t>Challenges</w:t>
            </w:r>
          </w:p>
        </w:tc>
        <w:tc>
          <w:tcPr>
            <w:tcW w:w="3050" w:type="dxa"/>
            <w:tcBorders>
              <w:top w:val="single" w:sz="2" w:space="0" w:color="95B3D7"/>
              <w:left w:val="single" w:sz="2" w:space="0" w:color="95B3D7"/>
              <w:bottom w:val="single" w:sz="2" w:space="0" w:color="95B3D7"/>
              <w:right w:val="single" w:sz="2" w:space="0" w:color="95B3D7"/>
            </w:tcBorders>
            <w:shd w:val="clear" w:color="auto" w:fill="DBE5F1"/>
          </w:tcPr>
          <w:p w:rsidR="000B1863" w:rsidRDefault="00D86A11">
            <w:pPr>
              <w:pStyle w:val="MediumGrid21"/>
              <w:jc w:val="center"/>
              <w:rPr>
                <w:rFonts w:eastAsia="Calibri"/>
                <w:b/>
                <w:szCs w:val="22"/>
              </w:rPr>
            </w:pPr>
            <w:r>
              <w:rPr>
                <w:rFonts w:eastAsia="Calibri"/>
                <w:b/>
                <w:szCs w:val="22"/>
              </w:rPr>
              <w:t>Strengths</w:t>
            </w:r>
          </w:p>
        </w:tc>
        <w:tc>
          <w:tcPr>
            <w:tcW w:w="3024" w:type="dxa"/>
            <w:tcBorders>
              <w:top w:val="single" w:sz="2" w:space="0" w:color="95B3D7"/>
              <w:left w:val="single" w:sz="2" w:space="0" w:color="95B3D7"/>
              <w:bottom w:val="single" w:sz="2" w:space="0" w:color="95B3D7"/>
              <w:right w:val="nil"/>
            </w:tcBorders>
            <w:shd w:val="clear" w:color="auto" w:fill="DBE5F1"/>
          </w:tcPr>
          <w:p w:rsidR="000B1863" w:rsidRDefault="00D86A11">
            <w:pPr>
              <w:pStyle w:val="MediumGrid21"/>
              <w:jc w:val="center"/>
              <w:rPr>
                <w:rFonts w:eastAsia="Calibri"/>
                <w:b/>
                <w:szCs w:val="22"/>
              </w:rPr>
            </w:pPr>
            <w:r>
              <w:rPr>
                <w:rFonts w:eastAsia="Calibri"/>
                <w:b/>
                <w:szCs w:val="22"/>
              </w:rPr>
              <w:t>Insights/Best Practices</w:t>
            </w:r>
          </w:p>
        </w:tc>
      </w:tr>
      <w:tr w:rsidR="00D86A11">
        <w:trPr>
          <w:trHeight w:val="233"/>
        </w:trPr>
        <w:tc>
          <w:tcPr>
            <w:tcW w:w="3139" w:type="dxa"/>
            <w:tcBorders>
              <w:top w:val="single" w:sz="2" w:space="0" w:color="95B3D7"/>
              <w:left w:val="nil"/>
              <w:bottom w:val="single" w:sz="2" w:space="0" w:color="95B3D7"/>
              <w:right w:val="single" w:sz="2" w:space="0" w:color="95B3D7"/>
            </w:tcBorders>
          </w:tcPr>
          <w:p w:rsidR="000B1863" w:rsidRDefault="00D86A11">
            <w:pPr>
              <w:pStyle w:val="MediumGrid21"/>
              <w:rPr>
                <w:rFonts w:eastAsia="Calibri"/>
                <w:b/>
                <w:bCs/>
                <w:szCs w:val="22"/>
              </w:rPr>
            </w:pPr>
            <w:r>
              <w:rPr>
                <w:rFonts w:eastAsia="Calibri"/>
                <w:bCs/>
                <w:szCs w:val="22"/>
              </w:rPr>
              <w:t>- MH, AOD, parental issues</w:t>
            </w:r>
          </w:p>
        </w:tc>
        <w:tc>
          <w:tcPr>
            <w:tcW w:w="3050" w:type="dxa"/>
            <w:tcBorders>
              <w:top w:val="single" w:sz="2" w:space="0" w:color="95B3D7"/>
              <w:left w:val="single" w:sz="2" w:space="0" w:color="95B3D7"/>
              <w:bottom w:val="single" w:sz="2" w:space="0" w:color="95B3D7"/>
              <w:right w:val="single" w:sz="2" w:space="0" w:color="95B3D7"/>
            </w:tcBorders>
          </w:tcPr>
          <w:p w:rsidR="000B1863" w:rsidRDefault="00D86A11">
            <w:pPr>
              <w:pStyle w:val="MediumGrid21"/>
              <w:rPr>
                <w:rFonts w:eastAsia="Calibri"/>
                <w:szCs w:val="22"/>
              </w:rPr>
            </w:pPr>
            <w:r>
              <w:rPr>
                <w:rFonts w:eastAsia="Calibri"/>
                <w:szCs w:val="22"/>
              </w:rPr>
              <w:t>- Motivated parent to reunify</w:t>
            </w:r>
          </w:p>
        </w:tc>
        <w:tc>
          <w:tcPr>
            <w:tcW w:w="3024" w:type="dxa"/>
            <w:tcBorders>
              <w:top w:val="single" w:sz="2" w:space="0" w:color="95B3D7"/>
              <w:left w:val="single" w:sz="2" w:space="0" w:color="95B3D7"/>
              <w:bottom w:val="single" w:sz="2" w:space="0" w:color="95B3D7"/>
              <w:right w:val="nil"/>
            </w:tcBorders>
          </w:tcPr>
          <w:p w:rsidR="000B1863" w:rsidRDefault="00D86A11">
            <w:pPr>
              <w:pStyle w:val="MediumGrid21"/>
              <w:rPr>
                <w:rFonts w:eastAsia="Calibri"/>
                <w:szCs w:val="22"/>
              </w:rPr>
            </w:pPr>
            <w:r>
              <w:rPr>
                <w:rFonts w:eastAsia="Calibri"/>
                <w:szCs w:val="22"/>
              </w:rPr>
              <w:t>- Individualized reunification plan with court support</w:t>
            </w:r>
          </w:p>
        </w:tc>
      </w:tr>
      <w:tr w:rsidR="00D86A11">
        <w:trPr>
          <w:trHeight w:val="305"/>
        </w:trPr>
        <w:tc>
          <w:tcPr>
            <w:tcW w:w="3139" w:type="dxa"/>
            <w:tcBorders>
              <w:top w:val="single" w:sz="2" w:space="0" w:color="95B3D7"/>
              <w:left w:val="nil"/>
              <w:bottom w:val="single" w:sz="2" w:space="0" w:color="95B3D7"/>
              <w:right w:val="single" w:sz="2" w:space="0" w:color="95B3D7"/>
            </w:tcBorders>
            <w:shd w:val="clear" w:color="auto" w:fill="DBE5F1"/>
          </w:tcPr>
          <w:p w:rsidR="000B1863" w:rsidRDefault="00D86A11">
            <w:pPr>
              <w:pStyle w:val="MediumGrid21"/>
              <w:rPr>
                <w:rFonts w:eastAsia="Calibri"/>
                <w:b/>
                <w:bCs/>
                <w:szCs w:val="22"/>
              </w:rPr>
            </w:pPr>
            <w:r>
              <w:rPr>
                <w:rFonts w:eastAsia="Calibri"/>
                <w:bCs/>
                <w:szCs w:val="22"/>
              </w:rPr>
              <w:t>- Community services and wraparound not utilized</w:t>
            </w:r>
          </w:p>
        </w:tc>
        <w:tc>
          <w:tcPr>
            <w:tcW w:w="3050" w:type="dxa"/>
            <w:tcBorders>
              <w:top w:val="single" w:sz="2" w:space="0" w:color="95B3D7"/>
              <w:left w:val="single" w:sz="2" w:space="0" w:color="95B3D7"/>
              <w:bottom w:val="single" w:sz="2" w:space="0" w:color="95B3D7"/>
              <w:right w:val="single" w:sz="2" w:space="0" w:color="95B3D7"/>
            </w:tcBorders>
            <w:shd w:val="clear" w:color="auto" w:fill="DBE5F1"/>
          </w:tcPr>
          <w:p w:rsidR="000B1863" w:rsidRDefault="00D86A11">
            <w:pPr>
              <w:pStyle w:val="MediumGrid21"/>
              <w:rPr>
                <w:rFonts w:eastAsia="Calibri"/>
                <w:szCs w:val="22"/>
              </w:rPr>
            </w:pPr>
            <w:r>
              <w:rPr>
                <w:rFonts w:eastAsia="Calibri"/>
                <w:szCs w:val="22"/>
              </w:rPr>
              <w:t>- Ongoing assessment of protective, risk, and safety factors</w:t>
            </w:r>
          </w:p>
        </w:tc>
        <w:tc>
          <w:tcPr>
            <w:tcW w:w="3024" w:type="dxa"/>
            <w:tcBorders>
              <w:top w:val="single" w:sz="2" w:space="0" w:color="95B3D7"/>
              <w:left w:val="single" w:sz="2" w:space="0" w:color="95B3D7"/>
              <w:bottom w:val="single" w:sz="2" w:space="0" w:color="95B3D7"/>
              <w:right w:val="nil"/>
            </w:tcBorders>
            <w:shd w:val="clear" w:color="auto" w:fill="DBE5F1"/>
          </w:tcPr>
          <w:p w:rsidR="000B1863" w:rsidRDefault="00D86A11">
            <w:pPr>
              <w:pStyle w:val="MediumGrid21"/>
              <w:rPr>
                <w:rFonts w:eastAsia="Calibri"/>
                <w:szCs w:val="22"/>
              </w:rPr>
            </w:pPr>
            <w:r>
              <w:rPr>
                <w:rFonts w:eastAsia="Calibri"/>
                <w:szCs w:val="22"/>
              </w:rPr>
              <w:t>- Ongoing protective capacity and risk assessment</w:t>
            </w:r>
          </w:p>
        </w:tc>
      </w:tr>
      <w:tr w:rsidR="00D86A11">
        <w:trPr>
          <w:trHeight w:val="90"/>
        </w:trPr>
        <w:tc>
          <w:tcPr>
            <w:tcW w:w="3139" w:type="dxa"/>
            <w:tcBorders>
              <w:top w:val="single" w:sz="2" w:space="0" w:color="95B3D7"/>
              <w:left w:val="nil"/>
              <w:bottom w:val="single" w:sz="2" w:space="0" w:color="95B3D7"/>
              <w:right w:val="single" w:sz="2" w:space="0" w:color="95B3D7"/>
            </w:tcBorders>
          </w:tcPr>
          <w:p w:rsidR="000B1863" w:rsidRDefault="00D86A11">
            <w:pPr>
              <w:pStyle w:val="MediumGrid21"/>
              <w:rPr>
                <w:rFonts w:eastAsia="Calibri"/>
                <w:b/>
                <w:bCs/>
                <w:szCs w:val="22"/>
              </w:rPr>
            </w:pPr>
            <w:r>
              <w:rPr>
                <w:rFonts w:eastAsia="Calibri"/>
                <w:bCs/>
                <w:szCs w:val="22"/>
              </w:rPr>
              <w:t>- Information and knowledge loss/missed from prior involvements that could inform current case</w:t>
            </w:r>
          </w:p>
        </w:tc>
        <w:tc>
          <w:tcPr>
            <w:tcW w:w="3050" w:type="dxa"/>
            <w:tcBorders>
              <w:top w:val="single" w:sz="2" w:space="0" w:color="95B3D7"/>
              <w:left w:val="single" w:sz="2" w:space="0" w:color="95B3D7"/>
              <w:bottom w:val="single" w:sz="2" w:space="0" w:color="95B3D7"/>
              <w:right w:val="single" w:sz="2" w:space="0" w:color="95B3D7"/>
            </w:tcBorders>
          </w:tcPr>
          <w:p w:rsidR="000B1863" w:rsidRDefault="00D86A11">
            <w:pPr>
              <w:pStyle w:val="MediumGrid21"/>
              <w:rPr>
                <w:rFonts w:eastAsia="Calibri"/>
                <w:szCs w:val="22"/>
              </w:rPr>
            </w:pPr>
            <w:r>
              <w:rPr>
                <w:rFonts w:eastAsia="Calibri"/>
                <w:szCs w:val="22"/>
              </w:rPr>
              <w:t>- Agreement between SW, attorney, and court</w:t>
            </w:r>
          </w:p>
        </w:tc>
        <w:tc>
          <w:tcPr>
            <w:tcW w:w="3024" w:type="dxa"/>
            <w:tcBorders>
              <w:top w:val="single" w:sz="2" w:space="0" w:color="95B3D7"/>
              <w:left w:val="single" w:sz="2" w:space="0" w:color="95B3D7"/>
              <w:bottom w:val="single" w:sz="2" w:space="0" w:color="95B3D7"/>
              <w:right w:val="nil"/>
            </w:tcBorders>
          </w:tcPr>
          <w:p w:rsidR="000B1863" w:rsidRDefault="00D86A11">
            <w:pPr>
              <w:pStyle w:val="MediumGrid21"/>
              <w:rPr>
                <w:rFonts w:eastAsia="Calibri"/>
                <w:szCs w:val="22"/>
              </w:rPr>
            </w:pPr>
            <w:r>
              <w:rPr>
                <w:rFonts w:eastAsia="Calibri"/>
                <w:szCs w:val="22"/>
              </w:rPr>
              <w:t>- Exit TDM to ensure safety network is in place</w:t>
            </w:r>
          </w:p>
        </w:tc>
      </w:tr>
      <w:tr w:rsidR="00D86A11">
        <w:trPr>
          <w:trHeight w:val="144"/>
        </w:trPr>
        <w:tc>
          <w:tcPr>
            <w:tcW w:w="3139" w:type="dxa"/>
            <w:tcBorders>
              <w:top w:val="single" w:sz="2" w:space="0" w:color="95B3D7"/>
              <w:left w:val="nil"/>
              <w:bottom w:val="single" w:sz="2" w:space="0" w:color="95B3D7"/>
              <w:right w:val="single" w:sz="2" w:space="0" w:color="95B3D7"/>
            </w:tcBorders>
            <w:shd w:val="clear" w:color="auto" w:fill="DBE5F1"/>
          </w:tcPr>
          <w:p w:rsidR="000B1863" w:rsidRDefault="00D86A11">
            <w:pPr>
              <w:pStyle w:val="MediumGrid21"/>
              <w:rPr>
                <w:rFonts w:eastAsia="Calibri"/>
                <w:b/>
                <w:bCs/>
                <w:szCs w:val="22"/>
              </w:rPr>
            </w:pPr>
            <w:r>
              <w:rPr>
                <w:rFonts w:eastAsia="Calibri"/>
                <w:bCs/>
                <w:szCs w:val="22"/>
              </w:rPr>
              <w:t>- Limited assessments of parental abilities</w:t>
            </w:r>
          </w:p>
        </w:tc>
        <w:tc>
          <w:tcPr>
            <w:tcW w:w="3050" w:type="dxa"/>
            <w:tcBorders>
              <w:top w:val="single" w:sz="2" w:space="0" w:color="95B3D7"/>
              <w:left w:val="single" w:sz="2" w:space="0" w:color="95B3D7"/>
              <w:bottom w:val="single" w:sz="2" w:space="0" w:color="95B3D7"/>
              <w:right w:val="single" w:sz="2" w:space="0" w:color="95B3D7"/>
            </w:tcBorders>
            <w:shd w:val="clear" w:color="auto" w:fill="DBE5F1"/>
          </w:tcPr>
          <w:p w:rsidR="000B1863" w:rsidRDefault="00D86A11">
            <w:pPr>
              <w:pStyle w:val="MediumGrid21"/>
              <w:rPr>
                <w:rFonts w:eastAsia="Calibri"/>
                <w:szCs w:val="22"/>
              </w:rPr>
            </w:pPr>
            <w:r>
              <w:rPr>
                <w:rFonts w:eastAsia="Calibri"/>
                <w:szCs w:val="22"/>
              </w:rPr>
              <w:t>- Protective issue is the only risk factor</w:t>
            </w:r>
          </w:p>
        </w:tc>
        <w:tc>
          <w:tcPr>
            <w:tcW w:w="3024" w:type="dxa"/>
            <w:tcBorders>
              <w:top w:val="single" w:sz="2" w:space="0" w:color="95B3D7"/>
              <w:left w:val="single" w:sz="2" w:space="0" w:color="95B3D7"/>
              <w:bottom w:val="single" w:sz="2" w:space="0" w:color="95B3D7"/>
              <w:right w:val="nil"/>
            </w:tcBorders>
            <w:shd w:val="clear" w:color="auto" w:fill="DBE5F1"/>
          </w:tcPr>
          <w:p w:rsidR="000B1863" w:rsidRDefault="00D86A11">
            <w:pPr>
              <w:pStyle w:val="MediumGrid21"/>
              <w:rPr>
                <w:rFonts w:eastAsia="Calibri"/>
                <w:szCs w:val="22"/>
              </w:rPr>
            </w:pPr>
            <w:r>
              <w:rPr>
                <w:rFonts w:eastAsia="Calibri"/>
                <w:szCs w:val="22"/>
              </w:rPr>
              <w:t>- Regular SW visits at home</w:t>
            </w:r>
          </w:p>
        </w:tc>
      </w:tr>
      <w:tr w:rsidR="00D86A11">
        <w:trPr>
          <w:trHeight w:val="90"/>
        </w:trPr>
        <w:tc>
          <w:tcPr>
            <w:tcW w:w="3139" w:type="dxa"/>
            <w:tcBorders>
              <w:top w:val="single" w:sz="2" w:space="0" w:color="95B3D7"/>
              <w:left w:val="nil"/>
              <w:bottom w:val="single" w:sz="2" w:space="0" w:color="95B3D7"/>
              <w:right w:val="single" w:sz="2" w:space="0" w:color="95B3D7"/>
            </w:tcBorders>
          </w:tcPr>
          <w:p w:rsidR="000B1863" w:rsidRDefault="00D86A11">
            <w:pPr>
              <w:pStyle w:val="MediumGrid21"/>
              <w:rPr>
                <w:rFonts w:eastAsia="Calibri"/>
                <w:b/>
                <w:bCs/>
                <w:szCs w:val="22"/>
              </w:rPr>
            </w:pPr>
            <w:r>
              <w:rPr>
                <w:rFonts w:eastAsia="Calibri"/>
                <w:bCs/>
                <w:szCs w:val="22"/>
              </w:rPr>
              <w:t>- Court and attorney may have over relied on single source worker</w:t>
            </w:r>
          </w:p>
        </w:tc>
        <w:tc>
          <w:tcPr>
            <w:tcW w:w="3050" w:type="dxa"/>
            <w:tcBorders>
              <w:top w:val="single" w:sz="2" w:space="0" w:color="95B3D7"/>
              <w:left w:val="single" w:sz="2" w:space="0" w:color="95B3D7"/>
              <w:bottom w:val="single" w:sz="2" w:space="0" w:color="95B3D7"/>
              <w:right w:val="single" w:sz="2" w:space="0" w:color="95B3D7"/>
            </w:tcBorders>
          </w:tcPr>
          <w:p w:rsidR="000B1863" w:rsidRDefault="00D86A11">
            <w:pPr>
              <w:pStyle w:val="MediumGrid21"/>
              <w:rPr>
                <w:rFonts w:eastAsia="Calibri"/>
                <w:szCs w:val="22"/>
              </w:rPr>
            </w:pPr>
            <w:r>
              <w:rPr>
                <w:rFonts w:eastAsia="Calibri"/>
                <w:szCs w:val="22"/>
              </w:rPr>
              <w:t>- Judge prioritizes child stability</w:t>
            </w:r>
          </w:p>
        </w:tc>
        <w:tc>
          <w:tcPr>
            <w:tcW w:w="3024" w:type="dxa"/>
            <w:tcBorders>
              <w:top w:val="single" w:sz="2" w:space="0" w:color="95B3D7"/>
              <w:left w:val="single" w:sz="2" w:space="0" w:color="95B3D7"/>
              <w:bottom w:val="single" w:sz="2" w:space="0" w:color="95B3D7"/>
              <w:right w:val="nil"/>
            </w:tcBorders>
          </w:tcPr>
          <w:p w:rsidR="000B1863" w:rsidRDefault="00D86A11">
            <w:pPr>
              <w:pStyle w:val="MediumGrid21"/>
              <w:rPr>
                <w:rFonts w:eastAsia="Calibri"/>
                <w:szCs w:val="22"/>
              </w:rPr>
            </w:pPr>
            <w:r>
              <w:rPr>
                <w:rFonts w:eastAsia="Calibri"/>
                <w:szCs w:val="22"/>
              </w:rPr>
              <w:t>- Court understanding and mandating services that are child centered</w:t>
            </w:r>
          </w:p>
        </w:tc>
      </w:tr>
      <w:tr w:rsidR="00D86A11">
        <w:trPr>
          <w:trHeight w:val="144"/>
        </w:trPr>
        <w:tc>
          <w:tcPr>
            <w:tcW w:w="3139" w:type="dxa"/>
            <w:tcBorders>
              <w:top w:val="single" w:sz="2" w:space="0" w:color="95B3D7"/>
              <w:left w:val="nil"/>
              <w:bottom w:val="single" w:sz="2" w:space="0" w:color="95B3D7"/>
              <w:right w:val="single" w:sz="2" w:space="0" w:color="95B3D7"/>
            </w:tcBorders>
            <w:shd w:val="clear" w:color="auto" w:fill="DBE5F1"/>
          </w:tcPr>
          <w:p w:rsidR="000B1863" w:rsidRDefault="00D86A11">
            <w:pPr>
              <w:pStyle w:val="MediumGrid21"/>
              <w:rPr>
                <w:rFonts w:eastAsia="Calibri"/>
                <w:b/>
                <w:bCs/>
                <w:szCs w:val="22"/>
              </w:rPr>
            </w:pPr>
            <w:r>
              <w:rPr>
                <w:rFonts w:eastAsia="Calibri"/>
                <w:bCs/>
                <w:szCs w:val="22"/>
              </w:rPr>
              <w:t>- Sometimes reunification is not the answer (unsafe environment, chaotic, etc)</w:t>
            </w:r>
          </w:p>
        </w:tc>
        <w:tc>
          <w:tcPr>
            <w:tcW w:w="3050" w:type="dxa"/>
            <w:tcBorders>
              <w:top w:val="single" w:sz="2" w:space="0" w:color="95B3D7"/>
              <w:left w:val="single" w:sz="2" w:space="0" w:color="95B3D7"/>
              <w:bottom w:val="single" w:sz="2" w:space="0" w:color="95B3D7"/>
              <w:right w:val="single" w:sz="2" w:space="0" w:color="95B3D7"/>
            </w:tcBorders>
            <w:shd w:val="clear" w:color="auto" w:fill="DBE5F1"/>
          </w:tcPr>
          <w:p w:rsidR="000B1863" w:rsidRDefault="00D86A11">
            <w:pPr>
              <w:pStyle w:val="MediumGrid21"/>
              <w:rPr>
                <w:rFonts w:eastAsia="Calibri"/>
                <w:szCs w:val="22"/>
              </w:rPr>
            </w:pPr>
            <w:r>
              <w:rPr>
                <w:rFonts w:eastAsia="Calibri"/>
                <w:szCs w:val="22"/>
              </w:rPr>
              <w:t>- Regular visits between parents and children graduating timely to unsupervised</w:t>
            </w:r>
          </w:p>
        </w:tc>
        <w:tc>
          <w:tcPr>
            <w:tcW w:w="3024" w:type="dxa"/>
            <w:tcBorders>
              <w:top w:val="single" w:sz="2" w:space="0" w:color="95B3D7"/>
              <w:left w:val="single" w:sz="2" w:space="0" w:color="95B3D7"/>
              <w:bottom w:val="single" w:sz="2" w:space="0" w:color="95B3D7"/>
              <w:right w:val="nil"/>
            </w:tcBorders>
            <w:shd w:val="clear" w:color="auto" w:fill="DBE5F1"/>
          </w:tcPr>
          <w:p w:rsidR="000B1863" w:rsidRDefault="00D86A11">
            <w:pPr>
              <w:pStyle w:val="MediumGrid21"/>
              <w:rPr>
                <w:rFonts w:eastAsia="Calibri"/>
                <w:szCs w:val="22"/>
              </w:rPr>
            </w:pPr>
            <w:r>
              <w:rPr>
                <w:rFonts w:eastAsia="Calibri"/>
                <w:szCs w:val="22"/>
              </w:rPr>
              <w:t>- Child centered plan</w:t>
            </w:r>
          </w:p>
        </w:tc>
      </w:tr>
      <w:tr w:rsidR="00D86A11">
        <w:trPr>
          <w:trHeight w:val="90"/>
        </w:trPr>
        <w:tc>
          <w:tcPr>
            <w:tcW w:w="3139" w:type="dxa"/>
            <w:tcBorders>
              <w:top w:val="single" w:sz="2" w:space="0" w:color="95B3D7"/>
              <w:left w:val="nil"/>
              <w:bottom w:val="single" w:sz="2" w:space="0" w:color="95B3D7"/>
              <w:right w:val="single" w:sz="2" w:space="0" w:color="95B3D7"/>
            </w:tcBorders>
          </w:tcPr>
          <w:p w:rsidR="000B1863" w:rsidRDefault="00D86A11">
            <w:pPr>
              <w:pStyle w:val="MediumGrid21"/>
              <w:rPr>
                <w:rFonts w:eastAsia="Calibri"/>
                <w:b/>
                <w:bCs/>
                <w:szCs w:val="22"/>
              </w:rPr>
            </w:pPr>
            <w:r>
              <w:rPr>
                <w:rFonts w:eastAsia="Calibri"/>
                <w:bCs/>
                <w:szCs w:val="22"/>
              </w:rPr>
              <w:t>- Continuing case when no safety issue is present</w:t>
            </w:r>
          </w:p>
        </w:tc>
        <w:tc>
          <w:tcPr>
            <w:tcW w:w="3050" w:type="dxa"/>
            <w:tcBorders>
              <w:top w:val="single" w:sz="2" w:space="0" w:color="95B3D7"/>
              <w:left w:val="single" w:sz="2" w:space="0" w:color="95B3D7"/>
              <w:bottom w:val="single" w:sz="2" w:space="0" w:color="95B3D7"/>
              <w:right w:val="single" w:sz="2" w:space="0" w:color="95B3D7"/>
            </w:tcBorders>
          </w:tcPr>
          <w:p w:rsidR="000B1863" w:rsidRDefault="00D86A11">
            <w:pPr>
              <w:pStyle w:val="MediumGrid21"/>
              <w:rPr>
                <w:rFonts w:eastAsia="Calibri"/>
                <w:szCs w:val="22"/>
              </w:rPr>
            </w:pPr>
            <w:r>
              <w:rPr>
                <w:rFonts w:eastAsia="Calibri"/>
                <w:szCs w:val="22"/>
              </w:rPr>
              <w:t>- Worker as advocate for child and family</w:t>
            </w:r>
          </w:p>
        </w:tc>
        <w:tc>
          <w:tcPr>
            <w:tcW w:w="3024" w:type="dxa"/>
            <w:tcBorders>
              <w:top w:val="single" w:sz="2" w:space="0" w:color="95B3D7"/>
              <w:left w:val="single" w:sz="2" w:space="0" w:color="95B3D7"/>
              <w:bottom w:val="single" w:sz="2" w:space="0" w:color="95B3D7"/>
              <w:right w:val="nil"/>
            </w:tcBorders>
          </w:tcPr>
          <w:p w:rsidR="000B1863" w:rsidRDefault="00D86A11">
            <w:pPr>
              <w:pStyle w:val="MediumGrid21"/>
              <w:rPr>
                <w:rFonts w:eastAsia="Calibri"/>
                <w:szCs w:val="22"/>
              </w:rPr>
            </w:pPr>
            <w:r>
              <w:rPr>
                <w:rFonts w:eastAsia="Calibri"/>
                <w:szCs w:val="22"/>
              </w:rPr>
              <w:t>- Use of parent partner</w:t>
            </w:r>
          </w:p>
        </w:tc>
      </w:tr>
      <w:tr w:rsidR="00D86A11">
        <w:trPr>
          <w:trHeight w:val="827"/>
        </w:trPr>
        <w:tc>
          <w:tcPr>
            <w:tcW w:w="3139" w:type="dxa"/>
            <w:tcBorders>
              <w:top w:val="single" w:sz="2" w:space="0" w:color="95B3D7"/>
              <w:left w:val="nil"/>
              <w:bottom w:val="single" w:sz="2" w:space="0" w:color="95B3D7"/>
              <w:right w:val="single" w:sz="2" w:space="0" w:color="95B3D7"/>
            </w:tcBorders>
            <w:shd w:val="clear" w:color="auto" w:fill="DBE5F1"/>
          </w:tcPr>
          <w:p w:rsidR="000B1863" w:rsidRDefault="00D86A11">
            <w:pPr>
              <w:pStyle w:val="MediumGrid21"/>
              <w:rPr>
                <w:rFonts w:eastAsia="Calibri"/>
                <w:b/>
                <w:bCs/>
                <w:szCs w:val="22"/>
              </w:rPr>
            </w:pPr>
            <w:r>
              <w:rPr>
                <w:rFonts w:eastAsia="Calibri"/>
                <w:bCs/>
                <w:szCs w:val="22"/>
              </w:rPr>
              <w:t>- Once one bio parent is ID’d for reunification, efforts are stopped to reunify with other</w:t>
            </w:r>
          </w:p>
        </w:tc>
        <w:tc>
          <w:tcPr>
            <w:tcW w:w="3050" w:type="dxa"/>
            <w:tcBorders>
              <w:top w:val="single" w:sz="2" w:space="0" w:color="95B3D7"/>
              <w:left w:val="single" w:sz="2" w:space="0" w:color="95B3D7"/>
              <w:bottom w:val="single" w:sz="2" w:space="0" w:color="95B3D7"/>
              <w:right w:val="single" w:sz="2" w:space="0" w:color="95B3D7"/>
            </w:tcBorders>
            <w:shd w:val="clear" w:color="auto" w:fill="DBE5F1"/>
          </w:tcPr>
          <w:p w:rsidR="000B1863" w:rsidRDefault="00D86A11">
            <w:pPr>
              <w:pStyle w:val="MediumGrid21"/>
              <w:rPr>
                <w:rFonts w:eastAsia="Calibri"/>
                <w:szCs w:val="22"/>
              </w:rPr>
            </w:pPr>
            <w:r>
              <w:rPr>
                <w:rFonts w:eastAsia="Calibri"/>
                <w:szCs w:val="22"/>
              </w:rPr>
              <w:t>- Not placing with family if they aren’t ready</w:t>
            </w:r>
          </w:p>
        </w:tc>
        <w:tc>
          <w:tcPr>
            <w:tcW w:w="3024" w:type="dxa"/>
            <w:tcBorders>
              <w:top w:val="single" w:sz="2" w:space="0" w:color="95B3D7"/>
              <w:left w:val="single" w:sz="2" w:space="0" w:color="95B3D7"/>
              <w:bottom w:val="single" w:sz="2" w:space="0" w:color="95B3D7"/>
              <w:right w:val="nil"/>
            </w:tcBorders>
            <w:shd w:val="clear" w:color="auto" w:fill="DBE5F1"/>
          </w:tcPr>
          <w:p w:rsidR="000B1863" w:rsidRDefault="00D86A11">
            <w:pPr>
              <w:pStyle w:val="MediumGrid21"/>
              <w:rPr>
                <w:rFonts w:eastAsia="Calibri"/>
                <w:szCs w:val="22"/>
              </w:rPr>
            </w:pPr>
            <w:r>
              <w:rPr>
                <w:rFonts w:eastAsia="Calibri"/>
                <w:szCs w:val="22"/>
              </w:rPr>
              <w:t>- Created notebook for family at the end where they showcased photos, awards, and programs completed</w:t>
            </w:r>
          </w:p>
        </w:tc>
      </w:tr>
      <w:tr w:rsidR="00D86A11">
        <w:trPr>
          <w:trHeight w:val="215"/>
        </w:trPr>
        <w:tc>
          <w:tcPr>
            <w:tcW w:w="3139" w:type="dxa"/>
            <w:tcBorders>
              <w:top w:val="single" w:sz="2" w:space="0" w:color="95B3D7"/>
              <w:left w:val="nil"/>
              <w:bottom w:val="single" w:sz="2" w:space="0" w:color="95B3D7"/>
              <w:right w:val="single" w:sz="2" w:space="0" w:color="95B3D7"/>
            </w:tcBorders>
          </w:tcPr>
          <w:p w:rsidR="000B1863" w:rsidRDefault="000B1863">
            <w:pPr>
              <w:pStyle w:val="MediumGrid21"/>
              <w:rPr>
                <w:rFonts w:eastAsia="Calibri"/>
                <w:b/>
                <w:bCs/>
                <w:szCs w:val="22"/>
              </w:rPr>
            </w:pPr>
          </w:p>
        </w:tc>
        <w:tc>
          <w:tcPr>
            <w:tcW w:w="3050" w:type="dxa"/>
            <w:tcBorders>
              <w:top w:val="single" w:sz="2" w:space="0" w:color="95B3D7"/>
              <w:left w:val="single" w:sz="2" w:space="0" w:color="95B3D7"/>
              <w:bottom w:val="single" w:sz="2" w:space="0" w:color="95B3D7"/>
              <w:right w:val="single" w:sz="2" w:space="0" w:color="95B3D7"/>
            </w:tcBorders>
          </w:tcPr>
          <w:p w:rsidR="000B1863" w:rsidRDefault="00D86A11">
            <w:pPr>
              <w:pStyle w:val="MediumGrid21"/>
              <w:rPr>
                <w:rFonts w:eastAsia="Calibri"/>
                <w:szCs w:val="22"/>
              </w:rPr>
            </w:pPr>
            <w:r>
              <w:rPr>
                <w:rFonts w:eastAsia="Calibri"/>
                <w:szCs w:val="22"/>
              </w:rPr>
              <w:t>- Timely reunification</w:t>
            </w:r>
          </w:p>
        </w:tc>
        <w:tc>
          <w:tcPr>
            <w:tcW w:w="3024" w:type="dxa"/>
            <w:tcBorders>
              <w:top w:val="single" w:sz="2" w:space="0" w:color="95B3D7"/>
              <w:left w:val="single" w:sz="2" w:space="0" w:color="95B3D7"/>
              <w:bottom w:val="single" w:sz="2" w:space="0" w:color="95B3D7"/>
              <w:right w:val="nil"/>
            </w:tcBorders>
          </w:tcPr>
          <w:p w:rsidR="000B1863" w:rsidRDefault="00D86A11">
            <w:pPr>
              <w:pStyle w:val="MediumGrid21"/>
              <w:rPr>
                <w:rFonts w:eastAsia="Calibri"/>
                <w:szCs w:val="22"/>
              </w:rPr>
            </w:pPr>
            <w:r>
              <w:rPr>
                <w:rFonts w:eastAsia="Calibri"/>
                <w:szCs w:val="22"/>
              </w:rPr>
              <w:t>- Gave pictures to court at hearings so they could see how good the children and parents were doing</w:t>
            </w:r>
          </w:p>
        </w:tc>
      </w:tr>
    </w:tbl>
    <w:p w:rsidR="000B1863" w:rsidRDefault="000B1863">
      <w:pPr>
        <w:pStyle w:val="MediumGrid21"/>
      </w:pPr>
    </w:p>
    <w:tbl>
      <w:tblPr>
        <w:tblW w:w="9244" w:type="dxa"/>
        <w:tblBorders>
          <w:top w:val="single" w:sz="2" w:space="0" w:color="FABF8F"/>
          <w:bottom w:val="single" w:sz="2" w:space="0" w:color="FABF8F"/>
          <w:insideH w:val="single" w:sz="2" w:space="0" w:color="FABF8F"/>
          <w:insideV w:val="single" w:sz="2" w:space="0" w:color="FABF8F"/>
        </w:tblBorders>
        <w:tblLook w:val="04A0" w:firstRow="1" w:lastRow="0" w:firstColumn="1" w:lastColumn="0" w:noHBand="0" w:noVBand="1"/>
      </w:tblPr>
      <w:tblGrid>
        <w:gridCol w:w="3150"/>
        <w:gridCol w:w="3060"/>
        <w:gridCol w:w="3034"/>
      </w:tblGrid>
      <w:tr w:rsidR="00D86A11">
        <w:trPr>
          <w:trHeight w:val="255"/>
        </w:trPr>
        <w:tc>
          <w:tcPr>
            <w:tcW w:w="9244" w:type="dxa"/>
            <w:gridSpan w:val="3"/>
            <w:tcBorders>
              <w:top w:val="nil"/>
              <w:left w:val="nil"/>
              <w:bottom w:val="single" w:sz="12" w:space="0" w:color="FABF8F"/>
              <w:right w:val="nil"/>
            </w:tcBorders>
            <w:shd w:val="clear" w:color="auto" w:fill="FFFFFF"/>
            <w:vAlign w:val="center"/>
          </w:tcPr>
          <w:p w:rsidR="00D86A11" w:rsidRDefault="00D86A11">
            <w:pPr>
              <w:pStyle w:val="Heading3"/>
              <w:rPr>
                <w:rFonts w:eastAsia="Calibri"/>
                <w:b w:val="0"/>
                <w:bCs/>
              </w:rPr>
            </w:pPr>
            <w:r>
              <w:rPr>
                <w:rFonts w:eastAsia="Calibri"/>
                <w:b w:val="0"/>
                <w:bCs/>
              </w:rPr>
              <w:t>Permanency Options and Aftercare Themes</w:t>
            </w:r>
          </w:p>
        </w:tc>
      </w:tr>
      <w:tr w:rsidR="00D86A11">
        <w:trPr>
          <w:trHeight w:val="255"/>
        </w:trPr>
        <w:tc>
          <w:tcPr>
            <w:tcW w:w="3150"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jc w:val="center"/>
              <w:rPr>
                <w:rFonts w:eastAsia="Calibri"/>
                <w:b/>
                <w:bCs/>
                <w:szCs w:val="22"/>
              </w:rPr>
            </w:pPr>
            <w:r>
              <w:rPr>
                <w:rFonts w:eastAsia="Calibri"/>
                <w:b/>
                <w:bCs/>
                <w:szCs w:val="22"/>
              </w:rPr>
              <w:t>Challenges</w:t>
            </w:r>
          </w:p>
        </w:tc>
        <w:tc>
          <w:tcPr>
            <w:tcW w:w="3060"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jc w:val="center"/>
              <w:rPr>
                <w:rFonts w:eastAsia="Calibri"/>
                <w:b/>
                <w:szCs w:val="22"/>
              </w:rPr>
            </w:pPr>
            <w:r>
              <w:rPr>
                <w:rFonts w:eastAsia="Calibri"/>
                <w:b/>
                <w:szCs w:val="22"/>
              </w:rPr>
              <w:t>Strengths</w:t>
            </w:r>
          </w:p>
        </w:tc>
        <w:tc>
          <w:tcPr>
            <w:tcW w:w="3034" w:type="dxa"/>
            <w:tcBorders>
              <w:top w:val="single" w:sz="2" w:space="0" w:color="FABF8F"/>
              <w:left w:val="single" w:sz="2" w:space="0" w:color="FABF8F"/>
              <w:bottom w:val="single" w:sz="2" w:space="0" w:color="FABF8F"/>
              <w:right w:val="nil"/>
            </w:tcBorders>
            <w:shd w:val="clear" w:color="auto" w:fill="FDE9D9"/>
          </w:tcPr>
          <w:p w:rsidR="000B1863" w:rsidRDefault="00D86A11">
            <w:pPr>
              <w:pStyle w:val="MediumGrid21"/>
              <w:jc w:val="center"/>
              <w:rPr>
                <w:rFonts w:eastAsia="Calibri"/>
                <w:b/>
                <w:szCs w:val="22"/>
              </w:rPr>
            </w:pPr>
            <w:r>
              <w:rPr>
                <w:rFonts w:eastAsia="Calibri"/>
                <w:b/>
                <w:szCs w:val="22"/>
              </w:rPr>
              <w:t>Insights/Best Practices</w:t>
            </w:r>
          </w:p>
        </w:tc>
      </w:tr>
      <w:tr w:rsidR="00D86A11">
        <w:trPr>
          <w:trHeight w:val="143"/>
        </w:trPr>
        <w:tc>
          <w:tcPr>
            <w:tcW w:w="3150" w:type="dxa"/>
            <w:tcBorders>
              <w:top w:val="single" w:sz="2" w:space="0" w:color="FABF8F"/>
              <w:left w:val="nil"/>
              <w:bottom w:val="single" w:sz="2" w:space="0" w:color="FABF8F"/>
              <w:right w:val="single" w:sz="2" w:space="0" w:color="FABF8F"/>
            </w:tcBorders>
          </w:tcPr>
          <w:p w:rsidR="000B1863" w:rsidRDefault="00D86A11">
            <w:pPr>
              <w:pStyle w:val="MediumGrid21"/>
              <w:rPr>
                <w:rFonts w:eastAsia="Calibri"/>
                <w:b/>
                <w:bCs/>
                <w:szCs w:val="22"/>
              </w:rPr>
            </w:pPr>
            <w:r>
              <w:rPr>
                <w:rFonts w:eastAsia="Calibri"/>
                <w:bCs/>
                <w:szCs w:val="22"/>
              </w:rPr>
              <w:t>- Permanent housing</w:t>
            </w:r>
          </w:p>
        </w:tc>
        <w:tc>
          <w:tcPr>
            <w:tcW w:w="3060"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All parties involved in the permanency planning</w:t>
            </w:r>
          </w:p>
        </w:tc>
        <w:tc>
          <w:tcPr>
            <w:tcW w:w="3034" w:type="dxa"/>
            <w:tcBorders>
              <w:top w:val="single" w:sz="2" w:space="0" w:color="FABF8F"/>
              <w:left w:val="single" w:sz="2" w:space="0" w:color="FABF8F"/>
              <w:bottom w:val="single" w:sz="2" w:space="0" w:color="FABF8F"/>
              <w:right w:val="nil"/>
            </w:tcBorders>
          </w:tcPr>
          <w:p w:rsidR="000B1863" w:rsidRDefault="00D86A11">
            <w:pPr>
              <w:pStyle w:val="MediumGrid21"/>
              <w:rPr>
                <w:rFonts w:eastAsia="Calibri"/>
                <w:szCs w:val="22"/>
              </w:rPr>
            </w:pPr>
            <w:r>
              <w:rPr>
                <w:rFonts w:eastAsia="Calibri"/>
                <w:szCs w:val="22"/>
              </w:rPr>
              <w:t>- Early discharge planning</w:t>
            </w:r>
          </w:p>
        </w:tc>
      </w:tr>
      <w:tr w:rsidR="00D86A11">
        <w:trPr>
          <w:trHeight w:val="305"/>
        </w:trPr>
        <w:tc>
          <w:tcPr>
            <w:tcW w:w="3150"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rPr>
                <w:rFonts w:eastAsia="Calibri"/>
                <w:b/>
                <w:bCs/>
                <w:szCs w:val="22"/>
              </w:rPr>
            </w:pPr>
            <w:r>
              <w:rPr>
                <w:rFonts w:eastAsia="Calibri"/>
                <w:bCs/>
                <w:szCs w:val="22"/>
              </w:rPr>
              <w:t>- Late discharge planning</w:t>
            </w:r>
          </w:p>
        </w:tc>
        <w:tc>
          <w:tcPr>
            <w:tcW w:w="3060"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rPr>
                <w:rFonts w:eastAsia="Calibri"/>
                <w:szCs w:val="22"/>
              </w:rPr>
            </w:pPr>
            <w:r>
              <w:rPr>
                <w:rFonts w:eastAsia="Calibri"/>
                <w:szCs w:val="22"/>
              </w:rPr>
              <w:t>- ILP to prepare for permanency</w:t>
            </w:r>
          </w:p>
        </w:tc>
        <w:tc>
          <w:tcPr>
            <w:tcW w:w="3034" w:type="dxa"/>
            <w:tcBorders>
              <w:top w:val="single" w:sz="2" w:space="0" w:color="FABF8F"/>
              <w:left w:val="single" w:sz="2" w:space="0" w:color="FABF8F"/>
              <w:bottom w:val="single" w:sz="2" w:space="0" w:color="FABF8F"/>
              <w:right w:val="nil"/>
            </w:tcBorders>
            <w:shd w:val="clear" w:color="auto" w:fill="FDE9D9"/>
          </w:tcPr>
          <w:p w:rsidR="000B1863" w:rsidRDefault="00D86A11">
            <w:pPr>
              <w:pStyle w:val="MediumGrid21"/>
              <w:rPr>
                <w:rFonts w:eastAsia="Calibri"/>
                <w:szCs w:val="22"/>
              </w:rPr>
            </w:pPr>
            <w:r>
              <w:rPr>
                <w:rFonts w:eastAsia="Calibri"/>
                <w:szCs w:val="22"/>
              </w:rPr>
              <w:t>- Pursue any and all adult living situations</w:t>
            </w:r>
          </w:p>
        </w:tc>
      </w:tr>
      <w:tr w:rsidR="00D86A11">
        <w:trPr>
          <w:trHeight w:val="90"/>
        </w:trPr>
        <w:tc>
          <w:tcPr>
            <w:tcW w:w="3150" w:type="dxa"/>
            <w:tcBorders>
              <w:top w:val="single" w:sz="2" w:space="0" w:color="FABF8F"/>
              <w:left w:val="nil"/>
              <w:bottom w:val="single" w:sz="2" w:space="0" w:color="FABF8F"/>
              <w:right w:val="single" w:sz="2" w:space="0" w:color="FABF8F"/>
            </w:tcBorders>
          </w:tcPr>
          <w:p w:rsidR="000B1863" w:rsidRDefault="00D86A11">
            <w:pPr>
              <w:pStyle w:val="MediumGrid21"/>
              <w:rPr>
                <w:rFonts w:eastAsia="Calibri"/>
                <w:b/>
                <w:bCs/>
                <w:szCs w:val="22"/>
              </w:rPr>
            </w:pPr>
            <w:r>
              <w:rPr>
                <w:rFonts w:eastAsia="Calibri"/>
                <w:bCs/>
                <w:szCs w:val="22"/>
              </w:rPr>
              <w:t>- Limited known options for developmentally disabled youth at discharge</w:t>
            </w:r>
          </w:p>
        </w:tc>
        <w:tc>
          <w:tcPr>
            <w:tcW w:w="3060"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Aftercare safety plan in place</w:t>
            </w:r>
          </w:p>
        </w:tc>
        <w:tc>
          <w:tcPr>
            <w:tcW w:w="3034" w:type="dxa"/>
            <w:tcBorders>
              <w:top w:val="single" w:sz="2" w:space="0" w:color="FABF8F"/>
              <w:left w:val="single" w:sz="2" w:space="0" w:color="FABF8F"/>
              <w:bottom w:val="single" w:sz="2" w:space="0" w:color="FABF8F"/>
              <w:right w:val="nil"/>
            </w:tcBorders>
          </w:tcPr>
          <w:p w:rsidR="000B1863" w:rsidRDefault="00D86A11">
            <w:pPr>
              <w:pStyle w:val="MediumGrid21"/>
              <w:rPr>
                <w:rFonts w:eastAsia="Calibri"/>
                <w:szCs w:val="22"/>
              </w:rPr>
            </w:pPr>
            <w:r>
              <w:rPr>
                <w:rFonts w:eastAsia="Calibri"/>
                <w:szCs w:val="22"/>
              </w:rPr>
              <w:t>- SW training and understands court mandates and timelines and alignments with services</w:t>
            </w:r>
          </w:p>
        </w:tc>
      </w:tr>
      <w:tr w:rsidR="00D86A11">
        <w:trPr>
          <w:trHeight w:val="144"/>
        </w:trPr>
        <w:tc>
          <w:tcPr>
            <w:tcW w:w="3150"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rPr>
                <w:rFonts w:eastAsia="Calibri"/>
                <w:b/>
                <w:bCs/>
                <w:szCs w:val="22"/>
              </w:rPr>
            </w:pPr>
            <w:r>
              <w:rPr>
                <w:rFonts w:eastAsia="Calibri"/>
                <w:bCs/>
                <w:szCs w:val="22"/>
              </w:rPr>
              <w:t>- Immigration status</w:t>
            </w:r>
          </w:p>
        </w:tc>
        <w:tc>
          <w:tcPr>
            <w:tcW w:w="3060"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rPr>
                <w:rFonts w:eastAsia="Calibri"/>
                <w:szCs w:val="22"/>
              </w:rPr>
            </w:pPr>
            <w:r>
              <w:rPr>
                <w:rFonts w:eastAsia="Calibri"/>
                <w:szCs w:val="22"/>
              </w:rPr>
              <w:t>- Section 8 housing support</w:t>
            </w:r>
          </w:p>
        </w:tc>
        <w:tc>
          <w:tcPr>
            <w:tcW w:w="3034" w:type="dxa"/>
            <w:tcBorders>
              <w:top w:val="single" w:sz="2" w:space="0" w:color="FABF8F"/>
              <w:left w:val="single" w:sz="2" w:space="0" w:color="FABF8F"/>
              <w:bottom w:val="single" w:sz="2" w:space="0" w:color="FABF8F"/>
              <w:right w:val="nil"/>
            </w:tcBorders>
            <w:shd w:val="clear" w:color="auto" w:fill="FDE9D9"/>
          </w:tcPr>
          <w:p w:rsidR="000B1863" w:rsidRDefault="00D86A11">
            <w:pPr>
              <w:pStyle w:val="MediumGrid21"/>
              <w:rPr>
                <w:rFonts w:eastAsia="Calibri"/>
                <w:szCs w:val="22"/>
              </w:rPr>
            </w:pPr>
            <w:r>
              <w:rPr>
                <w:rFonts w:eastAsia="Calibri"/>
                <w:szCs w:val="22"/>
              </w:rPr>
              <w:t>- Assess safety risk in multiple settings</w:t>
            </w:r>
          </w:p>
        </w:tc>
      </w:tr>
      <w:tr w:rsidR="00D86A11">
        <w:trPr>
          <w:trHeight w:val="90"/>
        </w:trPr>
        <w:tc>
          <w:tcPr>
            <w:tcW w:w="3150" w:type="dxa"/>
            <w:tcBorders>
              <w:top w:val="single" w:sz="2" w:space="0" w:color="FABF8F"/>
              <w:left w:val="nil"/>
              <w:bottom w:val="single" w:sz="2" w:space="0" w:color="FABF8F"/>
              <w:right w:val="single" w:sz="2" w:space="0" w:color="FABF8F"/>
            </w:tcBorders>
          </w:tcPr>
          <w:p w:rsidR="000B1863" w:rsidRDefault="00D86A11">
            <w:pPr>
              <w:pStyle w:val="MediumGrid21"/>
              <w:rPr>
                <w:rFonts w:eastAsia="Calibri"/>
                <w:b/>
                <w:bCs/>
                <w:szCs w:val="22"/>
              </w:rPr>
            </w:pPr>
            <w:r>
              <w:rPr>
                <w:rFonts w:eastAsia="Calibri"/>
                <w:bCs/>
                <w:szCs w:val="22"/>
              </w:rPr>
              <w:t>- Delayed and insufficient community based aftercare services in place</w:t>
            </w:r>
          </w:p>
        </w:tc>
        <w:tc>
          <w:tcPr>
            <w:tcW w:w="3060"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Stabilized basic needs</w:t>
            </w:r>
          </w:p>
        </w:tc>
        <w:tc>
          <w:tcPr>
            <w:tcW w:w="3034" w:type="dxa"/>
            <w:tcBorders>
              <w:top w:val="single" w:sz="2" w:space="0" w:color="FABF8F"/>
              <w:left w:val="single" w:sz="2" w:space="0" w:color="FABF8F"/>
              <w:bottom w:val="single" w:sz="2" w:space="0" w:color="FABF8F"/>
              <w:right w:val="nil"/>
            </w:tcBorders>
          </w:tcPr>
          <w:p w:rsidR="000B1863" w:rsidRDefault="00D86A11">
            <w:pPr>
              <w:pStyle w:val="MediumGrid21"/>
              <w:rPr>
                <w:rFonts w:eastAsia="Calibri"/>
                <w:szCs w:val="22"/>
              </w:rPr>
            </w:pPr>
            <w:r>
              <w:rPr>
                <w:rFonts w:eastAsia="Calibri"/>
                <w:szCs w:val="22"/>
              </w:rPr>
              <w:t>- Utilize/engage formal and informal support services</w:t>
            </w:r>
          </w:p>
        </w:tc>
      </w:tr>
      <w:tr w:rsidR="00D86A11">
        <w:trPr>
          <w:trHeight w:val="144"/>
        </w:trPr>
        <w:tc>
          <w:tcPr>
            <w:tcW w:w="3150" w:type="dxa"/>
            <w:tcBorders>
              <w:top w:val="single" w:sz="2" w:space="0" w:color="FABF8F"/>
              <w:left w:val="nil"/>
              <w:bottom w:val="single" w:sz="2" w:space="0" w:color="FABF8F"/>
              <w:right w:val="single" w:sz="2" w:space="0" w:color="FABF8F"/>
            </w:tcBorders>
            <w:shd w:val="clear" w:color="auto" w:fill="FDE9D9"/>
          </w:tcPr>
          <w:p w:rsidR="000B1863" w:rsidRDefault="00D86A11">
            <w:pPr>
              <w:pStyle w:val="MediumGrid21"/>
              <w:rPr>
                <w:rFonts w:eastAsia="Calibri"/>
                <w:b/>
                <w:bCs/>
                <w:szCs w:val="22"/>
              </w:rPr>
            </w:pPr>
            <w:r>
              <w:rPr>
                <w:rFonts w:eastAsia="Calibri"/>
                <w:bCs/>
                <w:szCs w:val="22"/>
              </w:rPr>
              <w:t>- Lack of support and services for dads</w:t>
            </w:r>
          </w:p>
        </w:tc>
        <w:tc>
          <w:tcPr>
            <w:tcW w:w="3060"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rPr>
                <w:rFonts w:eastAsia="Calibri"/>
                <w:szCs w:val="22"/>
              </w:rPr>
            </w:pPr>
            <w:r>
              <w:rPr>
                <w:rFonts w:eastAsia="Calibri"/>
                <w:szCs w:val="22"/>
              </w:rPr>
              <w:t>- Parental employment</w:t>
            </w:r>
          </w:p>
        </w:tc>
        <w:tc>
          <w:tcPr>
            <w:tcW w:w="3034" w:type="dxa"/>
            <w:tcBorders>
              <w:top w:val="single" w:sz="2" w:space="0" w:color="FABF8F"/>
              <w:left w:val="single" w:sz="2" w:space="0" w:color="FABF8F"/>
              <w:bottom w:val="single" w:sz="2" w:space="0" w:color="FABF8F"/>
              <w:right w:val="nil"/>
            </w:tcBorders>
            <w:shd w:val="clear" w:color="auto" w:fill="FDE9D9"/>
          </w:tcPr>
          <w:p w:rsidR="000B1863" w:rsidRDefault="00D86A11">
            <w:pPr>
              <w:pStyle w:val="MediumGrid21"/>
              <w:rPr>
                <w:rFonts w:eastAsia="Calibri"/>
                <w:szCs w:val="22"/>
              </w:rPr>
            </w:pPr>
            <w:r>
              <w:rPr>
                <w:rFonts w:eastAsia="Calibri"/>
                <w:szCs w:val="22"/>
              </w:rPr>
              <w:t>- Safety networks in place</w:t>
            </w:r>
          </w:p>
        </w:tc>
      </w:tr>
      <w:tr w:rsidR="00D86A11">
        <w:trPr>
          <w:trHeight w:val="90"/>
        </w:trPr>
        <w:tc>
          <w:tcPr>
            <w:tcW w:w="3150" w:type="dxa"/>
            <w:tcBorders>
              <w:top w:val="single" w:sz="2" w:space="0" w:color="FABF8F"/>
              <w:left w:val="nil"/>
              <w:bottom w:val="single" w:sz="2" w:space="0" w:color="FABF8F"/>
              <w:right w:val="single" w:sz="2" w:space="0" w:color="FABF8F"/>
            </w:tcBorders>
          </w:tcPr>
          <w:p w:rsidR="000B1863" w:rsidRDefault="000B1863">
            <w:pPr>
              <w:pStyle w:val="MediumGrid21"/>
              <w:rPr>
                <w:rFonts w:eastAsia="Calibri"/>
                <w:b/>
                <w:bCs/>
                <w:szCs w:val="22"/>
              </w:rPr>
            </w:pPr>
          </w:p>
        </w:tc>
        <w:tc>
          <w:tcPr>
            <w:tcW w:w="3060" w:type="dxa"/>
            <w:tcBorders>
              <w:top w:val="single" w:sz="2" w:space="0" w:color="FABF8F"/>
              <w:left w:val="single" w:sz="2" w:space="0" w:color="FABF8F"/>
              <w:bottom w:val="single" w:sz="2" w:space="0" w:color="FABF8F"/>
              <w:right w:val="single" w:sz="2" w:space="0" w:color="FABF8F"/>
            </w:tcBorders>
          </w:tcPr>
          <w:p w:rsidR="000B1863" w:rsidRDefault="00D86A11">
            <w:pPr>
              <w:pStyle w:val="MediumGrid21"/>
              <w:rPr>
                <w:rFonts w:eastAsia="Calibri"/>
                <w:szCs w:val="22"/>
              </w:rPr>
            </w:pPr>
            <w:r>
              <w:rPr>
                <w:rFonts w:eastAsia="Calibri"/>
                <w:szCs w:val="22"/>
              </w:rPr>
              <w:t>- Minimal disruptions for the child</w:t>
            </w:r>
          </w:p>
        </w:tc>
        <w:tc>
          <w:tcPr>
            <w:tcW w:w="3034" w:type="dxa"/>
            <w:tcBorders>
              <w:top w:val="single" w:sz="2" w:space="0" w:color="FABF8F"/>
              <w:left w:val="single" w:sz="2" w:space="0" w:color="FABF8F"/>
              <w:bottom w:val="single" w:sz="2" w:space="0" w:color="FABF8F"/>
              <w:right w:val="nil"/>
            </w:tcBorders>
          </w:tcPr>
          <w:p w:rsidR="000B1863" w:rsidRDefault="00D86A11">
            <w:pPr>
              <w:pStyle w:val="MediumGrid21"/>
              <w:rPr>
                <w:rFonts w:eastAsia="Calibri"/>
                <w:szCs w:val="22"/>
              </w:rPr>
            </w:pPr>
            <w:r>
              <w:rPr>
                <w:rFonts w:eastAsia="Calibri"/>
                <w:szCs w:val="22"/>
              </w:rPr>
              <w:t>- Linkage to community resources</w:t>
            </w:r>
          </w:p>
        </w:tc>
      </w:tr>
      <w:tr w:rsidR="00D86A11">
        <w:trPr>
          <w:trHeight w:val="90"/>
        </w:trPr>
        <w:tc>
          <w:tcPr>
            <w:tcW w:w="3150" w:type="dxa"/>
            <w:tcBorders>
              <w:top w:val="single" w:sz="2" w:space="0" w:color="FABF8F"/>
              <w:left w:val="nil"/>
              <w:bottom w:val="single" w:sz="2" w:space="0" w:color="FABF8F"/>
              <w:right w:val="single" w:sz="2" w:space="0" w:color="FABF8F"/>
            </w:tcBorders>
            <w:shd w:val="clear" w:color="auto" w:fill="FDE9D9"/>
          </w:tcPr>
          <w:p w:rsidR="000B1863" w:rsidRDefault="000B1863">
            <w:pPr>
              <w:pStyle w:val="MediumGrid21"/>
              <w:rPr>
                <w:rFonts w:eastAsia="Calibri"/>
                <w:b/>
                <w:bCs/>
                <w:szCs w:val="22"/>
              </w:rPr>
            </w:pPr>
          </w:p>
        </w:tc>
        <w:tc>
          <w:tcPr>
            <w:tcW w:w="3060" w:type="dxa"/>
            <w:tcBorders>
              <w:top w:val="single" w:sz="2" w:space="0" w:color="FABF8F"/>
              <w:left w:val="single" w:sz="2" w:space="0" w:color="FABF8F"/>
              <w:bottom w:val="single" w:sz="2" w:space="0" w:color="FABF8F"/>
              <w:right w:val="single" w:sz="2" w:space="0" w:color="FABF8F"/>
            </w:tcBorders>
            <w:shd w:val="clear" w:color="auto" w:fill="FDE9D9"/>
          </w:tcPr>
          <w:p w:rsidR="000B1863" w:rsidRDefault="00D86A11">
            <w:pPr>
              <w:pStyle w:val="MediumGrid21"/>
              <w:rPr>
                <w:rFonts w:eastAsia="Calibri"/>
                <w:szCs w:val="22"/>
              </w:rPr>
            </w:pPr>
            <w:r>
              <w:rPr>
                <w:rFonts w:eastAsia="Calibri"/>
                <w:szCs w:val="22"/>
              </w:rPr>
              <w:t>- Enrollment in preschool helped parents and kids</w:t>
            </w:r>
          </w:p>
        </w:tc>
        <w:tc>
          <w:tcPr>
            <w:tcW w:w="3034" w:type="dxa"/>
            <w:tcBorders>
              <w:top w:val="single" w:sz="2" w:space="0" w:color="FABF8F"/>
              <w:left w:val="single" w:sz="2" w:space="0" w:color="FABF8F"/>
              <w:bottom w:val="single" w:sz="2" w:space="0" w:color="FABF8F"/>
              <w:right w:val="nil"/>
            </w:tcBorders>
            <w:shd w:val="clear" w:color="auto" w:fill="FDE9D9"/>
          </w:tcPr>
          <w:p w:rsidR="000B1863" w:rsidRDefault="000B1863">
            <w:pPr>
              <w:pStyle w:val="MediumGrid21"/>
              <w:rPr>
                <w:rFonts w:eastAsia="Calibri"/>
                <w:szCs w:val="22"/>
              </w:rPr>
            </w:pPr>
          </w:p>
        </w:tc>
      </w:tr>
    </w:tbl>
    <w:p w:rsidR="000B1863" w:rsidRDefault="000B1863">
      <w:pPr>
        <w:pStyle w:val="MediumGrid21"/>
      </w:pPr>
    </w:p>
    <w:tbl>
      <w:tblPr>
        <w:tblW w:w="9244" w:type="dxa"/>
        <w:tblBorders>
          <w:top w:val="single" w:sz="2" w:space="0" w:color="D99594"/>
          <w:bottom w:val="single" w:sz="2" w:space="0" w:color="D99594"/>
          <w:insideH w:val="single" w:sz="2" w:space="0" w:color="D99594"/>
          <w:insideV w:val="single" w:sz="2" w:space="0" w:color="D99594"/>
        </w:tblBorders>
        <w:tblLook w:val="04A0" w:firstRow="1" w:lastRow="0" w:firstColumn="1" w:lastColumn="0" w:noHBand="0" w:noVBand="1"/>
      </w:tblPr>
      <w:tblGrid>
        <w:gridCol w:w="3150"/>
        <w:gridCol w:w="3060"/>
        <w:gridCol w:w="3034"/>
      </w:tblGrid>
      <w:tr w:rsidR="00D86A11">
        <w:trPr>
          <w:trHeight w:val="255"/>
        </w:trPr>
        <w:tc>
          <w:tcPr>
            <w:tcW w:w="9244" w:type="dxa"/>
            <w:gridSpan w:val="3"/>
            <w:tcBorders>
              <w:top w:val="nil"/>
              <w:left w:val="nil"/>
              <w:bottom w:val="single" w:sz="12" w:space="0" w:color="D99594"/>
              <w:right w:val="nil"/>
            </w:tcBorders>
            <w:shd w:val="clear" w:color="auto" w:fill="FFFFFF"/>
            <w:vAlign w:val="center"/>
          </w:tcPr>
          <w:p w:rsidR="00D86A11" w:rsidRDefault="00D86A11">
            <w:pPr>
              <w:pStyle w:val="Heading3"/>
              <w:rPr>
                <w:rFonts w:eastAsia="Calibri"/>
                <w:b w:val="0"/>
                <w:bCs/>
              </w:rPr>
            </w:pPr>
            <w:r>
              <w:rPr>
                <w:rFonts w:eastAsia="Calibri"/>
                <w:b w:val="0"/>
                <w:bCs/>
              </w:rPr>
              <w:lastRenderedPageBreak/>
              <w:t>Reentry Themes</w:t>
            </w:r>
          </w:p>
        </w:tc>
      </w:tr>
      <w:tr w:rsidR="00D86A11">
        <w:trPr>
          <w:trHeight w:val="255"/>
        </w:trPr>
        <w:tc>
          <w:tcPr>
            <w:tcW w:w="3150" w:type="dxa"/>
            <w:tcBorders>
              <w:top w:val="single" w:sz="2" w:space="0" w:color="D99594"/>
              <w:left w:val="nil"/>
              <w:bottom w:val="single" w:sz="2" w:space="0" w:color="D99594"/>
              <w:right w:val="single" w:sz="2" w:space="0" w:color="D99594"/>
            </w:tcBorders>
            <w:shd w:val="clear" w:color="auto" w:fill="F2DBDB"/>
          </w:tcPr>
          <w:p w:rsidR="000B1863" w:rsidRDefault="00D86A11">
            <w:pPr>
              <w:pStyle w:val="MediumGrid21"/>
              <w:jc w:val="center"/>
              <w:rPr>
                <w:rFonts w:eastAsia="Calibri"/>
                <w:b/>
                <w:bCs/>
                <w:szCs w:val="22"/>
              </w:rPr>
            </w:pPr>
            <w:r>
              <w:rPr>
                <w:rFonts w:eastAsia="Calibri"/>
                <w:b/>
                <w:bCs/>
                <w:szCs w:val="22"/>
              </w:rPr>
              <w:t>Challenges</w:t>
            </w:r>
          </w:p>
        </w:tc>
        <w:tc>
          <w:tcPr>
            <w:tcW w:w="3060"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D86A11">
            <w:pPr>
              <w:pStyle w:val="MediumGrid21"/>
              <w:jc w:val="center"/>
              <w:rPr>
                <w:rFonts w:eastAsia="Calibri"/>
                <w:b/>
                <w:szCs w:val="22"/>
              </w:rPr>
            </w:pPr>
            <w:r>
              <w:rPr>
                <w:rFonts w:eastAsia="Calibri"/>
                <w:b/>
                <w:szCs w:val="22"/>
              </w:rPr>
              <w:t>Strengths</w:t>
            </w:r>
          </w:p>
        </w:tc>
        <w:tc>
          <w:tcPr>
            <w:tcW w:w="3034" w:type="dxa"/>
            <w:tcBorders>
              <w:top w:val="single" w:sz="2" w:space="0" w:color="D99594"/>
              <w:left w:val="single" w:sz="2" w:space="0" w:color="D99594"/>
              <w:bottom w:val="single" w:sz="2" w:space="0" w:color="D99594"/>
              <w:right w:val="nil"/>
            </w:tcBorders>
            <w:shd w:val="clear" w:color="auto" w:fill="F2DBDB"/>
          </w:tcPr>
          <w:p w:rsidR="000B1863" w:rsidRDefault="00D86A11">
            <w:pPr>
              <w:pStyle w:val="MediumGrid21"/>
              <w:jc w:val="center"/>
              <w:rPr>
                <w:rFonts w:eastAsia="Calibri"/>
                <w:b/>
                <w:szCs w:val="22"/>
              </w:rPr>
            </w:pPr>
            <w:r>
              <w:rPr>
                <w:rFonts w:eastAsia="Calibri"/>
                <w:b/>
                <w:szCs w:val="22"/>
              </w:rPr>
              <w:t>Insights/Best Practices</w:t>
            </w:r>
          </w:p>
        </w:tc>
      </w:tr>
      <w:tr w:rsidR="00D86A11">
        <w:trPr>
          <w:trHeight w:val="143"/>
        </w:trPr>
        <w:tc>
          <w:tcPr>
            <w:tcW w:w="3150" w:type="dxa"/>
            <w:tcBorders>
              <w:top w:val="single" w:sz="2" w:space="0" w:color="D99594"/>
              <w:left w:val="nil"/>
              <w:bottom w:val="single" w:sz="2" w:space="0" w:color="D99594"/>
              <w:right w:val="single" w:sz="2" w:space="0" w:color="D99594"/>
            </w:tcBorders>
          </w:tcPr>
          <w:p w:rsidR="000B1863" w:rsidRDefault="00D86A11">
            <w:pPr>
              <w:pStyle w:val="MediumGrid21"/>
              <w:rPr>
                <w:rFonts w:eastAsia="Calibri"/>
                <w:b/>
                <w:bCs/>
                <w:szCs w:val="22"/>
              </w:rPr>
            </w:pPr>
            <w:r>
              <w:rPr>
                <w:rFonts w:eastAsia="Calibri"/>
                <w:bCs/>
                <w:szCs w:val="22"/>
              </w:rPr>
              <w:t>- Permanent housing</w:t>
            </w:r>
          </w:p>
        </w:tc>
        <w:tc>
          <w:tcPr>
            <w:tcW w:w="3060" w:type="dxa"/>
            <w:tcBorders>
              <w:top w:val="single" w:sz="2" w:space="0" w:color="D99594"/>
              <w:left w:val="single" w:sz="2" w:space="0" w:color="D99594"/>
              <w:bottom w:val="single" w:sz="2" w:space="0" w:color="D99594"/>
              <w:right w:val="single" w:sz="2" w:space="0" w:color="D99594"/>
            </w:tcBorders>
          </w:tcPr>
          <w:p w:rsidR="000B1863" w:rsidRDefault="00D86A11">
            <w:pPr>
              <w:pStyle w:val="MediumGrid21"/>
              <w:rPr>
                <w:rFonts w:eastAsia="Calibri"/>
                <w:szCs w:val="22"/>
              </w:rPr>
            </w:pPr>
            <w:r>
              <w:rPr>
                <w:rFonts w:eastAsia="Calibri"/>
                <w:szCs w:val="22"/>
              </w:rPr>
              <w:t>- Motivated parent</w:t>
            </w:r>
          </w:p>
        </w:tc>
        <w:tc>
          <w:tcPr>
            <w:tcW w:w="3034" w:type="dxa"/>
            <w:tcBorders>
              <w:top w:val="single" w:sz="2" w:space="0" w:color="D99594"/>
              <w:left w:val="single" w:sz="2" w:space="0" w:color="D99594"/>
              <w:bottom w:val="single" w:sz="2" w:space="0" w:color="D99594"/>
              <w:right w:val="nil"/>
            </w:tcBorders>
          </w:tcPr>
          <w:p w:rsidR="000B1863" w:rsidRDefault="00D86A11">
            <w:pPr>
              <w:pStyle w:val="MediumGrid21"/>
              <w:rPr>
                <w:rFonts w:eastAsia="Calibri"/>
                <w:szCs w:val="22"/>
              </w:rPr>
            </w:pPr>
            <w:r>
              <w:rPr>
                <w:rFonts w:eastAsia="Calibri"/>
                <w:szCs w:val="22"/>
              </w:rPr>
              <w:t>- Early discharge planning</w:t>
            </w:r>
          </w:p>
        </w:tc>
      </w:tr>
      <w:tr w:rsidR="00D86A11">
        <w:trPr>
          <w:trHeight w:val="305"/>
        </w:trPr>
        <w:tc>
          <w:tcPr>
            <w:tcW w:w="3150" w:type="dxa"/>
            <w:tcBorders>
              <w:top w:val="single" w:sz="2" w:space="0" w:color="D99594"/>
              <w:left w:val="nil"/>
              <w:bottom w:val="single" w:sz="2" w:space="0" w:color="D99594"/>
              <w:right w:val="single" w:sz="2" w:space="0" w:color="D99594"/>
            </w:tcBorders>
            <w:shd w:val="clear" w:color="auto" w:fill="F2DBDB"/>
          </w:tcPr>
          <w:p w:rsidR="000B1863" w:rsidRDefault="00D86A11">
            <w:pPr>
              <w:pStyle w:val="MediumGrid21"/>
              <w:rPr>
                <w:rFonts w:eastAsia="Calibri"/>
                <w:b/>
                <w:bCs/>
                <w:szCs w:val="22"/>
              </w:rPr>
            </w:pPr>
            <w:r>
              <w:rPr>
                <w:rFonts w:eastAsia="Calibri"/>
                <w:bCs/>
                <w:szCs w:val="22"/>
              </w:rPr>
              <w:t>- Complicating factors such as MH, AOD, employment</w:t>
            </w:r>
          </w:p>
        </w:tc>
        <w:tc>
          <w:tcPr>
            <w:tcW w:w="3060"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D86A11">
            <w:pPr>
              <w:pStyle w:val="MediumGrid21"/>
              <w:rPr>
                <w:rFonts w:eastAsia="Calibri"/>
                <w:szCs w:val="22"/>
              </w:rPr>
            </w:pPr>
            <w:r>
              <w:rPr>
                <w:rFonts w:eastAsia="Calibri"/>
                <w:szCs w:val="22"/>
              </w:rPr>
              <w:t>- Support system for mother</w:t>
            </w:r>
          </w:p>
        </w:tc>
        <w:tc>
          <w:tcPr>
            <w:tcW w:w="3034" w:type="dxa"/>
            <w:tcBorders>
              <w:top w:val="single" w:sz="2" w:space="0" w:color="D99594"/>
              <w:left w:val="single" w:sz="2" w:space="0" w:color="D99594"/>
              <w:bottom w:val="single" w:sz="2" w:space="0" w:color="D99594"/>
              <w:right w:val="nil"/>
            </w:tcBorders>
            <w:shd w:val="clear" w:color="auto" w:fill="F2DBDB"/>
          </w:tcPr>
          <w:p w:rsidR="000B1863" w:rsidRDefault="00D86A11">
            <w:pPr>
              <w:pStyle w:val="MediumGrid21"/>
              <w:rPr>
                <w:rFonts w:eastAsia="Calibri"/>
                <w:szCs w:val="22"/>
              </w:rPr>
            </w:pPr>
            <w:r>
              <w:rPr>
                <w:rFonts w:eastAsia="Calibri"/>
                <w:szCs w:val="22"/>
              </w:rPr>
              <w:t>- Utilize and engage formal and informal support services to strengthen support network</w:t>
            </w:r>
          </w:p>
        </w:tc>
      </w:tr>
      <w:tr w:rsidR="00D86A11">
        <w:trPr>
          <w:trHeight w:val="90"/>
        </w:trPr>
        <w:tc>
          <w:tcPr>
            <w:tcW w:w="3150" w:type="dxa"/>
            <w:tcBorders>
              <w:top w:val="single" w:sz="2" w:space="0" w:color="D99594"/>
              <w:left w:val="nil"/>
              <w:bottom w:val="single" w:sz="2" w:space="0" w:color="D99594"/>
              <w:right w:val="single" w:sz="2" w:space="0" w:color="D99594"/>
            </w:tcBorders>
          </w:tcPr>
          <w:p w:rsidR="000B1863" w:rsidRDefault="00D86A11">
            <w:pPr>
              <w:pStyle w:val="MediumGrid21"/>
              <w:rPr>
                <w:rFonts w:eastAsia="Calibri"/>
                <w:b/>
                <w:bCs/>
                <w:szCs w:val="22"/>
              </w:rPr>
            </w:pPr>
            <w:r>
              <w:rPr>
                <w:rFonts w:eastAsia="Calibri"/>
                <w:bCs/>
                <w:szCs w:val="22"/>
              </w:rPr>
              <w:t>- Detailed plan for minimizing risk and increasing protective factors (especially with parent MH and AOD)</w:t>
            </w:r>
          </w:p>
        </w:tc>
        <w:tc>
          <w:tcPr>
            <w:tcW w:w="3060" w:type="dxa"/>
            <w:tcBorders>
              <w:top w:val="single" w:sz="2" w:space="0" w:color="D99594"/>
              <w:left w:val="single" w:sz="2" w:space="0" w:color="D99594"/>
              <w:bottom w:val="single" w:sz="2" w:space="0" w:color="D99594"/>
              <w:right w:val="single" w:sz="2" w:space="0" w:color="D99594"/>
            </w:tcBorders>
          </w:tcPr>
          <w:p w:rsidR="000B1863" w:rsidRDefault="00D86A11">
            <w:pPr>
              <w:pStyle w:val="MediumGrid21"/>
              <w:rPr>
                <w:rFonts w:eastAsia="Calibri"/>
                <w:szCs w:val="22"/>
              </w:rPr>
            </w:pPr>
            <w:r>
              <w:rPr>
                <w:rFonts w:eastAsia="Calibri"/>
                <w:szCs w:val="22"/>
              </w:rPr>
              <w:t>- Frequent visitation</w:t>
            </w:r>
          </w:p>
        </w:tc>
        <w:tc>
          <w:tcPr>
            <w:tcW w:w="3034" w:type="dxa"/>
            <w:tcBorders>
              <w:top w:val="single" w:sz="2" w:space="0" w:color="D99594"/>
              <w:left w:val="single" w:sz="2" w:space="0" w:color="D99594"/>
              <w:bottom w:val="single" w:sz="2" w:space="0" w:color="D99594"/>
              <w:right w:val="nil"/>
            </w:tcBorders>
          </w:tcPr>
          <w:p w:rsidR="000B1863" w:rsidRDefault="00D86A11">
            <w:pPr>
              <w:pStyle w:val="MediumGrid21"/>
              <w:rPr>
                <w:rFonts w:eastAsia="Calibri"/>
                <w:szCs w:val="22"/>
              </w:rPr>
            </w:pPr>
            <w:r>
              <w:rPr>
                <w:rFonts w:eastAsia="Calibri"/>
                <w:szCs w:val="22"/>
              </w:rPr>
              <w:t>- Frequent visitation prior to reunification</w:t>
            </w:r>
          </w:p>
        </w:tc>
      </w:tr>
      <w:tr w:rsidR="00D86A11">
        <w:trPr>
          <w:trHeight w:val="144"/>
        </w:trPr>
        <w:tc>
          <w:tcPr>
            <w:tcW w:w="3150" w:type="dxa"/>
            <w:tcBorders>
              <w:top w:val="single" w:sz="2" w:space="0" w:color="D99594"/>
              <w:left w:val="nil"/>
              <w:bottom w:val="single" w:sz="2" w:space="0" w:color="D99594"/>
              <w:right w:val="single" w:sz="2" w:space="0" w:color="D99594"/>
            </w:tcBorders>
            <w:shd w:val="clear" w:color="auto" w:fill="F2DBDB"/>
          </w:tcPr>
          <w:p w:rsidR="000B1863" w:rsidRDefault="00D86A11">
            <w:pPr>
              <w:pStyle w:val="MediumGrid21"/>
              <w:rPr>
                <w:rFonts w:eastAsia="Calibri"/>
                <w:b/>
                <w:bCs/>
                <w:szCs w:val="22"/>
              </w:rPr>
            </w:pPr>
            <w:r>
              <w:rPr>
                <w:rFonts w:eastAsia="Calibri"/>
                <w:bCs/>
                <w:szCs w:val="22"/>
              </w:rPr>
              <w:t>- Placed with parent too soon without sufficient support</w:t>
            </w:r>
          </w:p>
        </w:tc>
        <w:tc>
          <w:tcPr>
            <w:tcW w:w="3060"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D86A11">
            <w:pPr>
              <w:pStyle w:val="MediumGrid21"/>
              <w:rPr>
                <w:rFonts w:eastAsia="Calibri"/>
                <w:szCs w:val="22"/>
              </w:rPr>
            </w:pPr>
            <w:r>
              <w:rPr>
                <w:rFonts w:eastAsia="Calibri"/>
                <w:szCs w:val="22"/>
              </w:rPr>
              <w:t>- Short stay away from parents</w:t>
            </w:r>
          </w:p>
        </w:tc>
        <w:tc>
          <w:tcPr>
            <w:tcW w:w="3034" w:type="dxa"/>
            <w:tcBorders>
              <w:top w:val="single" w:sz="2" w:space="0" w:color="D99594"/>
              <w:left w:val="single" w:sz="2" w:space="0" w:color="D99594"/>
              <w:bottom w:val="single" w:sz="2" w:space="0" w:color="D99594"/>
              <w:right w:val="nil"/>
            </w:tcBorders>
            <w:shd w:val="clear" w:color="auto" w:fill="F2DBDB"/>
          </w:tcPr>
          <w:p w:rsidR="000B1863" w:rsidRDefault="00D86A11">
            <w:pPr>
              <w:pStyle w:val="MediumGrid21"/>
              <w:rPr>
                <w:rFonts w:eastAsia="Calibri"/>
                <w:szCs w:val="22"/>
              </w:rPr>
            </w:pPr>
            <w:r>
              <w:rPr>
                <w:rFonts w:eastAsia="Calibri"/>
                <w:szCs w:val="22"/>
              </w:rPr>
              <w:t>- Thorough assessment prior to reunification</w:t>
            </w:r>
          </w:p>
        </w:tc>
      </w:tr>
      <w:tr w:rsidR="00D86A11">
        <w:trPr>
          <w:trHeight w:val="90"/>
        </w:trPr>
        <w:tc>
          <w:tcPr>
            <w:tcW w:w="3150" w:type="dxa"/>
            <w:tcBorders>
              <w:top w:val="single" w:sz="2" w:space="0" w:color="D99594"/>
              <w:left w:val="nil"/>
              <w:bottom w:val="single" w:sz="2" w:space="0" w:color="D99594"/>
              <w:right w:val="single" w:sz="2" w:space="0" w:color="D99594"/>
            </w:tcBorders>
          </w:tcPr>
          <w:p w:rsidR="000B1863" w:rsidRDefault="000B1863">
            <w:pPr>
              <w:pStyle w:val="MediumGrid21"/>
              <w:rPr>
                <w:rFonts w:eastAsia="Calibri"/>
                <w:b/>
                <w:bCs/>
                <w:szCs w:val="22"/>
              </w:rPr>
            </w:pPr>
          </w:p>
        </w:tc>
        <w:tc>
          <w:tcPr>
            <w:tcW w:w="3060" w:type="dxa"/>
            <w:tcBorders>
              <w:top w:val="single" w:sz="2" w:space="0" w:color="D99594"/>
              <w:left w:val="single" w:sz="2" w:space="0" w:color="D99594"/>
              <w:bottom w:val="single" w:sz="2" w:space="0" w:color="D99594"/>
              <w:right w:val="single" w:sz="2" w:space="0" w:color="D99594"/>
            </w:tcBorders>
          </w:tcPr>
          <w:p w:rsidR="000B1863" w:rsidRDefault="00D86A11">
            <w:pPr>
              <w:pStyle w:val="MediumGrid21"/>
              <w:rPr>
                <w:rFonts w:eastAsia="Calibri"/>
                <w:szCs w:val="22"/>
              </w:rPr>
            </w:pPr>
            <w:r>
              <w:rPr>
                <w:rFonts w:eastAsia="Calibri"/>
                <w:szCs w:val="22"/>
              </w:rPr>
              <w:t>- Basic needs met</w:t>
            </w:r>
          </w:p>
        </w:tc>
        <w:tc>
          <w:tcPr>
            <w:tcW w:w="3034" w:type="dxa"/>
            <w:tcBorders>
              <w:top w:val="single" w:sz="2" w:space="0" w:color="D99594"/>
              <w:left w:val="single" w:sz="2" w:space="0" w:color="D99594"/>
              <w:bottom w:val="single" w:sz="2" w:space="0" w:color="D99594"/>
              <w:right w:val="nil"/>
            </w:tcBorders>
          </w:tcPr>
          <w:p w:rsidR="000B1863" w:rsidRDefault="000B1863">
            <w:pPr>
              <w:pStyle w:val="MediumGrid21"/>
              <w:rPr>
                <w:rFonts w:eastAsia="Calibri"/>
                <w:szCs w:val="22"/>
              </w:rPr>
            </w:pPr>
          </w:p>
        </w:tc>
      </w:tr>
      <w:tr w:rsidR="00D86A11">
        <w:trPr>
          <w:trHeight w:val="144"/>
        </w:trPr>
        <w:tc>
          <w:tcPr>
            <w:tcW w:w="3150" w:type="dxa"/>
            <w:tcBorders>
              <w:top w:val="single" w:sz="2" w:space="0" w:color="D99594"/>
              <w:left w:val="nil"/>
              <w:bottom w:val="single" w:sz="2" w:space="0" w:color="D99594"/>
              <w:right w:val="single" w:sz="2" w:space="0" w:color="D99594"/>
            </w:tcBorders>
            <w:shd w:val="clear" w:color="auto" w:fill="F2DBDB"/>
          </w:tcPr>
          <w:p w:rsidR="000B1863" w:rsidRDefault="000B1863">
            <w:pPr>
              <w:pStyle w:val="MediumGrid21"/>
              <w:rPr>
                <w:rFonts w:eastAsia="Calibri"/>
                <w:b/>
                <w:bCs/>
                <w:szCs w:val="22"/>
              </w:rPr>
            </w:pPr>
          </w:p>
        </w:tc>
        <w:tc>
          <w:tcPr>
            <w:tcW w:w="3060"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D86A11">
            <w:pPr>
              <w:pStyle w:val="MediumGrid21"/>
              <w:rPr>
                <w:rFonts w:eastAsia="Calibri"/>
                <w:szCs w:val="22"/>
              </w:rPr>
            </w:pPr>
            <w:r>
              <w:rPr>
                <w:rFonts w:eastAsia="Calibri"/>
                <w:szCs w:val="22"/>
              </w:rPr>
              <w:t>- SW as advocate</w:t>
            </w:r>
          </w:p>
        </w:tc>
        <w:tc>
          <w:tcPr>
            <w:tcW w:w="3034" w:type="dxa"/>
            <w:tcBorders>
              <w:top w:val="single" w:sz="2" w:space="0" w:color="D99594"/>
              <w:left w:val="single" w:sz="2" w:space="0" w:color="D99594"/>
              <w:bottom w:val="single" w:sz="2" w:space="0" w:color="D99594"/>
              <w:right w:val="nil"/>
            </w:tcBorders>
            <w:shd w:val="clear" w:color="auto" w:fill="F2DBDB"/>
          </w:tcPr>
          <w:p w:rsidR="000B1863" w:rsidRDefault="000B1863">
            <w:pPr>
              <w:pStyle w:val="MediumGrid21"/>
              <w:rPr>
                <w:rFonts w:eastAsia="Calibri"/>
                <w:szCs w:val="22"/>
              </w:rPr>
            </w:pPr>
          </w:p>
        </w:tc>
      </w:tr>
      <w:tr w:rsidR="00D86A11">
        <w:trPr>
          <w:trHeight w:val="90"/>
        </w:trPr>
        <w:tc>
          <w:tcPr>
            <w:tcW w:w="3150" w:type="dxa"/>
            <w:tcBorders>
              <w:top w:val="single" w:sz="2" w:space="0" w:color="D99594"/>
              <w:left w:val="nil"/>
              <w:bottom w:val="single" w:sz="2" w:space="0" w:color="D99594"/>
              <w:right w:val="single" w:sz="2" w:space="0" w:color="D99594"/>
            </w:tcBorders>
          </w:tcPr>
          <w:p w:rsidR="000B1863" w:rsidRDefault="000B1863">
            <w:pPr>
              <w:pStyle w:val="MediumGrid21"/>
              <w:rPr>
                <w:rFonts w:eastAsia="Calibri"/>
                <w:b/>
                <w:bCs/>
                <w:szCs w:val="22"/>
              </w:rPr>
            </w:pPr>
          </w:p>
        </w:tc>
        <w:tc>
          <w:tcPr>
            <w:tcW w:w="3060" w:type="dxa"/>
            <w:tcBorders>
              <w:top w:val="single" w:sz="2" w:space="0" w:color="D99594"/>
              <w:left w:val="single" w:sz="2" w:space="0" w:color="D99594"/>
              <w:bottom w:val="single" w:sz="2" w:space="0" w:color="D99594"/>
              <w:right w:val="single" w:sz="2" w:space="0" w:color="D99594"/>
            </w:tcBorders>
          </w:tcPr>
          <w:p w:rsidR="000B1863" w:rsidRDefault="00D86A11">
            <w:pPr>
              <w:pStyle w:val="MediumGrid21"/>
              <w:rPr>
                <w:rFonts w:eastAsia="Calibri"/>
                <w:szCs w:val="22"/>
              </w:rPr>
            </w:pPr>
            <w:r>
              <w:rPr>
                <w:rFonts w:eastAsia="Calibri"/>
                <w:szCs w:val="22"/>
              </w:rPr>
              <w:t>- Timely access to targeted services</w:t>
            </w:r>
          </w:p>
        </w:tc>
        <w:tc>
          <w:tcPr>
            <w:tcW w:w="3034" w:type="dxa"/>
            <w:tcBorders>
              <w:top w:val="single" w:sz="2" w:space="0" w:color="D99594"/>
              <w:left w:val="single" w:sz="2" w:space="0" w:color="D99594"/>
              <w:bottom w:val="single" w:sz="2" w:space="0" w:color="D99594"/>
              <w:right w:val="nil"/>
            </w:tcBorders>
          </w:tcPr>
          <w:p w:rsidR="000B1863" w:rsidRDefault="000B1863">
            <w:pPr>
              <w:pStyle w:val="MediumGrid21"/>
              <w:rPr>
                <w:rFonts w:eastAsia="Calibri"/>
                <w:szCs w:val="22"/>
              </w:rPr>
            </w:pPr>
          </w:p>
        </w:tc>
      </w:tr>
      <w:tr w:rsidR="00D86A11">
        <w:trPr>
          <w:trHeight w:val="90"/>
        </w:trPr>
        <w:tc>
          <w:tcPr>
            <w:tcW w:w="3150" w:type="dxa"/>
            <w:tcBorders>
              <w:top w:val="single" w:sz="2" w:space="0" w:color="D99594"/>
              <w:left w:val="nil"/>
              <w:bottom w:val="single" w:sz="2" w:space="0" w:color="D99594"/>
              <w:right w:val="single" w:sz="2" w:space="0" w:color="D99594"/>
            </w:tcBorders>
            <w:shd w:val="clear" w:color="auto" w:fill="F2DBDB"/>
          </w:tcPr>
          <w:p w:rsidR="000B1863" w:rsidRDefault="000B1863">
            <w:pPr>
              <w:pStyle w:val="MediumGrid21"/>
              <w:rPr>
                <w:rFonts w:eastAsia="Calibri"/>
                <w:b/>
                <w:bCs/>
                <w:szCs w:val="22"/>
              </w:rPr>
            </w:pPr>
          </w:p>
        </w:tc>
        <w:tc>
          <w:tcPr>
            <w:tcW w:w="3060" w:type="dxa"/>
            <w:tcBorders>
              <w:top w:val="single" w:sz="2" w:space="0" w:color="D99594"/>
              <w:left w:val="single" w:sz="2" w:space="0" w:color="D99594"/>
              <w:bottom w:val="single" w:sz="2" w:space="0" w:color="D99594"/>
              <w:right w:val="single" w:sz="2" w:space="0" w:color="D99594"/>
            </w:tcBorders>
            <w:shd w:val="clear" w:color="auto" w:fill="F2DBDB"/>
          </w:tcPr>
          <w:p w:rsidR="000B1863" w:rsidRDefault="00D86A11">
            <w:pPr>
              <w:pStyle w:val="MediumGrid21"/>
              <w:rPr>
                <w:rFonts w:eastAsia="Calibri"/>
                <w:szCs w:val="22"/>
              </w:rPr>
            </w:pPr>
            <w:r>
              <w:rPr>
                <w:rFonts w:eastAsia="Calibri"/>
                <w:szCs w:val="22"/>
              </w:rPr>
              <w:t>- Family involvement</w:t>
            </w:r>
          </w:p>
        </w:tc>
        <w:tc>
          <w:tcPr>
            <w:tcW w:w="3034" w:type="dxa"/>
            <w:tcBorders>
              <w:top w:val="single" w:sz="2" w:space="0" w:color="D99594"/>
              <w:left w:val="single" w:sz="2" w:space="0" w:color="D99594"/>
              <w:bottom w:val="single" w:sz="2" w:space="0" w:color="D99594"/>
              <w:right w:val="nil"/>
            </w:tcBorders>
            <w:shd w:val="clear" w:color="auto" w:fill="F2DBDB"/>
          </w:tcPr>
          <w:p w:rsidR="000B1863" w:rsidRDefault="000B1863">
            <w:pPr>
              <w:pStyle w:val="MediumGrid21"/>
              <w:rPr>
                <w:rFonts w:eastAsia="Calibri"/>
                <w:szCs w:val="22"/>
              </w:rPr>
            </w:pPr>
          </w:p>
        </w:tc>
      </w:tr>
    </w:tbl>
    <w:p w:rsidR="00D86A11" w:rsidRDefault="00D86A11" w:rsidP="00D86A11">
      <w:pPr>
        <w:pStyle w:val="Heading2"/>
      </w:pPr>
    </w:p>
    <w:tbl>
      <w:tblPr>
        <w:tblW w:w="9828" w:type="dxa"/>
        <w:tblBorders>
          <w:top w:val="single" w:sz="2" w:space="0" w:color="C2D69B"/>
          <w:bottom w:val="single" w:sz="2" w:space="0" w:color="C2D69B"/>
          <w:insideH w:val="single" w:sz="2" w:space="0" w:color="C2D69B"/>
          <w:insideV w:val="single" w:sz="2" w:space="0" w:color="C2D69B"/>
        </w:tblBorders>
        <w:tblLook w:val="04A0" w:firstRow="1" w:lastRow="0" w:firstColumn="1" w:lastColumn="0" w:noHBand="0" w:noVBand="1"/>
      </w:tblPr>
      <w:tblGrid>
        <w:gridCol w:w="3581"/>
        <w:gridCol w:w="3477"/>
        <w:gridCol w:w="2770"/>
      </w:tblGrid>
      <w:tr w:rsidR="00D86A11">
        <w:trPr>
          <w:trHeight w:val="246"/>
        </w:trPr>
        <w:tc>
          <w:tcPr>
            <w:tcW w:w="9828" w:type="dxa"/>
            <w:gridSpan w:val="3"/>
            <w:tcBorders>
              <w:top w:val="nil"/>
              <w:left w:val="nil"/>
              <w:bottom w:val="single" w:sz="12" w:space="0" w:color="C2D69B"/>
              <w:right w:val="nil"/>
            </w:tcBorders>
            <w:shd w:val="clear" w:color="auto" w:fill="FFFFFF"/>
          </w:tcPr>
          <w:p w:rsidR="00D86A11" w:rsidRDefault="00D86A11">
            <w:pPr>
              <w:pStyle w:val="Heading3"/>
              <w:rPr>
                <w:rFonts w:eastAsia="Calibri"/>
                <w:b w:val="0"/>
                <w:bCs/>
              </w:rPr>
            </w:pPr>
            <w:r>
              <w:rPr>
                <w:rFonts w:eastAsia="Calibri"/>
                <w:b w:val="0"/>
                <w:bCs/>
              </w:rPr>
              <w:t>Probation Recommendations</w:t>
            </w:r>
          </w:p>
        </w:tc>
      </w:tr>
      <w:tr w:rsidR="00D86A11">
        <w:trPr>
          <w:trHeight w:val="246"/>
        </w:trPr>
        <w:tc>
          <w:tcPr>
            <w:tcW w:w="3581" w:type="dxa"/>
            <w:tcBorders>
              <w:top w:val="single" w:sz="2" w:space="0" w:color="C2D69B"/>
              <w:left w:val="nil"/>
              <w:bottom w:val="single" w:sz="2" w:space="0" w:color="C2D69B"/>
              <w:right w:val="single" w:sz="2" w:space="0" w:color="C2D69B"/>
            </w:tcBorders>
            <w:shd w:val="clear" w:color="auto" w:fill="EAF1DD"/>
          </w:tcPr>
          <w:p w:rsidR="000B1863" w:rsidRDefault="00D86A11">
            <w:pPr>
              <w:pStyle w:val="MediumGrid21"/>
              <w:jc w:val="center"/>
              <w:rPr>
                <w:rFonts w:eastAsia="Calibri"/>
                <w:b/>
                <w:bCs/>
                <w:szCs w:val="22"/>
              </w:rPr>
            </w:pPr>
            <w:r>
              <w:rPr>
                <w:rFonts w:eastAsia="Calibri"/>
                <w:b/>
                <w:bCs/>
                <w:szCs w:val="22"/>
              </w:rPr>
              <w:t>Training</w:t>
            </w:r>
          </w:p>
        </w:tc>
        <w:tc>
          <w:tcPr>
            <w:tcW w:w="3477" w:type="dxa"/>
            <w:tcBorders>
              <w:top w:val="single" w:sz="2" w:space="0" w:color="C2D69B"/>
              <w:left w:val="single" w:sz="2" w:space="0" w:color="C2D69B"/>
              <w:bottom w:val="single" w:sz="2" w:space="0" w:color="C2D69B"/>
              <w:right w:val="single" w:sz="2" w:space="0" w:color="C2D69B"/>
            </w:tcBorders>
            <w:shd w:val="clear" w:color="auto" w:fill="EAF1DD"/>
          </w:tcPr>
          <w:p w:rsidR="000B1863" w:rsidRDefault="00D86A11">
            <w:pPr>
              <w:pStyle w:val="MediumGrid21"/>
              <w:jc w:val="center"/>
              <w:rPr>
                <w:rFonts w:eastAsia="Calibri"/>
                <w:b/>
                <w:szCs w:val="22"/>
              </w:rPr>
            </w:pPr>
            <w:r>
              <w:rPr>
                <w:rFonts w:eastAsia="Calibri"/>
                <w:b/>
                <w:szCs w:val="22"/>
              </w:rPr>
              <w:t>Resources</w:t>
            </w:r>
          </w:p>
        </w:tc>
        <w:tc>
          <w:tcPr>
            <w:tcW w:w="2770" w:type="dxa"/>
            <w:tcBorders>
              <w:top w:val="single" w:sz="2" w:space="0" w:color="C2D69B"/>
              <w:left w:val="single" w:sz="2" w:space="0" w:color="C2D69B"/>
              <w:bottom w:val="single" w:sz="2" w:space="0" w:color="C2D69B"/>
              <w:right w:val="nil"/>
            </w:tcBorders>
            <w:shd w:val="clear" w:color="auto" w:fill="EAF1DD"/>
          </w:tcPr>
          <w:p w:rsidR="000B1863" w:rsidRDefault="00D86A11">
            <w:pPr>
              <w:pStyle w:val="MediumGrid21"/>
              <w:jc w:val="center"/>
              <w:rPr>
                <w:rFonts w:eastAsia="Calibri"/>
                <w:b/>
                <w:szCs w:val="22"/>
              </w:rPr>
            </w:pPr>
            <w:r>
              <w:rPr>
                <w:rFonts w:eastAsia="Calibri"/>
                <w:b/>
                <w:szCs w:val="22"/>
              </w:rPr>
              <w:t>Policy/Procedure</w:t>
            </w:r>
          </w:p>
        </w:tc>
      </w:tr>
      <w:tr w:rsidR="00D86A11">
        <w:trPr>
          <w:trHeight w:val="137"/>
        </w:trPr>
        <w:tc>
          <w:tcPr>
            <w:tcW w:w="3581" w:type="dxa"/>
            <w:tcBorders>
              <w:top w:val="single" w:sz="2" w:space="0" w:color="C2D69B"/>
              <w:left w:val="nil"/>
              <w:bottom w:val="single" w:sz="2" w:space="0" w:color="C2D69B"/>
              <w:right w:val="single" w:sz="2" w:space="0" w:color="C2D69B"/>
            </w:tcBorders>
          </w:tcPr>
          <w:p w:rsidR="000B1863" w:rsidRDefault="00D86A11">
            <w:pPr>
              <w:pStyle w:val="MediumGrid21"/>
              <w:rPr>
                <w:rFonts w:eastAsia="Calibri"/>
                <w:b/>
                <w:bCs/>
                <w:szCs w:val="22"/>
              </w:rPr>
            </w:pPr>
            <w:r>
              <w:rPr>
                <w:rFonts w:eastAsia="Calibri"/>
                <w:bCs/>
                <w:szCs w:val="22"/>
              </w:rPr>
              <w:t>- Case planning for youth older than 18 who are low functioning</w:t>
            </w:r>
          </w:p>
        </w:tc>
        <w:tc>
          <w:tcPr>
            <w:tcW w:w="3477" w:type="dxa"/>
            <w:tcBorders>
              <w:top w:val="single" w:sz="2" w:space="0" w:color="C2D69B"/>
              <w:left w:val="single" w:sz="2" w:space="0" w:color="C2D69B"/>
              <w:bottom w:val="single" w:sz="2" w:space="0" w:color="C2D69B"/>
              <w:right w:val="single" w:sz="2" w:space="0" w:color="C2D69B"/>
            </w:tcBorders>
          </w:tcPr>
          <w:p w:rsidR="000B1863" w:rsidRDefault="00D86A11">
            <w:pPr>
              <w:pStyle w:val="MediumGrid21"/>
              <w:rPr>
                <w:rFonts w:eastAsia="Calibri"/>
                <w:szCs w:val="22"/>
              </w:rPr>
            </w:pPr>
            <w:r>
              <w:rPr>
                <w:rFonts w:eastAsia="Calibri"/>
                <w:szCs w:val="22"/>
              </w:rPr>
              <w:t>- Emotional Survival for PO</w:t>
            </w:r>
          </w:p>
        </w:tc>
        <w:tc>
          <w:tcPr>
            <w:tcW w:w="2770" w:type="dxa"/>
            <w:tcBorders>
              <w:top w:val="single" w:sz="2" w:space="0" w:color="C2D69B"/>
              <w:left w:val="single" w:sz="2" w:space="0" w:color="C2D69B"/>
              <w:bottom w:val="single" w:sz="2" w:space="0" w:color="C2D69B"/>
              <w:right w:val="nil"/>
            </w:tcBorders>
          </w:tcPr>
          <w:p w:rsidR="000B1863" w:rsidRDefault="00D86A11">
            <w:pPr>
              <w:pStyle w:val="MediumGrid21"/>
              <w:rPr>
                <w:rFonts w:eastAsia="Calibri"/>
                <w:szCs w:val="22"/>
              </w:rPr>
            </w:pPr>
            <w:r>
              <w:rPr>
                <w:rFonts w:eastAsia="Calibri"/>
                <w:szCs w:val="22"/>
              </w:rPr>
              <w:t>- EFC facility for marginally functioning youth</w:t>
            </w:r>
          </w:p>
        </w:tc>
      </w:tr>
      <w:tr w:rsidR="00D86A11">
        <w:trPr>
          <w:trHeight w:val="530"/>
        </w:trPr>
        <w:tc>
          <w:tcPr>
            <w:tcW w:w="3581" w:type="dxa"/>
            <w:tcBorders>
              <w:top w:val="single" w:sz="2" w:space="0" w:color="C2D69B"/>
              <w:left w:val="nil"/>
              <w:bottom w:val="single" w:sz="2" w:space="0" w:color="C2D69B"/>
              <w:right w:val="single" w:sz="2" w:space="0" w:color="C2D69B"/>
            </w:tcBorders>
            <w:shd w:val="clear" w:color="auto" w:fill="EAF1DD"/>
          </w:tcPr>
          <w:p w:rsidR="000B1863" w:rsidRDefault="00D86A11">
            <w:pPr>
              <w:pStyle w:val="MediumGrid21"/>
              <w:rPr>
                <w:rFonts w:eastAsia="Calibri"/>
                <w:b/>
                <w:bCs/>
                <w:szCs w:val="22"/>
              </w:rPr>
            </w:pPr>
            <w:r>
              <w:rPr>
                <w:rFonts w:eastAsia="Calibri"/>
                <w:bCs/>
                <w:szCs w:val="22"/>
              </w:rPr>
              <w:t>- Conservatorship</w:t>
            </w:r>
          </w:p>
        </w:tc>
        <w:tc>
          <w:tcPr>
            <w:tcW w:w="3477" w:type="dxa"/>
            <w:tcBorders>
              <w:top w:val="single" w:sz="2" w:space="0" w:color="C2D69B"/>
              <w:left w:val="single" w:sz="2" w:space="0" w:color="C2D69B"/>
              <w:bottom w:val="single" w:sz="2" w:space="0" w:color="C2D69B"/>
              <w:right w:val="single" w:sz="2" w:space="0" w:color="C2D69B"/>
            </w:tcBorders>
            <w:shd w:val="clear" w:color="auto" w:fill="EAF1DD"/>
          </w:tcPr>
          <w:p w:rsidR="000B1863" w:rsidRDefault="00D86A11">
            <w:pPr>
              <w:pStyle w:val="MediumGrid21"/>
              <w:rPr>
                <w:rFonts w:eastAsia="Calibri"/>
                <w:szCs w:val="22"/>
              </w:rPr>
            </w:pPr>
            <w:r>
              <w:rPr>
                <w:rFonts w:eastAsia="Calibri"/>
                <w:szCs w:val="22"/>
              </w:rPr>
              <w:t>- Increase education of group home staff</w:t>
            </w:r>
          </w:p>
        </w:tc>
        <w:tc>
          <w:tcPr>
            <w:tcW w:w="2770" w:type="dxa"/>
            <w:tcBorders>
              <w:top w:val="single" w:sz="2" w:space="0" w:color="C2D69B"/>
              <w:left w:val="single" w:sz="2" w:space="0" w:color="C2D69B"/>
              <w:bottom w:val="single" w:sz="2" w:space="0" w:color="C2D69B"/>
              <w:right w:val="nil"/>
            </w:tcBorders>
            <w:shd w:val="clear" w:color="auto" w:fill="EAF1DD"/>
          </w:tcPr>
          <w:p w:rsidR="000B1863" w:rsidRDefault="00D86A11">
            <w:pPr>
              <w:pStyle w:val="MediumGrid21"/>
              <w:rPr>
                <w:rFonts w:eastAsia="Calibri"/>
                <w:szCs w:val="22"/>
              </w:rPr>
            </w:pPr>
            <w:r>
              <w:rPr>
                <w:rFonts w:eastAsia="Calibri"/>
                <w:szCs w:val="22"/>
              </w:rPr>
              <w:t>- EFC impact and courts ability to hold parents accountable</w:t>
            </w:r>
          </w:p>
        </w:tc>
      </w:tr>
      <w:tr w:rsidR="00D86A11">
        <w:trPr>
          <w:trHeight w:val="86"/>
        </w:trPr>
        <w:tc>
          <w:tcPr>
            <w:tcW w:w="3581" w:type="dxa"/>
            <w:tcBorders>
              <w:top w:val="single" w:sz="2" w:space="0" w:color="C2D69B"/>
              <w:left w:val="nil"/>
              <w:bottom w:val="single" w:sz="2" w:space="0" w:color="C2D69B"/>
              <w:right w:val="single" w:sz="2" w:space="0" w:color="C2D69B"/>
            </w:tcBorders>
          </w:tcPr>
          <w:p w:rsidR="000B1863" w:rsidRDefault="00D86A11">
            <w:pPr>
              <w:pStyle w:val="MediumGrid21"/>
              <w:rPr>
                <w:rFonts w:eastAsia="Calibri"/>
                <w:b/>
                <w:bCs/>
                <w:szCs w:val="22"/>
              </w:rPr>
            </w:pPr>
            <w:r>
              <w:rPr>
                <w:rFonts w:eastAsia="Calibri"/>
                <w:bCs/>
                <w:szCs w:val="22"/>
              </w:rPr>
              <w:t>- Space out CORE</w:t>
            </w:r>
          </w:p>
        </w:tc>
        <w:tc>
          <w:tcPr>
            <w:tcW w:w="3477" w:type="dxa"/>
            <w:tcBorders>
              <w:top w:val="single" w:sz="2" w:space="0" w:color="C2D69B"/>
              <w:left w:val="single" w:sz="2" w:space="0" w:color="C2D69B"/>
              <w:bottom w:val="single" w:sz="2" w:space="0" w:color="C2D69B"/>
              <w:right w:val="single" w:sz="2" w:space="0" w:color="C2D69B"/>
            </w:tcBorders>
          </w:tcPr>
          <w:p w:rsidR="000B1863" w:rsidRDefault="00D86A11">
            <w:pPr>
              <w:pStyle w:val="MediumGrid21"/>
              <w:rPr>
                <w:rFonts w:eastAsia="Calibri"/>
                <w:szCs w:val="22"/>
              </w:rPr>
            </w:pPr>
            <w:r>
              <w:rPr>
                <w:rFonts w:eastAsia="Calibri"/>
                <w:szCs w:val="22"/>
              </w:rPr>
              <w:t>- Breaking Cycles, WRAP</w:t>
            </w:r>
          </w:p>
        </w:tc>
        <w:tc>
          <w:tcPr>
            <w:tcW w:w="2770" w:type="dxa"/>
            <w:tcBorders>
              <w:top w:val="single" w:sz="2" w:space="0" w:color="C2D69B"/>
              <w:left w:val="single" w:sz="2" w:space="0" w:color="C2D69B"/>
              <w:bottom w:val="single" w:sz="2" w:space="0" w:color="C2D69B"/>
              <w:right w:val="nil"/>
            </w:tcBorders>
          </w:tcPr>
          <w:p w:rsidR="000B1863" w:rsidRDefault="00D86A11">
            <w:pPr>
              <w:pStyle w:val="MediumGrid21"/>
              <w:rPr>
                <w:rFonts w:eastAsia="Calibri"/>
                <w:szCs w:val="22"/>
              </w:rPr>
            </w:pPr>
            <w:r>
              <w:rPr>
                <w:rFonts w:eastAsia="Calibri"/>
                <w:szCs w:val="22"/>
              </w:rPr>
              <w:t>- 3 mo sup may be too long for aftercare (propose 2 months)</w:t>
            </w:r>
          </w:p>
        </w:tc>
      </w:tr>
      <w:tr w:rsidR="00D86A11">
        <w:trPr>
          <w:trHeight w:val="566"/>
        </w:trPr>
        <w:tc>
          <w:tcPr>
            <w:tcW w:w="3581" w:type="dxa"/>
            <w:tcBorders>
              <w:top w:val="single" w:sz="2" w:space="0" w:color="C2D69B"/>
              <w:left w:val="nil"/>
              <w:bottom w:val="single" w:sz="2" w:space="0" w:color="C2D69B"/>
              <w:right w:val="single" w:sz="2" w:space="0" w:color="C2D69B"/>
            </w:tcBorders>
            <w:shd w:val="clear" w:color="auto" w:fill="EAF1DD"/>
          </w:tcPr>
          <w:p w:rsidR="000B1863" w:rsidRDefault="00D86A11">
            <w:pPr>
              <w:pStyle w:val="MediumGrid21"/>
              <w:rPr>
                <w:rFonts w:eastAsia="Calibri"/>
                <w:b/>
                <w:bCs/>
                <w:szCs w:val="22"/>
              </w:rPr>
            </w:pPr>
            <w:r>
              <w:rPr>
                <w:rFonts w:eastAsia="Calibri"/>
                <w:bCs/>
                <w:szCs w:val="22"/>
              </w:rPr>
              <w:t>- Toolbox of resources, non court sanctioned, aftercare</w:t>
            </w:r>
          </w:p>
        </w:tc>
        <w:tc>
          <w:tcPr>
            <w:tcW w:w="3477" w:type="dxa"/>
            <w:tcBorders>
              <w:top w:val="single" w:sz="2" w:space="0" w:color="C2D69B"/>
              <w:left w:val="single" w:sz="2" w:space="0" w:color="C2D69B"/>
              <w:bottom w:val="single" w:sz="2" w:space="0" w:color="C2D69B"/>
              <w:right w:val="single" w:sz="2" w:space="0" w:color="C2D69B"/>
            </w:tcBorders>
            <w:shd w:val="clear" w:color="auto" w:fill="EAF1DD"/>
          </w:tcPr>
          <w:p w:rsidR="000B1863" w:rsidRDefault="00D86A11">
            <w:pPr>
              <w:pStyle w:val="MediumGrid21"/>
              <w:rPr>
                <w:rFonts w:eastAsia="Calibri"/>
                <w:szCs w:val="22"/>
              </w:rPr>
            </w:pPr>
            <w:r>
              <w:rPr>
                <w:rFonts w:eastAsia="Calibri"/>
                <w:szCs w:val="22"/>
              </w:rPr>
              <w:t>- Transportation</w:t>
            </w:r>
          </w:p>
        </w:tc>
        <w:tc>
          <w:tcPr>
            <w:tcW w:w="2770" w:type="dxa"/>
            <w:tcBorders>
              <w:top w:val="single" w:sz="2" w:space="0" w:color="C2D69B"/>
              <w:left w:val="single" w:sz="2" w:space="0" w:color="C2D69B"/>
              <w:bottom w:val="single" w:sz="2" w:space="0" w:color="C2D69B"/>
              <w:right w:val="nil"/>
            </w:tcBorders>
            <w:shd w:val="clear" w:color="auto" w:fill="EAF1DD"/>
          </w:tcPr>
          <w:p w:rsidR="000B1863" w:rsidRDefault="00D86A11">
            <w:pPr>
              <w:pStyle w:val="MediumGrid21"/>
              <w:rPr>
                <w:rFonts w:eastAsia="Calibri"/>
                <w:szCs w:val="22"/>
              </w:rPr>
            </w:pPr>
            <w:r>
              <w:rPr>
                <w:rFonts w:eastAsia="Calibri"/>
                <w:szCs w:val="22"/>
              </w:rPr>
              <w:t>- Update placement policy</w:t>
            </w:r>
          </w:p>
        </w:tc>
      </w:tr>
      <w:tr w:rsidR="00D86A11">
        <w:trPr>
          <w:trHeight w:val="86"/>
        </w:trPr>
        <w:tc>
          <w:tcPr>
            <w:tcW w:w="3581" w:type="dxa"/>
            <w:tcBorders>
              <w:top w:val="single" w:sz="2" w:space="0" w:color="C2D69B"/>
              <w:left w:val="nil"/>
              <w:bottom w:val="single" w:sz="2" w:space="0" w:color="C2D69B"/>
              <w:right w:val="single" w:sz="2" w:space="0" w:color="C2D69B"/>
            </w:tcBorders>
          </w:tcPr>
          <w:p w:rsidR="000B1863" w:rsidRDefault="00D86A11">
            <w:pPr>
              <w:pStyle w:val="MediumGrid21"/>
              <w:rPr>
                <w:rFonts w:eastAsia="Calibri"/>
                <w:b/>
                <w:bCs/>
                <w:szCs w:val="22"/>
              </w:rPr>
            </w:pPr>
            <w:r>
              <w:rPr>
                <w:rFonts w:eastAsia="Calibri"/>
                <w:bCs/>
                <w:szCs w:val="22"/>
              </w:rPr>
              <w:t>- Family Finding</w:t>
            </w:r>
          </w:p>
        </w:tc>
        <w:tc>
          <w:tcPr>
            <w:tcW w:w="3477" w:type="dxa"/>
            <w:tcBorders>
              <w:top w:val="single" w:sz="2" w:space="0" w:color="C2D69B"/>
              <w:left w:val="single" w:sz="2" w:space="0" w:color="C2D69B"/>
              <w:bottom w:val="single" w:sz="2" w:space="0" w:color="C2D69B"/>
              <w:right w:val="single" w:sz="2" w:space="0" w:color="C2D69B"/>
            </w:tcBorders>
          </w:tcPr>
          <w:p w:rsidR="000B1863" w:rsidRDefault="00D86A11">
            <w:pPr>
              <w:pStyle w:val="MediumGrid21"/>
              <w:rPr>
                <w:rFonts w:eastAsia="Calibri"/>
                <w:szCs w:val="22"/>
              </w:rPr>
            </w:pPr>
            <w:r>
              <w:rPr>
                <w:rFonts w:eastAsia="Calibri"/>
                <w:szCs w:val="22"/>
              </w:rPr>
              <w:t>- Interns, admin support, placement monitor</w:t>
            </w:r>
          </w:p>
        </w:tc>
        <w:tc>
          <w:tcPr>
            <w:tcW w:w="2770" w:type="dxa"/>
            <w:tcBorders>
              <w:top w:val="single" w:sz="2" w:space="0" w:color="C2D69B"/>
              <w:left w:val="single" w:sz="2" w:space="0" w:color="C2D69B"/>
              <w:bottom w:val="single" w:sz="2" w:space="0" w:color="C2D69B"/>
              <w:right w:val="nil"/>
            </w:tcBorders>
          </w:tcPr>
          <w:p w:rsidR="000B1863" w:rsidRDefault="000B1863">
            <w:pPr>
              <w:pStyle w:val="MediumGrid21"/>
              <w:rPr>
                <w:rFonts w:eastAsia="Calibri"/>
                <w:szCs w:val="22"/>
              </w:rPr>
            </w:pPr>
          </w:p>
        </w:tc>
      </w:tr>
      <w:tr w:rsidR="00D86A11">
        <w:trPr>
          <w:trHeight w:val="138"/>
        </w:trPr>
        <w:tc>
          <w:tcPr>
            <w:tcW w:w="3581" w:type="dxa"/>
            <w:tcBorders>
              <w:top w:val="single" w:sz="2" w:space="0" w:color="C2D69B"/>
              <w:left w:val="nil"/>
              <w:bottom w:val="single" w:sz="2" w:space="0" w:color="C2D69B"/>
              <w:right w:val="single" w:sz="2" w:space="0" w:color="C2D69B"/>
            </w:tcBorders>
            <w:shd w:val="clear" w:color="auto" w:fill="EAF1DD"/>
          </w:tcPr>
          <w:p w:rsidR="000B1863" w:rsidRDefault="00D86A11">
            <w:pPr>
              <w:pStyle w:val="MediumGrid21"/>
              <w:rPr>
                <w:rFonts w:eastAsia="Calibri"/>
                <w:b/>
                <w:bCs/>
                <w:szCs w:val="22"/>
              </w:rPr>
            </w:pPr>
            <w:r>
              <w:rPr>
                <w:rFonts w:eastAsia="Calibri"/>
                <w:bCs/>
                <w:szCs w:val="22"/>
              </w:rPr>
              <w:t>- Case load management</w:t>
            </w:r>
          </w:p>
        </w:tc>
        <w:tc>
          <w:tcPr>
            <w:tcW w:w="3477" w:type="dxa"/>
            <w:tcBorders>
              <w:top w:val="single" w:sz="2" w:space="0" w:color="C2D69B"/>
              <w:left w:val="single" w:sz="2" w:space="0" w:color="C2D69B"/>
              <w:bottom w:val="single" w:sz="2" w:space="0" w:color="C2D69B"/>
              <w:right w:val="single" w:sz="2" w:space="0" w:color="C2D69B"/>
            </w:tcBorders>
            <w:shd w:val="clear" w:color="auto" w:fill="EAF1DD"/>
          </w:tcPr>
          <w:p w:rsidR="000B1863" w:rsidRDefault="00D86A11">
            <w:pPr>
              <w:pStyle w:val="MediumGrid21"/>
              <w:rPr>
                <w:rFonts w:eastAsia="Calibri"/>
                <w:szCs w:val="22"/>
              </w:rPr>
            </w:pPr>
            <w:r>
              <w:rPr>
                <w:rFonts w:eastAsia="Calibri"/>
                <w:szCs w:val="22"/>
              </w:rPr>
              <w:t>- Family night/ family info meetings for aftercare planning</w:t>
            </w:r>
          </w:p>
        </w:tc>
        <w:tc>
          <w:tcPr>
            <w:tcW w:w="2770" w:type="dxa"/>
            <w:tcBorders>
              <w:top w:val="single" w:sz="2" w:space="0" w:color="C2D69B"/>
              <w:left w:val="single" w:sz="2" w:space="0" w:color="C2D69B"/>
              <w:bottom w:val="single" w:sz="2" w:space="0" w:color="C2D69B"/>
              <w:right w:val="nil"/>
            </w:tcBorders>
            <w:shd w:val="clear" w:color="auto" w:fill="EAF1DD"/>
          </w:tcPr>
          <w:p w:rsidR="000B1863" w:rsidRDefault="000B1863">
            <w:pPr>
              <w:pStyle w:val="MediumGrid21"/>
              <w:rPr>
                <w:rFonts w:eastAsia="Calibri"/>
                <w:szCs w:val="22"/>
              </w:rPr>
            </w:pPr>
          </w:p>
        </w:tc>
      </w:tr>
      <w:tr w:rsidR="00D86A11">
        <w:trPr>
          <w:trHeight w:val="86"/>
        </w:trPr>
        <w:tc>
          <w:tcPr>
            <w:tcW w:w="3581" w:type="dxa"/>
            <w:tcBorders>
              <w:top w:val="single" w:sz="2" w:space="0" w:color="C2D69B"/>
              <w:left w:val="nil"/>
              <w:bottom w:val="single" w:sz="2" w:space="0" w:color="C2D69B"/>
              <w:right w:val="single" w:sz="2" w:space="0" w:color="C2D69B"/>
            </w:tcBorders>
          </w:tcPr>
          <w:p w:rsidR="000B1863" w:rsidRDefault="00D86A11">
            <w:pPr>
              <w:pStyle w:val="MediumGrid21"/>
              <w:rPr>
                <w:rFonts w:eastAsia="Calibri"/>
                <w:b/>
                <w:bCs/>
                <w:szCs w:val="22"/>
              </w:rPr>
            </w:pPr>
            <w:r>
              <w:rPr>
                <w:rFonts w:eastAsia="Calibri"/>
                <w:bCs/>
                <w:szCs w:val="22"/>
              </w:rPr>
              <w:t>- Working with severely dysfunctional families</w:t>
            </w:r>
          </w:p>
        </w:tc>
        <w:tc>
          <w:tcPr>
            <w:tcW w:w="3477" w:type="dxa"/>
            <w:tcBorders>
              <w:top w:val="single" w:sz="2" w:space="0" w:color="C2D69B"/>
              <w:left w:val="single" w:sz="2" w:space="0" w:color="C2D69B"/>
              <w:bottom w:val="single" w:sz="2" w:space="0" w:color="C2D69B"/>
              <w:right w:val="single" w:sz="2" w:space="0" w:color="C2D69B"/>
            </w:tcBorders>
          </w:tcPr>
          <w:p w:rsidR="000B1863" w:rsidRDefault="00D86A11">
            <w:pPr>
              <w:pStyle w:val="MediumGrid21"/>
              <w:rPr>
                <w:rFonts w:eastAsia="Calibri"/>
                <w:szCs w:val="22"/>
              </w:rPr>
            </w:pPr>
            <w:r>
              <w:rPr>
                <w:rFonts w:eastAsia="Calibri"/>
                <w:szCs w:val="22"/>
              </w:rPr>
              <w:t>- Family Finding</w:t>
            </w:r>
          </w:p>
        </w:tc>
        <w:tc>
          <w:tcPr>
            <w:tcW w:w="2770" w:type="dxa"/>
            <w:tcBorders>
              <w:top w:val="single" w:sz="2" w:space="0" w:color="C2D69B"/>
              <w:left w:val="single" w:sz="2" w:space="0" w:color="C2D69B"/>
              <w:bottom w:val="single" w:sz="2" w:space="0" w:color="C2D69B"/>
              <w:right w:val="nil"/>
            </w:tcBorders>
          </w:tcPr>
          <w:p w:rsidR="000B1863" w:rsidRDefault="000B1863">
            <w:pPr>
              <w:pStyle w:val="MediumGrid21"/>
              <w:rPr>
                <w:rFonts w:eastAsia="Calibri"/>
                <w:szCs w:val="22"/>
              </w:rPr>
            </w:pPr>
          </w:p>
        </w:tc>
      </w:tr>
      <w:tr w:rsidR="00D86A11">
        <w:trPr>
          <w:trHeight w:val="86"/>
        </w:trPr>
        <w:tc>
          <w:tcPr>
            <w:tcW w:w="3581" w:type="dxa"/>
            <w:tcBorders>
              <w:top w:val="single" w:sz="2" w:space="0" w:color="C2D69B"/>
              <w:left w:val="nil"/>
              <w:bottom w:val="single" w:sz="2" w:space="0" w:color="C2D69B"/>
              <w:right w:val="single" w:sz="2" w:space="0" w:color="C2D69B"/>
            </w:tcBorders>
            <w:shd w:val="clear" w:color="auto" w:fill="EAF1DD"/>
          </w:tcPr>
          <w:p w:rsidR="000B1863" w:rsidRDefault="00D86A11">
            <w:pPr>
              <w:pStyle w:val="MediumGrid21"/>
              <w:rPr>
                <w:rFonts w:eastAsia="Calibri"/>
                <w:b/>
                <w:bCs/>
                <w:szCs w:val="22"/>
              </w:rPr>
            </w:pPr>
            <w:r>
              <w:rPr>
                <w:rFonts w:eastAsia="Calibri"/>
                <w:bCs/>
                <w:szCs w:val="22"/>
              </w:rPr>
              <w:t>- Understanding AB12, THP, CWS/CMS</w:t>
            </w:r>
          </w:p>
        </w:tc>
        <w:tc>
          <w:tcPr>
            <w:tcW w:w="3477" w:type="dxa"/>
            <w:tcBorders>
              <w:top w:val="single" w:sz="2" w:space="0" w:color="C2D69B"/>
              <w:left w:val="single" w:sz="2" w:space="0" w:color="C2D69B"/>
              <w:bottom w:val="single" w:sz="2" w:space="0" w:color="C2D69B"/>
              <w:right w:val="single" w:sz="2" w:space="0" w:color="C2D69B"/>
            </w:tcBorders>
            <w:shd w:val="clear" w:color="auto" w:fill="EAF1DD"/>
          </w:tcPr>
          <w:p w:rsidR="000B1863" w:rsidRDefault="000B1863">
            <w:pPr>
              <w:pStyle w:val="MediumGrid21"/>
              <w:rPr>
                <w:rFonts w:eastAsia="Calibri"/>
                <w:szCs w:val="22"/>
              </w:rPr>
            </w:pPr>
          </w:p>
        </w:tc>
        <w:tc>
          <w:tcPr>
            <w:tcW w:w="2770" w:type="dxa"/>
            <w:tcBorders>
              <w:top w:val="single" w:sz="2" w:space="0" w:color="C2D69B"/>
              <w:left w:val="single" w:sz="2" w:space="0" w:color="C2D69B"/>
              <w:bottom w:val="single" w:sz="2" w:space="0" w:color="C2D69B"/>
              <w:right w:val="nil"/>
            </w:tcBorders>
            <w:shd w:val="clear" w:color="auto" w:fill="EAF1DD"/>
          </w:tcPr>
          <w:p w:rsidR="000B1863" w:rsidRDefault="000B1863">
            <w:pPr>
              <w:pStyle w:val="MediumGrid21"/>
              <w:rPr>
                <w:rFonts w:eastAsia="Calibri"/>
                <w:szCs w:val="22"/>
              </w:rPr>
            </w:pPr>
          </w:p>
        </w:tc>
      </w:tr>
    </w:tbl>
    <w:p w:rsidR="000B1863" w:rsidRDefault="00D86A11">
      <w:pPr>
        <w:pStyle w:val="MediumGrid21"/>
      </w:pPr>
      <w:r>
        <w:br/>
      </w:r>
    </w:p>
    <w:p w:rsidR="00D86A11" w:rsidRDefault="00D86A11">
      <w:r>
        <w:rPr>
          <w:b/>
        </w:rPr>
        <w:br w:type="page"/>
      </w:r>
    </w:p>
    <w:tbl>
      <w:tblPr>
        <w:tblW w:w="9738" w:type="dxa"/>
        <w:tblBorders>
          <w:top w:val="single" w:sz="2" w:space="0" w:color="C2D69B"/>
          <w:bottom w:val="single" w:sz="2" w:space="0" w:color="C2D69B"/>
          <w:insideH w:val="single" w:sz="2" w:space="0" w:color="C2D69B"/>
          <w:insideV w:val="single" w:sz="2" w:space="0" w:color="C2D69B"/>
        </w:tblBorders>
        <w:tblLook w:val="04A0" w:firstRow="1" w:lastRow="0" w:firstColumn="1" w:lastColumn="0" w:noHBand="0" w:noVBand="1"/>
      </w:tblPr>
      <w:tblGrid>
        <w:gridCol w:w="3581"/>
        <w:gridCol w:w="3477"/>
        <w:gridCol w:w="2680"/>
      </w:tblGrid>
      <w:tr w:rsidR="00D86A11">
        <w:trPr>
          <w:trHeight w:val="246"/>
        </w:trPr>
        <w:tc>
          <w:tcPr>
            <w:tcW w:w="9738" w:type="dxa"/>
            <w:gridSpan w:val="3"/>
            <w:tcBorders>
              <w:top w:val="nil"/>
              <w:left w:val="nil"/>
              <w:bottom w:val="single" w:sz="12" w:space="0" w:color="C2D69B"/>
              <w:right w:val="nil"/>
            </w:tcBorders>
            <w:shd w:val="clear" w:color="auto" w:fill="FFFFFF"/>
          </w:tcPr>
          <w:p w:rsidR="00D86A11" w:rsidRDefault="00D86A11">
            <w:pPr>
              <w:pStyle w:val="Heading3"/>
              <w:rPr>
                <w:rFonts w:eastAsia="Calibri"/>
                <w:b w:val="0"/>
                <w:bCs/>
              </w:rPr>
            </w:pPr>
            <w:r>
              <w:rPr>
                <w:rFonts w:eastAsia="Calibri"/>
                <w:b w:val="0"/>
                <w:bCs/>
              </w:rPr>
              <w:lastRenderedPageBreak/>
              <w:t>CWS Recommendations</w:t>
            </w:r>
          </w:p>
        </w:tc>
      </w:tr>
      <w:tr w:rsidR="00D86A11">
        <w:trPr>
          <w:trHeight w:val="246"/>
        </w:trPr>
        <w:tc>
          <w:tcPr>
            <w:tcW w:w="3581" w:type="dxa"/>
            <w:tcBorders>
              <w:top w:val="single" w:sz="2" w:space="0" w:color="C2D69B"/>
              <w:left w:val="nil"/>
              <w:bottom w:val="single" w:sz="2" w:space="0" w:color="C2D69B"/>
              <w:right w:val="single" w:sz="2" w:space="0" w:color="C2D69B"/>
            </w:tcBorders>
            <w:shd w:val="clear" w:color="auto" w:fill="EAF1DD"/>
          </w:tcPr>
          <w:p w:rsidR="000B1863" w:rsidRDefault="00D86A11">
            <w:pPr>
              <w:pStyle w:val="MediumGrid21"/>
              <w:jc w:val="center"/>
              <w:rPr>
                <w:rFonts w:eastAsia="Calibri"/>
                <w:b/>
                <w:bCs/>
                <w:szCs w:val="22"/>
              </w:rPr>
            </w:pPr>
            <w:r>
              <w:rPr>
                <w:rFonts w:eastAsia="Calibri"/>
                <w:b/>
                <w:bCs/>
                <w:szCs w:val="22"/>
              </w:rPr>
              <w:t>Training</w:t>
            </w:r>
          </w:p>
        </w:tc>
        <w:tc>
          <w:tcPr>
            <w:tcW w:w="3477" w:type="dxa"/>
            <w:tcBorders>
              <w:top w:val="single" w:sz="2" w:space="0" w:color="C2D69B"/>
              <w:left w:val="single" w:sz="2" w:space="0" w:color="C2D69B"/>
              <w:bottom w:val="single" w:sz="2" w:space="0" w:color="C2D69B"/>
              <w:right w:val="single" w:sz="2" w:space="0" w:color="C2D69B"/>
            </w:tcBorders>
            <w:shd w:val="clear" w:color="auto" w:fill="EAF1DD"/>
          </w:tcPr>
          <w:p w:rsidR="000B1863" w:rsidRDefault="00D86A11">
            <w:pPr>
              <w:pStyle w:val="MediumGrid21"/>
              <w:jc w:val="center"/>
              <w:rPr>
                <w:rFonts w:eastAsia="Calibri"/>
                <w:b/>
                <w:szCs w:val="22"/>
              </w:rPr>
            </w:pPr>
            <w:r>
              <w:rPr>
                <w:rFonts w:eastAsia="Calibri"/>
                <w:b/>
                <w:szCs w:val="22"/>
              </w:rPr>
              <w:t>Resources</w:t>
            </w:r>
          </w:p>
        </w:tc>
        <w:tc>
          <w:tcPr>
            <w:tcW w:w="2680" w:type="dxa"/>
            <w:tcBorders>
              <w:top w:val="single" w:sz="2" w:space="0" w:color="C2D69B"/>
              <w:left w:val="single" w:sz="2" w:space="0" w:color="C2D69B"/>
              <w:bottom w:val="single" w:sz="2" w:space="0" w:color="C2D69B"/>
              <w:right w:val="nil"/>
            </w:tcBorders>
            <w:shd w:val="clear" w:color="auto" w:fill="EAF1DD"/>
          </w:tcPr>
          <w:p w:rsidR="000B1863" w:rsidRDefault="00D86A11">
            <w:pPr>
              <w:pStyle w:val="MediumGrid21"/>
              <w:jc w:val="center"/>
              <w:rPr>
                <w:rFonts w:eastAsia="Calibri"/>
                <w:b/>
                <w:szCs w:val="22"/>
              </w:rPr>
            </w:pPr>
            <w:r>
              <w:rPr>
                <w:rFonts w:eastAsia="Calibri"/>
                <w:b/>
                <w:szCs w:val="22"/>
              </w:rPr>
              <w:t>Policy/Procedure</w:t>
            </w:r>
          </w:p>
        </w:tc>
      </w:tr>
      <w:tr w:rsidR="00D86A11">
        <w:trPr>
          <w:trHeight w:val="137"/>
        </w:trPr>
        <w:tc>
          <w:tcPr>
            <w:tcW w:w="3581" w:type="dxa"/>
            <w:tcBorders>
              <w:top w:val="single" w:sz="2" w:space="0" w:color="C2D69B"/>
              <w:left w:val="nil"/>
              <w:bottom w:val="single" w:sz="2" w:space="0" w:color="C2D69B"/>
              <w:right w:val="single" w:sz="2" w:space="0" w:color="C2D69B"/>
            </w:tcBorders>
          </w:tcPr>
          <w:p w:rsidR="000B1863" w:rsidRDefault="00D86A11">
            <w:pPr>
              <w:pStyle w:val="MediumGrid21"/>
              <w:rPr>
                <w:rFonts w:eastAsia="Calibri"/>
                <w:b/>
                <w:bCs/>
                <w:szCs w:val="22"/>
              </w:rPr>
            </w:pPr>
            <w:r>
              <w:rPr>
                <w:rFonts w:eastAsia="Calibri"/>
                <w:bCs/>
                <w:szCs w:val="22"/>
              </w:rPr>
              <w:t>- Increase staff education</w:t>
            </w:r>
          </w:p>
        </w:tc>
        <w:tc>
          <w:tcPr>
            <w:tcW w:w="3477" w:type="dxa"/>
            <w:tcBorders>
              <w:top w:val="single" w:sz="2" w:space="0" w:color="C2D69B"/>
              <w:left w:val="single" w:sz="2" w:space="0" w:color="C2D69B"/>
              <w:bottom w:val="single" w:sz="2" w:space="0" w:color="C2D69B"/>
              <w:right w:val="single" w:sz="2" w:space="0" w:color="C2D69B"/>
            </w:tcBorders>
          </w:tcPr>
          <w:p w:rsidR="000B1863" w:rsidRDefault="00D86A11">
            <w:pPr>
              <w:pStyle w:val="MediumGrid21"/>
              <w:rPr>
                <w:rFonts w:eastAsia="Calibri"/>
                <w:szCs w:val="22"/>
              </w:rPr>
            </w:pPr>
            <w:r>
              <w:rPr>
                <w:rFonts w:eastAsia="Calibri"/>
                <w:szCs w:val="22"/>
              </w:rPr>
              <w:t>- Transportation</w:t>
            </w:r>
          </w:p>
        </w:tc>
        <w:tc>
          <w:tcPr>
            <w:tcW w:w="2680" w:type="dxa"/>
            <w:tcBorders>
              <w:top w:val="single" w:sz="2" w:space="0" w:color="C2D69B"/>
              <w:left w:val="single" w:sz="2" w:space="0" w:color="C2D69B"/>
              <w:bottom w:val="single" w:sz="2" w:space="0" w:color="C2D69B"/>
              <w:right w:val="nil"/>
            </w:tcBorders>
          </w:tcPr>
          <w:p w:rsidR="000B1863" w:rsidRDefault="00D86A11">
            <w:pPr>
              <w:pStyle w:val="MediumGrid21"/>
              <w:rPr>
                <w:rFonts w:eastAsia="Calibri"/>
                <w:szCs w:val="22"/>
              </w:rPr>
            </w:pPr>
            <w:r>
              <w:rPr>
                <w:rFonts w:eastAsia="Calibri"/>
                <w:szCs w:val="22"/>
              </w:rPr>
              <w:t>- Lower caseloads and turn over (cases are harder)</w:t>
            </w:r>
          </w:p>
        </w:tc>
      </w:tr>
      <w:tr w:rsidR="00D86A11">
        <w:trPr>
          <w:trHeight w:val="294"/>
        </w:trPr>
        <w:tc>
          <w:tcPr>
            <w:tcW w:w="3581" w:type="dxa"/>
            <w:tcBorders>
              <w:top w:val="single" w:sz="2" w:space="0" w:color="C2D69B"/>
              <w:left w:val="nil"/>
              <w:bottom w:val="single" w:sz="2" w:space="0" w:color="C2D69B"/>
              <w:right w:val="single" w:sz="2" w:space="0" w:color="C2D69B"/>
            </w:tcBorders>
            <w:shd w:val="clear" w:color="auto" w:fill="EAF1DD"/>
          </w:tcPr>
          <w:p w:rsidR="000B1863" w:rsidRDefault="00D86A11">
            <w:pPr>
              <w:pStyle w:val="MediumGrid21"/>
              <w:rPr>
                <w:rFonts w:eastAsia="Calibri"/>
                <w:b/>
                <w:bCs/>
                <w:szCs w:val="22"/>
              </w:rPr>
            </w:pPr>
            <w:r>
              <w:rPr>
                <w:rFonts w:eastAsia="Calibri"/>
                <w:bCs/>
                <w:szCs w:val="22"/>
              </w:rPr>
              <w:t>- Lower micro-managing</w:t>
            </w:r>
          </w:p>
        </w:tc>
        <w:tc>
          <w:tcPr>
            <w:tcW w:w="3477" w:type="dxa"/>
            <w:tcBorders>
              <w:top w:val="single" w:sz="2" w:space="0" w:color="C2D69B"/>
              <w:left w:val="single" w:sz="2" w:space="0" w:color="C2D69B"/>
              <w:bottom w:val="single" w:sz="2" w:space="0" w:color="C2D69B"/>
              <w:right w:val="single" w:sz="2" w:space="0" w:color="C2D69B"/>
            </w:tcBorders>
            <w:shd w:val="clear" w:color="auto" w:fill="EAF1DD"/>
          </w:tcPr>
          <w:p w:rsidR="000B1863" w:rsidRDefault="00D86A11">
            <w:pPr>
              <w:pStyle w:val="MediumGrid21"/>
              <w:rPr>
                <w:rFonts w:eastAsia="Calibri"/>
                <w:szCs w:val="22"/>
              </w:rPr>
            </w:pPr>
            <w:r>
              <w:rPr>
                <w:rFonts w:eastAsia="Calibri"/>
                <w:szCs w:val="22"/>
              </w:rPr>
              <w:t>- Floating staff for support</w:t>
            </w:r>
          </w:p>
        </w:tc>
        <w:tc>
          <w:tcPr>
            <w:tcW w:w="2680" w:type="dxa"/>
            <w:tcBorders>
              <w:top w:val="single" w:sz="2" w:space="0" w:color="C2D69B"/>
              <w:left w:val="single" w:sz="2" w:space="0" w:color="C2D69B"/>
              <w:bottom w:val="single" w:sz="2" w:space="0" w:color="C2D69B"/>
              <w:right w:val="nil"/>
            </w:tcBorders>
            <w:shd w:val="clear" w:color="auto" w:fill="EAF1DD"/>
          </w:tcPr>
          <w:p w:rsidR="000B1863" w:rsidRDefault="00D86A11">
            <w:pPr>
              <w:pStyle w:val="MediumGrid21"/>
              <w:rPr>
                <w:rFonts w:eastAsia="Calibri"/>
                <w:szCs w:val="22"/>
              </w:rPr>
            </w:pPr>
            <w:r>
              <w:rPr>
                <w:rFonts w:eastAsia="Calibri"/>
                <w:szCs w:val="22"/>
              </w:rPr>
              <w:t>- Decrease use of Polinksi when family is available</w:t>
            </w:r>
          </w:p>
        </w:tc>
      </w:tr>
      <w:tr w:rsidR="00D86A11">
        <w:trPr>
          <w:trHeight w:val="86"/>
        </w:trPr>
        <w:tc>
          <w:tcPr>
            <w:tcW w:w="3581" w:type="dxa"/>
            <w:tcBorders>
              <w:top w:val="single" w:sz="2" w:space="0" w:color="C2D69B"/>
              <w:left w:val="nil"/>
              <w:bottom w:val="single" w:sz="2" w:space="0" w:color="C2D69B"/>
              <w:right w:val="single" w:sz="2" w:space="0" w:color="C2D69B"/>
            </w:tcBorders>
          </w:tcPr>
          <w:p w:rsidR="000B1863" w:rsidRDefault="00D86A11">
            <w:pPr>
              <w:pStyle w:val="MediumGrid21"/>
              <w:rPr>
                <w:rFonts w:eastAsia="Calibri"/>
                <w:b/>
                <w:bCs/>
                <w:szCs w:val="22"/>
              </w:rPr>
            </w:pPr>
            <w:r>
              <w:rPr>
                <w:rFonts w:eastAsia="Calibri"/>
                <w:bCs/>
                <w:szCs w:val="22"/>
              </w:rPr>
              <w:t>- Substance abuse</w:t>
            </w:r>
          </w:p>
        </w:tc>
        <w:tc>
          <w:tcPr>
            <w:tcW w:w="3477" w:type="dxa"/>
            <w:tcBorders>
              <w:top w:val="single" w:sz="2" w:space="0" w:color="C2D69B"/>
              <w:left w:val="single" w:sz="2" w:space="0" w:color="C2D69B"/>
              <w:bottom w:val="single" w:sz="2" w:space="0" w:color="C2D69B"/>
              <w:right w:val="single" w:sz="2" w:space="0" w:color="C2D69B"/>
            </w:tcBorders>
          </w:tcPr>
          <w:p w:rsidR="000B1863" w:rsidRDefault="00D86A11">
            <w:pPr>
              <w:pStyle w:val="MediumGrid21"/>
              <w:rPr>
                <w:rFonts w:eastAsia="Calibri"/>
                <w:szCs w:val="22"/>
              </w:rPr>
            </w:pPr>
            <w:r>
              <w:rPr>
                <w:rFonts w:eastAsia="Calibri"/>
                <w:szCs w:val="22"/>
              </w:rPr>
              <w:t>- More visitation programs, especially for high risk</w:t>
            </w:r>
          </w:p>
        </w:tc>
        <w:tc>
          <w:tcPr>
            <w:tcW w:w="2680" w:type="dxa"/>
            <w:tcBorders>
              <w:top w:val="single" w:sz="2" w:space="0" w:color="C2D69B"/>
              <w:left w:val="single" w:sz="2" w:space="0" w:color="C2D69B"/>
              <w:bottom w:val="single" w:sz="2" w:space="0" w:color="C2D69B"/>
              <w:right w:val="nil"/>
            </w:tcBorders>
          </w:tcPr>
          <w:p w:rsidR="000B1863" w:rsidRDefault="00D86A11">
            <w:pPr>
              <w:pStyle w:val="MediumGrid21"/>
              <w:rPr>
                <w:rFonts w:eastAsia="Calibri"/>
                <w:szCs w:val="22"/>
              </w:rPr>
            </w:pPr>
            <w:r>
              <w:rPr>
                <w:rFonts w:eastAsia="Calibri"/>
                <w:szCs w:val="22"/>
              </w:rPr>
              <w:t>- Approval of over time</w:t>
            </w:r>
          </w:p>
        </w:tc>
      </w:tr>
      <w:tr w:rsidR="00D86A11">
        <w:trPr>
          <w:trHeight w:val="138"/>
        </w:trPr>
        <w:tc>
          <w:tcPr>
            <w:tcW w:w="3581" w:type="dxa"/>
            <w:tcBorders>
              <w:top w:val="single" w:sz="2" w:space="0" w:color="C2D69B"/>
              <w:left w:val="nil"/>
              <w:bottom w:val="single" w:sz="2" w:space="0" w:color="C2D69B"/>
              <w:right w:val="single" w:sz="2" w:space="0" w:color="C2D69B"/>
            </w:tcBorders>
            <w:shd w:val="clear" w:color="auto" w:fill="EAF1DD"/>
          </w:tcPr>
          <w:p w:rsidR="000B1863" w:rsidRDefault="00D86A11">
            <w:pPr>
              <w:pStyle w:val="MediumGrid21"/>
              <w:rPr>
                <w:rFonts w:eastAsia="Calibri"/>
                <w:b/>
                <w:bCs/>
                <w:szCs w:val="22"/>
              </w:rPr>
            </w:pPr>
            <w:r>
              <w:rPr>
                <w:rFonts w:eastAsia="Calibri"/>
                <w:bCs/>
                <w:szCs w:val="22"/>
              </w:rPr>
              <w:t>- Briefer and targeted trainings</w:t>
            </w:r>
          </w:p>
        </w:tc>
        <w:tc>
          <w:tcPr>
            <w:tcW w:w="3477" w:type="dxa"/>
            <w:tcBorders>
              <w:top w:val="single" w:sz="2" w:space="0" w:color="C2D69B"/>
              <w:left w:val="single" w:sz="2" w:space="0" w:color="C2D69B"/>
              <w:bottom w:val="single" w:sz="2" w:space="0" w:color="C2D69B"/>
              <w:right w:val="single" w:sz="2" w:space="0" w:color="C2D69B"/>
            </w:tcBorders>
            <w:shd w:val="clear" w:color="auto" w:fill="EAF1DD"/>
          </w:tcPr>
          <w:p w:rsidR="000B1863" w:rsidRDefault="00D86A11">
            <w:pPr>
              <w:pStyle w:val="MediumGrid21"/>
              <w:rPr>
                <w:rFonts w:eastAsia="Calibri"/>
                <w:szCs w:val="22"/>
              </w:rPr>
            </w:pPr>
            <w:r>
              <w:rPr>
                <w:rFonts w:eastAsia="Calibri"/>
                <w:szCs w:val="22"/>
              </w:rPr>
              <w:t>- Updated and targeted resource lists</w:t>
            </w:r>
          </w:p>
        </w:tc>
        <w:tc>
          <w:tcPr>
            <w:tcW w:w="2680" w:type="dxa"/>
            <w:tcBorders>
              <w:top w:val="single" w:sz="2" w:space="0" w:color="C2D69B"/>
              <w:left w:val="single" w:sz="2" w:space="0" w:color="C2D69B"/>
              <w:bottom w:val="single" w:sz="2" w:space="0" w:color="C2D69B"/>
              <w:right w:val="nil"/>
            </w:tcBorders>
            <w:shd w:val="clear" w:color="auto" w:fill="EAF1DD"/>
          </w:tcPr>
          <w:p w:rsidR="000B1863" w:rsidRDefault="00D86A11">
            <w:pPr>
              <w:pStyle w:val="MediumGrid21"/>
              <w:rPr>
                <w:rFonts w:eastAsia="Calibri"/>
                <w:szCs w:val="22"/>
              </w:rPr>
            </w:pPr>
            <w:r>
              <w:rPr>
                <w:rFonts w:eastAsia="Calibri"/>
                <w:szCs w:val="22"/>
              </w:rPr>
              <w:t>- Explicit policy regarding placing child near home</w:t>
            </w:r>
          </w:p>
        </w:tc>
      </w:tr>
      <w:tr w:rsidR="00D86A11">
        <w:trPr>
          <w:trHeight w:val="86"/>
        </w:trPr>
        <w:tc>
          <w:tcPr>
            <w:tcW w:w="3581" w:type="dxa"/>
            <w:tcBorders>
              <w:top w:val="single" w:sz="2" w:space="0" w:color="C2D69B"/>
              <w:left w:val="nil"/>
              <w:bottom w:val="single" w:sz="2" w:space="0" w:color="C2D69B"/>
              <w:right w:val="single" w:sz="2" w:space="0" w:color="C2D69B"/>
            </w:tcBorders>
          </w:tcPr>
          <w:p w:rsidR="000B1863" w:rsidRDefault="00D86A11">
            <w:pPr>
              <w:pStyle w:val="MediumGrid21"/>
              <w:rPr>
                <w:rFonts w:eastAsia="Calibri"/>
                <w:b/>
                <w:bCs/>
                <w:szCs w:val="22"/>
              </w:rPr>
            </w:pPr>
            <w:r>
              <w:rPr>
                <w:rFonts w:eastAsia="Calibri"/>
                <w:bCs/>
                <w:szCs w:val="22"/>
              </w:rPr>
              <w:t>- Increased SOP and ensure consistent use across staff</w:t>
            </w:r>
          </w:p>
        </w:tc>
        <w:tc>
          <w:tcPr>
            <w:tcW w:w="3477" w:type="dxa"/>
            <w:tcBorders>
              <w:top w:val="single" w:sz="2" w:space="0" w:color="C2D69B"/>
              <w:left w:val="single" w:sz="2" w:space="0" w:color="C2D69B"/>
              <w:bottom w:val="single" w:sz="2" w:space="0" w:color="C2D69B"/>
              <w:right w:val="single" w:sz="2" w:space="0" w:color="C2D69B"/>
            </w:tcBorders>
          </w:tcPr>
          <w:p w:rsidR="000B1863" w:rsidRDefault="00D86A11">
            <w:pPr>
              <w:pStyle w:val="MediumGrid21"/>
              <w:rPr>
                <w:rFonts w:eastAsia="Calibri"/>
                <w:szCs w:val="22"/>
              </w:rPr>
            </w:pPr>
            <w:r>
              <w:rPr>
                <w:rFonts w:eastAsia="Calibri"/>
                <w:szCs w:val="22"/>
              </w:rPr>
              <w:t>- Housing</w:t>
            </w:r>
          </w:p>
        </w:tc>
        <w:tc>
          <w:tcPr>
            <w:tcW w:w="2680" w:type="dxa"/>
            <w:tcBorders>
              <w:top w:val="single" w:sz="2" w:space="0" w:color="C2D69B"/>
              <w:left w:val="single" w:sz="2" w:space="0" w:color="C2D69B"/>
              <w:bottom w:val="single" w:sz="2" w:space="0" w:color="C2D69B"/>
              <w:right w:val="nil"/>
            </w:tcBorders>
          </w:tcPr>
          <w:p w:rsidR="000B1863" w:rsidRDefault="00D86A11">
            <w:pPr>
              <w:pStyle w:val="MediumGrid21"/>
              <w:rPr>
                <w:rFonts w:eastAsia="Calibri"/>
                <w:szCs w:val="22"/>
              </w:rPr>
            </w:pPr>
            <w:r>
              <w:rPr>
                <w:rFonts w:eastAsia="Calibri"/>
                <w:szCs w:val="22"/>
              </w:rPr>
              <w:t>- Thoughtful and staggered services to minimize overload</w:t>
            </w:r>
          </w:p>
        </w:tc>
      </w:tr>
      <w:tr w:rsidR="00D86A11">
        <w:trPr>
          <w:trHeight w:val="138"/>
        </w:trPr>
        <w:tc>
          <w:tcPr>
            <w:tcW w:w="3581" w:type="dxa"/>
            <w:tcBorders>
              <w:top w:val="single" w:sz="2" w:space="0" w:color="C2D69B"/>
              <w:left w:val="nil"/>
              <w:bottom w:val="single" w:sz="2" w:space="0" w:color="C2D69B"/>
              <w:right w:val="single" w:sz="2" w:space="0" w:color="C2D69B"/>
            </w:tcBorders>
            <w:shd w:val="clear" w:color="auto" w:fill="EAF1DD"/>
          </w:tcPr>
          <w:p w:rsidR="000B1863" w:rsidRDefault="00D86A11">
            <w:pPr>
              <w:pStyle w:val="MediumGrid21"/>
              <w:rPr>
                <w:rFonts w:eastAsia="Calibri"/>
                <w:b/>
                <w:bCs/>
                <w:szCs w:val="22"/>
              </w:rPr>
            </w:pPr>
            <w:r>
              <w:rPr>
                <w:rFonts w:eastAsia="Calibri"/>
                <w:bCs/>
                <w:szCs w:val="22"/>
              </w:rPr>
              <w:t>- Effective agency collaboration</w:t>
            </w:r>
          </w:p>
        </w:tc>
        <w:tc>
          <w:tcPr>
            <w:tcW w:w="3477" w:type="dxa"/>
            <w:tcBorders>
              <w:top w:val="single" w:sz="2" w:space="0" w:color="C2D69B"/>
              <w:left w:val="single" w:sz="2" w:space="0" w:color="C2D69B"/>
              <w:bottom w:val="single" w:sz="2" w:space="0" w:color="C2D69B"/>
              <w:right w:val="single" w:sz="2" w:space="0" w:color="C2D69B"/>
            </w:tcBorders>
            <w:shd w:val="clear" w:color="auto" w:fill="EAF1DD"/>
          </w:tcPr>
          <w:p w:rsidR="000B1863" w:rsidRDefault="00D86A11">
            <w:pPr>
              <w:pStyle w:val="MediumGrid21"/>
              <w:rPr>
                <w:rFonts w:eastAsia="Calibri"/>
                <w:szCs w:val="22"/>
              </w:rPr>
            </w:pPr>
            <w:r>
              <w:rPr>
                <w:rFonts w:eastAsia="Calibri"/>
                <w:szCs w:val="22"/>
              </w:rPr>
              <w:t>- Child enrichment</w:t>
            </w:r>
          </w:p>
        </w:tc>
        <w:tc>
          <w:tcPr>
            <w:tcW w:w="2680" w:type="dxa"/>
            <w:tcBorders>
              <w:top w:val="single" w:sz="2" w:space="0" w:color="C2D69B"/>
              <w:left w:val="single" w:sz="2" w:space="0" w:color="C2D69B"/>
              <w:bottom w:val="single" w:sz="2" w:space="0" w:color="C2D69B"/>
              <w:right w:val="nil"/>
            </w:tcBorders>
            <w:shd w:val="clear" w:color="auto" w:fill="EAF1DD"/>
          </w:tcPr>
          <w:p w:rsidR="000B1863" w:rsidRDefault="00D86A11">
            <w:pPr>
              <w:pStyle w:val="MediumGrid21"/>
              <w:rPr>
                <w:rFonts w:eastAsia="Calibri"/>
                <w:szCs w:val="22"/>
              </w:rPr>
            </w:pPr>
            <w:r>
              <w:rPr>
                <w:rFonts w:eastAsia="Calibri"/>
                <w:szCs w:val="22"/>
              </w:rPr>
              <w:t>- Increase behavior specific plans</w:t>
            </w:r>
          </w:p>
        </w:tc>
      </w:tr>
      <w:tr w:rsidR="00D86A11">
        <w:trPr>
          <w:trHeight w:val="86"/>
        </w:trPr>
        <w:tc>
          <w:tcPr>
            <w:tcW w:w="3581" w:type="dxa"/>
            <w:tcBorders>
              <w:top w:val="single" w:sz="2" w:space="0" w:color="C2D69B"/>
              <w:left w:val="nil"/>
              <w:bottom w:val="single" w:sz="2" w:space="0" w:color="C2D69B"/>
              <w:right w:val="single" w:sz="2" w:space="0" w:color="C2D69B"/>
            </w:tcBorders>
          </w:tcPr>
          <w:p w:rsidR="000B1863" w:rsidRDefault="00D86A11">
            <w:pPr>
              <w:pStyle w:val="MediumGrid21"/>
              <w:rPr>
                <w:rFonts w:eastAsia="Calibri"/>
                <w:b/>
                <w:bCs/>
                <w:szCs w:val="22"/>
              </w:rPr>
            </w:pPr>
            <w:r>
              <w:rPr>
                <w:rFonts w:eastAsia="Calibri"/>
                <w:bCs/>
                <w:szCs w:val="22"/>
              </w:rPr>
              <w:t>- Mental health</w:t>
            </w:r>
          </w:p>
        </w:tc>
        <w:tc>
          <w:tcPr>
            <w:tcW w:w="3477" w:type="dxa"/>
            <w:tcBorders>
              <w:top w:val="single" w:sz="2" w:space="0" w:color="C2D69B"/>
              <w:left w:val="single" w:sz="2" w:space="0" w:color="C2D69B"/>
              <w:bottom w:val="single" w:sz="2" w:space="0" w:color="C2D69B"/>
              <w:right w:val="single" w:sz="2" w:space="0" w:color="C2D69B"/>
            </w:tcBorders>
          </w:tcPr>
          <w:p w:rsidR="000B1863" w:rsidRDefault="00D86A11">
            <w:pPr>
              <w:pStyle w:val="MediumGrid21"/>
              <w:rPr>
                <w:rFonts w:eastAsia="Calibri"/>
                <w:szCs w:val="22"/>
              </w:rPr>
            </w:pPr>
            <w:r>
              <w:rPr>
                <w:rFonts w:eastAsia="Calibri"/>
                <w:szCs w:val="22"/>
              </w:rPr>
              <w:t>- Increased quality of CWS funded services</w:t>
            </w:r>
          </w:p>
        </w:tc>
        <w:tc>
          <w:tcPr>
            <w:tcW w:w="2680" w:type="dxa"/>
            <w:tcBorders>
              <w:top w:val="single" w:sz="2" w:space="0" w:color="C2D69B"/>
              <w:left w:val="single" w:sz="2" w:space="0" w:color="C2D69B"/>
              <w:bottom w:val="single" w:sz="2" w:space="0" w:color="C2D69B"/>
              <w:right w:val="nil"/>
            </w:tcBorders>
          </w:tcPr>
          <w:p w:rsidR="000B1863" w:rsidRDefault="00D86A11">
            <w:pPr>
              <w:pStyle w:val="MediumGrid21"/>
              <w:rPr>
                <w:rFonts w:eastAsia="Calibri"/>
                <w:szCs w:val="22"/>
              </w:rPr>
            </w:pPr>
            <w:r>
              <w:rPr>
                <w:rFonts w:eastAsia="Calibri"/>
                <w:szCs w:val="22"/>
              </w:rPr>
              <w:t>- Balance paperwork with client contact</w:t>
            </w:r>
          </w:p>
        </w:tc>
      </w:tr>
      <w:tr w:rsidR="00D86A11">
        <w:trPr>
          <w:trHeight w:val="86"/>
        </w:trPr>
        <w:tc>
          <w:tcPr>
            <w:tcW w:w="3581" w:type="dxa"/>
            <w:tcBorders>
              <w:top w:val="single" w:sz="2" w:space="0" w:color="C2D69B"/>
              <w:left w:val="nil"/>
              <w:bottom w:val="single" w:sz="2" w:space="0" w:color="C2D69B"/>
              <w:right w:val="single" w:sz="2" w:space="0" w:color="C2D69B"/>
            </w:tcBorders>
            <w:shd w:val="clear" w:color="auto" w:fill="EAF1DD"/>
          </w:tcPr>
          <w:p w:rsidR="000B1863" w:rsidRDefault="00D86A11">
            <w:pPr>
              <w:pStyle w:val="MediumGrid21"/>
              <w:rPr>
                <w:rFonts w:eastAsia="Calibri"/>
                <w:b/>
                <w:bCs/>
                <w:szCs w:val="22"/>
              </w:rPr>
            </w:pPr>
            <w:r>
              <w:rPr>
                <w:rFonts w:eastAsia="Calibri"/>
                <w:bCs/>
                <w:szCs w:val="22"/>
              </w:rPr>
              <w:t>- Updates on Policy and Procedure</w:t>
            </w:r>
          </w:p>
        </w:tc>
        <w:tc>
          <w:tcPr>
            <w:tcW w:w="3477" w:type="dxa"/>
            <w:tcBorders>
              <w:top w:val="single" w:sz="2" w:space="0" w:color="C2D69B"/>
              <w:left w:val="single" w:sz="2" w:space="0" w:color="C2D69B"/>
              <w:bottom w:val="single" w:sz="2" w:space="0" w:color="C2D69B"/>
              <w:right w:val="single" w:sz="2" w:space="0" w:color="C2D69B"/>
            </w:tcBorders>
            <w:shd w:val="clear" w:color="auto" w:fill="EAF1DD"/>
          </w:tcPr>
          <w:p w:rsidR="000B1863" w:rsidRDefault="00D86A11">
            <w:pPr>
              <w:pStyle w:val="MediumGrid21"/>
              <w:rPr>
                <w:rFonts w:eastAsia="Calibri"/>
                <w:szCs w:val="22"/>
              </w:rPr>
            </w:pPr>
            <w:r>
              <w:rPr>
                <w:rFonts w:eastAsia="Calibri"/>
                <w:szCs w:val="22"/>
              </w:rPr>
              <w:t>- More formal and informal services</w:t>
            </w:r>
          </w:p>
        </w:tc>
        <w:tc>
          <w:tcPr>
            <w:tcW w:w="2680" w:type="dxa"/>
            <w:tcBorders>
              <w:top w:val="single" w:sz="2" w:space="0" w:color="C2D69B"/>
              <w:left w:val="single" w:sz="2" w:space="0" w:color="C2D69B"/>
              <w:bottom w:val="single" w:sz="2" w:space="0" w:color="C2D69B"/>
              <w:right w:val="nil"/>
            </w:tcBorders>
            <w:shd w:val="clear" w:color="auto" w:fill="EAF1DD"/>
          </w:tcPr>
          <w:p w:rsidR="000B1863" w:rsidRDefault="00D86A11">
            <w:pPr>
              <w:pStyle w:val="MediumGrid21"/>
              <w:rPr>
                <w:rFonts w:eastAsia="Calibri"/>
                <w:szCs w:val="22"/>
              </w:rPr>
            </w:pPr>
            <w:r>
              <w:rPr>
                <w:rFonts w:eastAsia="Calibri"/>
                <w:szCs w:val="22"/>
              </w:rPr>
              <w:t>- Increase salary for workers</w:t>
            </w:r>
          </w:p>
        </w:tc>
      </w:tr>
      <w:tr w:rsidR="00D86A11">
        <w:trPr>
          <w:trHeight w:val="86"/>
        </w:trPr>
        <w:tc>
          <w:tcPr>
            <w:tcW w:w="3581" w:type="dxa"/>
            <w:tcBorders>
              <w:top w:val="single" w:sz="2" w:space="0" w:color="C2D69B"/>
              <w:left w:val="nil"/>
              <w:bottom w:val="single" w:sz="2" w:space="0" w:color="C2D69B"/>
              <w:right w:val="single" w:sz="2" w:space="0" w:color="C2D69B"/>
            </w:tcBorders>
          </w:tcPr>
          <w:p w:rsidR="000B1863" w:rsidRDefault="00D86A11">
            <w:pPr>
              <w:pStyle w:val="MediumGrid21"/>
              <w:rPr>
                <w:rFonts w:eastAsia="Calibri"/>
                <w:b/>
                <w:bCs/>
                <w:szCs w:val="22"/>
              </w:rPr>
            </w:pPr>
            <w:r>
              <w:rPr>
                <w:rFonts w:eastAsia="Calibri"/>
                <w:bCs/>
                <w:szCs w:val="22"/>
              </w:rPr>
              <w:t xml:space="preserve">- Provide NREFM’s education and training to ensure they see their role in </w:t>
            </w:r>
            <w:r w:rsidR="00A56CE5">
              <w:rPr>
                <w:rFonts w:eastAsia="Calibri"/>
                <w:bCs/>
                <w:szCs w:val="22"/>
              </w:rPr>
              <w:t>reunification</w:t>
            </w:r>
          </w:p>
        </w:tc>
        <w:tc>
          <w:tcPr>
            <w:tcW w:w="3477" w:type="dxa"/>
            <w:tcBorders>
              <w:top w:val="single" w:sz="2" w:space="0" w:color="C2D69B"/>
              <w:left w:val="single" w:sz="2" w:space="0" w:color="C2D69B"/>
              <w:bottom w:val="single" w:sz="2" w:space="0" w:color="C2D69B"/>
              <w:right w:val="single" w:sz="2" w:space="0" w:color="C2D69B"/>
            </w:tcBorders>
          </w:tcPr>
          <w:p w:rsidR="000B1863" w:rsidRDefault="00D86A11">
            <w:pPr>
              <w:pStyle w:val="MediumGrid21"/>
              <w:rPr>
                <w:rFonts w:eastAsia="Calibri"/>
                <w:szCs w:val="22"/>
              </w:rPr>
            </w:pPr>
            <w:r>
              <w:rPr>
                <w:rFonts w:eastAsia="Calibri"/>
                <w:szCs w:val="22"/>
              </w:rPr>
              <w:t>- List of resources within a 10 mile radius</w:t>
            </w:r>
          </w:p>
        </w:tc>
        <w:tc>
          <w:tcPr>
            <w:tcW w:w="2680" w:type="dxa"/>
            <w:tcBorders>
              <w:top w:val="single" w:sz="2" w:space="0" w:color="C2D69B"/>
              <w:left w:val="single" w:sz="2" w:space="0" w:color="C2D69B"/>
              <w:bottom w:val="single" w:sz="2" w:space="0" w:color="C2D69B"/>
              <w:right w:val="nil"/>
            </w:tcBorders>
          </w:tcPr>
          <w:p w:rsidR="000B1863" w:rsidRDefault="00D86A11">
            <w:pPr>
              <w:pStyle w:val="MediumGrid21"/>
              <w:rPr>
                <w:rFonts w:eastAsia="Calibri"/>
                <w:szCs w:val="22"/>
              </w:rPr>
            </w:pPr>
            <w:r>
              <w:rPr>
                <w:rFonts w:eastAsia="Calibri"/>
                <w:szCs w:val="22"/>
              </w:rPr>
              <w:t>- Communication with courts</w:t>
            </w:r>
          </w:p>
        </w:tc>
      </w:tr>
      <w:tr w:rsidR="00D86A11">
        <w:trPr>
          <w:trHeight w:val="86"/>
        </w:trPr>
        <w:tc>
          <w:tcPr>
            <w:tcW w:w="3581" w:type="dxa"/>
            <w:tcBorders>
              <w:top w:val="single" w:sz="2" w:space="0" w:color="C2D69B"/>
              <w:left w:val="nil"/>
              <w:bottom w:val="single" w:sz="2" w:space="0" w:color="C2D69B"/>
              <w:right w:val="single" w:sz="2" w:space="0" w:color="C2D69B"/>
            </w:tcBorders>
            <w:shd w:val="clear" w:color="auto" w:fill="EAF1DD"/>
          </w:tcPr>
          <w:p w:rsidR="000B1863" w:rsidRDefault="00D86A11">
            <w:pPr>
              <w:pStyle w:val="MediumGrid21"/>
              <w:rPr>
                <w:rFonts w:eastAsia="Calibri"/>
                <w:b/>
                <w:bCs/>
                <w:szCs w:val="22"/>
              </w:rPr>
            </w:pPr>
            <w:r>
              <w:rPr>
                <w:rFonts w:eastAsia="Calibri"/>
                <w:bCs/>
                <w:szCs w:val="22"/>
              </w:rPr>
              <w:t>- Engage court to align with SW plan</w:t>
            </w:r>
          </w:p>
        </w:tc>
        <w:tc>
          <w:tcPr>
            <w:tcW w:w="3477" w:type="dxa"/>
            <w:tcBorders>
              <w:top w:val="single" w:sz="2" w:space="0" w:color="C2D69B"/>
              <w:left w:val="single" w:sz="2" w:space="0" w:color="C2D69B"/>
              <w:bottom w:val="single" w:sz="2" w:space="0" w:color="C2D69B"/>
              <w:right w:val="single" w:sz="2" w:space="0" w:color="C2D69B"/>
            </w:tcBorders>
            <w:shd w:val="clear" w:color="auto" w:fill="EAF1DD"/>
          </w:tcPr>
          <w:p w:rsidR="000B1863" w:rsidRDefault="00D86A11">
            <w:pPr>
              <w:pStyle w:val="MediumGrid21"/>
              <w:rPr>
                <w:rFonts w:eastAsia="Calibri"/>
                <w:szCs w:val="22"/>
              </w:rPr>
            </w:pPr>
            <w:r>
              <w:rPr>
                <w:rFonts w:eastAsia="Calibri"/>
                <w:szCs w:val="22"/>
              </w:rPr>
              <w:t>- More bilingual and translation services that are culturally appropriate and high quality</w:t>
            </w:r>
          </w:p>
        </w:tc>
        <w:tc>
          <w:tcPr>
            <w:tcW w:w="2680" w:type="dxa"/>
            <w:tcBorders>
              <w:top w:val="single" w:sz="2" w:space="0" w:color="C2D69B"/>
              <w:left w:val="single" w:sz="2" w:space="0" w:color="C2D69B"/>
              <w:bottom w:val="single" w:sz="2" w:space="0" w:color="C2D69B"/>
              <w:right w:val="nil"/>
            </w:tcBorders>
            <w:shd w:val="clear" w:color="auto" w:fill="EAF1DD"/>
          </w:tcPr>
          <w:p w:rsidR="000B1863" w:rsidRDefault="00D86A11">
            <w:pPr>
              <w:pStyle w:val="MediumGrid21"/>
              <w:rPr>
                <w:rFonts w:eastAsia="Calibri"/>
                <w:szCs w:val="22"/>
              </w:rPr>
            </w:pPr>
            <w:r>
              <w:rPr>
                <w:rFonts w:eastAsia="Calibri"/>
                <w:szCs w:val="22"/>
              </w:rPr>
              <w:t>- Bring court along with SOP practices</w:t>
            </w:r>
          </w:p>
        </w:tc>
      </w:tr>
      <w:tr w:rsidR="00D86A11">
        <w:trPr>
          <w:trHeight w:val="86"/>
        </w:trPr>
        <w:tc>
          <w:tcPr>
            <w:tcW w:w="3581" w:type="dxa"/>
            <w:tcBorders>
              <w:top w:val="single" w:sz="2" w:space="0" w:color="C2D69B"/>
              <w:left w:val="nil"/>
              <w:bottom w:val="single" w:sz="2" w:space="0" w:color="C2D69B"/>
              <w:right w:val="single" w:sz="2" w:space="0" w:color="C2D69B"/>
            </w:tcBorders>
          </w:tcPr>
          <w:p w:rsidR="000B1863" w:rsidRDefault="00D86A11">
            <w:pPr>
              <w:pStyle w:val="MediumGrid21"/>
              <w:rPr>
                <w:rFonts w:eastAsia="Calibri"/>
                <w:b/>
                <w:bCs/>
                <w:szCs w:val="22"/>
              </w:rPr>
            </w:pPr>
            <w:r>
              <w:rPr>
                <w:rFonts w:eastAsia="Calibri"/>
                <w:bCs/>
                <w:szCs w:val="22"/>
              </w:rPr>
              <w:t>- Culturally focused training, including military</w:t>
            </w:r>
          </w:p>
        </w:tc>
        <w:tc>
          <w:tcPr>
            <w:tcW w:w="3477" w:type="dxa"/>
            <w:tcBorders>
              <w:top w:val="single" w:sz="2" w:space="0" w:color="C2D69B"/>
              <w:left w:val="single" w:sz="2" w:space="0" w:color="C2D69B"/>
              <w:bottom w:val="single" w:sz="2" w:space="0" w:color="C2D69B"/>
              <w:right w:val="single" w:sz="2" w:space="0" w:color="C2D69B"/>
            </w:tcBorders>
          </w:tcPr>
          <w:p w:rsidR="000B1863" w:rsidRDefault="00D86A11">
            <w:pPr>
              <w:pStyle w:val="MediumGrid21"/>
              <w:rPr>
                <w:rFonts w:eastAsia="Calibri"/>
                <w:szCs w:val="22"/>
              </w:rPr>
            </w:pPr>
            <w:r>
              <w:rPr>
                <w:rFonts w:eastAsia="Calibri"/>
                <w:szCs w:val="22"/>
              </w:rPr>
              <w:t>- Database of culturally focused services</w:t>
            </w:r>
          </w:p>
        </w:tc>
        <w:tc>
          <w:tcPr>
            <w:tcW w:w="2680" w:type="dxa"/>
            <w:tcBorders>
              <w:top w:val="single" w:sz="2" w:space="0" w:color="C2D69B"/>
              <w:left w:val="single" w:sz="2" w:space="0" w:color="C2D69B"/>
              <w:bottom w:val="single" w:sz="2" w:space="0" w:color="C2D69B"/>
              <w:right w:val="nil"/>
            </w:tcBorders>
          </w:tcPr>
          <w:p w:rsidR="000B1863" w:rsidRDefault="00D86A11">
            <w:pPr>
              <w:pStyle w:val="MediumGrid21"/>
              <w:rPr>
                <w:rFonts w:eastAsia="Calibri"/>
                <w:szCs w:val="22"/>
              </w:rPr>
            </w:pPr>
            <w:r>
              <w:rPr>
                <w:rFonts w:eastAsia="Calibri"/>
                <w:szCs w:val="22"/>
              </w:rPr>
              <w:t>- Create a policy for complex/intense cases</w:t>
            </w:r>
          </w:p>
        </w:tc>
      </w:tr>
      <w:tr w:rsidR="00D86A11">
        <w:trPr>
          <w:trHeight w:val="86"/>
        </w:trPr>
        <w:tc>
          <w:tcPr>
            <w:tcW w:w="3581" w:type="dxa"/>
            <w:tcBorders>
              <w:top w:val="single" w:sz="2" w:space="0" w:color="C2D69B"/>
              <w:left w:val="nil"/>
              <w:bottom w:val="single" w:sz="2" w:space="0" w:color="C2D69B"/>
              <w:right w:val="single" w:sz="2" w:space="0" w:color="C2D69B"/>
            </w:tcBorders>
            <w:shd w:val="clear" w:color="auto" w:fill="EAF1DD"/>
          </w:tcPr>
          <w:p w:rsidR="000B1863" w:rsidRDefault="00D86A11">
            <w:pPr>
              <w:pStyle w:val="MediumGrid21"/>
              <w:rPr>
                <w:rFonts w:eastAsia="Calibri"/>
                <w:b/>
                <w:bCs/>
                <w:szCs w:val="22"/>
              </w:rPr>
            </w:pPr>
            <w:r>
              <w:rPr>
                <w:rFonts w:eastAsia="Calibri"/>
                <w:bCs/>
                <w:szCs w:val="22"/>
              </w:rPr>
              <w:t>- Parenting education book to be utilized after case closure</w:t>
            </w:r>
          </w:p>
        </w:tc>
        <w:tc>
          <w:tcPr>
            <w:tcW w:w="3477" w:type="dxa"/>
            <w:tcBorders>
              <w:top w:val="single" w:sz="2" w:space="0" w:color="C2D69B"/>
              <w:left w:val="single" w:sz="2" w:space="0" w:color="C2D69B"/>
              <w:bottom w:val="single" w:sz="2" w:space="0" w:color="C2D69B"/>
              <w:right w:val="single" w:sz="2" w:space="0" w:color="C2D69B"/>
            </w:tcBorders>
            <w:shd w:val="clear" w:color="auto" w:fill="EAF1DD"/>
          </w:tcPr>
          <w:p w:rsidR="000B1863" w:rsidRDefault="00D86A11">
            <w:pPr>
              <w:pStyle w:val="MediumGrid21"/>
              <w:rPr>
                <w:rFonts w:eastAsia="Calibri"/>
                <w:szCs w:val="22"/>
              </w:rPr>
            </w:pPr>
            <w:r>
              <w:rPr>
                <w:rFonts w:eastAsia="Calibri"/>
                <w:szCs w:val="22"/>
              </w:rPr>
              <w:t>- Increase in salary for providers</w:t>
            </w:r>
          </w:p>
        </w:tc>
        <w:tc>
          <w:tcPr>
            <w:tcW w:w="2680" w:type="dxa"/>
            <w:tcBorders>
              <w:top w:val="single" w:sz="2" w:space="0" w:color="C2D69B"/>
              <w:left w:val="single" w:sz="2" w:space="0" w:color="C2D69B"/>
              <w:bottom w:val="single" w:sz="2" w:space="0" w:color="C2D69B"/>
              <w:right w:val="nil"/>
            </w:tcBorders>
            <w:shd w:val="clear" w:color="auto" w:fill="EAF1DD"/>
          </w:tcPr>
          <w:p w:rsidR="000B1863" w:rsidRDefault="00D86A11">
            <w:pPr>
              <w:pStyle w:val="MediumGrid21"/>
              <w:rPr>
                <w:rFonts w:eastAsia="Calibri"/>
                <w:szCs w:val="22"/>
              </w:rPr>
            </w:pPr>
            <w:r>
              <w:rPr>
                <w:rFonts w:eastAsia="Calibri"/>
                <w:szCs w:val="22"/>
              </w:rPr>
              <w:t>- Keep child in familiar environment</w:t>
            </w:r>
          </w:p>
        </w:tc>
      </w:tr>
      <w:tr w:rsidR="00D86A11">
        <w:trPr>
          <w:trHeight w:val="86"/>
        </w:trPr>
        <w:tc>
          <w:tcPr>
            <w:tcW w:w="3581" w:type="dxa"/>
            <w:tcBorders>
              <w:top w:val="single" w:sz="2" w:space="0" w:color="C2D69B"/>
              <w:left w:val="nil"/>
              <w:bottom w:val="single" w:sz="2" w:space="0" w:color="C2D69B"/>
              <w:right w:val="single" w:sz="2" w:space="0" w:color="C2D69B"/>
            </w:tcBorders>
          </w:tcPr>
          <w:p w:rsidR="000B1863" w:rsidRDefault="00D86A11">
            <w:pPr>
              <w:pStyle w:val="MediumGrid21"/>
              <w:rPr>
                <w:rFonts w:eastAsia="Calibri"/>
                <w:b/>
                <w:bCs/>
                <w:szCs w:val="22"/>
              </w:rPr>
            </w:pPr>
            <w:r>
              <w:rPr>
                <w:rFonts w:eastAsia="Calibri"/>
                <w:bCs/>
                <w:szCs w:val="22"/>
              </w:rPr>
              <w:t>- More applied focus to training (practical tool)</w:t>
            </w:r>
          </w:p>
        </w:tc>
        <w:tc>
          <w:tcPr>
            <w:tcW w:w="3477" w:type="dxa"/>
            <w:tcBorders>
              <w:top w:val="single" w:sz="2" w:space="0" w:color="C2D69B"/>
              <w:left w:val="single" w:sz="2" w:space="0" w:color="C2D69B"/>
              <w:bottom w:val="single" w:sz="2" w:space="0" w:color="C2D69B"/>
              <w:right w:val="single" w:sz="2" w:space="0" w:color="C2D69B"/>
            </w:tcBorders>
          </w:tcPr>
          <w:p w:rsidR="000B1863" w:rsidRDefault="00D86A11">
            <w:pPr>
              <w:pStyle w:val="MediumGrid21"/>
              <w:rPr>
                <w:rFonts w:eastAsia="Calibri"/>
                <w:szCs w:val="22"/>
              </w:rPr>
            </w:pPr>
            <w:r>
              <w:rPr>
                <w:rFonts w:eastAsia="Calibri"/>
                <w:szCs w:val="22"/>
              </w:rPr>
              <w:t>- Customized resource book to client at case closure</w:t>
            </w:r>
          </w:p>
        </w:tc>
        <w:tc>
          <w:tcPr>
            <w:tcW w:w="2680" w:type="dxa"/>
            <w:tcBorders>
              <w:top w:val="single" w:sz="2" w:space="0" w:color="C2D69B"/>
              <w:left w:val="single" w:sz="2" w:space="0" w:color="C2D69B"/>
              <w:bottom w:val="single" w:sz="2" w:space="0" w:color="C2D69B"/>
              <w:right w:val="nil"/>
            </w:tcBorders>
          </w:tcPr>
          <w:p w:rsidR="000B1863" w:rsidRDefault="00D86A11">
            <w:pPr>
              <w:pStyle w:val="MediumGrid21"/>
              <w:rPr>
                <w:rFonts w:eastAsia="Calibri"/>
                <w:szCs w:val="22"/>
              </w:rPr>
            </w:pPr>
            <w:r>
              <w:rPr>
                <w:rFonts w:eastAsia="Calibri"/>
                <w:szCs w:val="22"/>
              </w:rPr>
              <w:t>- Increase use of social media to identify family</w:t>
            </w:r>
          </w:p>
        </w:tc>
      </w:tr>
      <w:tr w:rsidR="00D86A11">
        <w:trPr>
          <w:trHeight w:val="86"/>
        </w:trPr>
        <w:tc>
          <w:tcPr>
            <w:tcW w:w="3581" w:type="dxa"/>
            <w:tcBorders>
              <w:top w:val="single" w:sz="2" w:space="0" w:color="C2D69B"/>
              <w:left w:val="nil"/>
              <w:bottom w:val="single" w:sz="2" w:space="0" w:color="C2D69B"/>
              <w:right w:val="single" w:sz="2" w:space="0" w:color="C2D69B"/>
            </w:tcBorders>
            <w:shd w:val="clear" w:color="auto" w:fill="EAF1DD"/>
          </w:tcPr>
          <w:p w:rsidR="000B1863" w:rsidRDefault="00D86A11">
            <w:pPr>
              <w:pStyle w:val="MediumGrid21"/>
              <w:rPr>
                <w:rFonts w:eastAsia="Calibri"/>
                <w:b/>
                <w:bCs/>
                <w:szCs w:val="22"/>
              </w:rPr>
            </w:pPr>
            <w:r>
              <w:rPr>
                <w:rFonts w:eastAsia="Calibri"/>
                <w:bCs/>
                <w:szCs w:val="22"/>
              </w:rPr>
              <w:t>- Parent child bonding and how it progresses via trauma</w:t>
            </w:r>
          </w:p>
        </w:tc>
        <w:tc>
          <w:tcPr>
            <w:tcW w:w="3477" w:type="dxa"/>
            <w:tcBorders>
              <w:top w:val="single" w:sz="2" w:space="0" w:color="C2D69B"/>
              <w:left w:val="single" w:sz="2" w:space="0" w:color="C2D69B"/>
              <w:bottom w:val="single" w:sz="2" w:space="0" w:color="C2D69B"/>
              <w:right w:val="single" w:sz="2" w:space="0" w:color="C2D69B"/>
            </w:tcBorders>
            <w:shd w:val="clear" w:color="auto" w:fill="EAF1DD"/>
          </w:tcPr>
          <w:p w:rsidR="000B1863" w:rsidRDefault="00D86A11">
            <w:pPr>
              <w:pStyle w:val="MediumGrid21"/>
              <w:rPr>
                <w:rFonts w:eastAsia="Calibri"/>
                <w:szCs w:val="22"/>
              </w:rPr>
            </w:pPr>
            <w:r>
              <w:rPr>
                <w:rFonts w:eastAsia="Calibri"/>
                <w:szCs w:val="22"/>
              </w:rPr>
              <w:t>- More recruitment and training of culturally appropriate foster placements</w:t>
            </w:r>
          </w:p>
        </w:tc>
        <w:tc>
          <w:tcPr>
            <w:tcW w:w="2680" w:type="dxa"/>
            <w:tcBorders>
              <w:top w:val="single" w:sz="2" w:space="0" w:color="C2D69B"/>
              <w:left w:val="single" w:sz="2" w:space="0" w:color="C2D69B"/>
              <w:bottom w:val="single" w:sz="2" w:space="0" w:color="C2D69B"/>
              <w:right w:val="nil"/>
            </w:tcBorders>
            <w:shd w:val="clear" w:color="auto" w:fill="EAF1DD"/>
          </w:tcPr>
          <w:p w:rsidR="000B1863" w:rsidRDefault="00D86A11">
            <w:pPr>
              <w:pStyle w:val="MediumGrid21"/>
              <w:rPr>
                <w:rFonts w:eastAsia="Calibri"/>
                <w:szCs w:val="22"/>
              </w:rPr>
            </w:pPr>
            <w:r>
              <w:rPr>
                <w:rFonts w:eastAsia="Calibri"/>
                <w:szCs w:val="22"/>
              </w:rPr>
              <w:t>- Hiring for talent book</w:t>
            </w:r>
          </w:p>
        </w:tc>
      </w:tr>
      <w:tr w:rsidR="00D86A11">
        <w:trPr>
          <w:trHeight w:val="86"/>
        </w:trPr>
        <w:tc>
          <w:tcPr>
            <w:tcW w:w="3581" w:type="dxa"/>
            <w:tcBorders>
              <w:top w:val="single" w:sz="2" w:space="0" w:color="C2D69B"/>
              <w:left w:val="nil"/>
              <w:bottom w:val="single" w:sz="2" w:space="0" w:color="C2D69B"/>
              <w:right w:val="single" w:sz="2" w:space="0" w:color="C2D69B"/>
            </w:tcBorders>
          </w:tcPr>
          <w:p w:rsidR="000B1863" w:rsidRDefault="00D86A11">
            <w:pPr>
              <w:pStyle w:val="MediumGrid21"/>
              <w:rPr>
                <w:rFonts w:eastAsia="Calibri"/>
                <w:b/>
                <w:bCs/>
                <w:szCs w:val="22"/>
              </w:rPr>
            </w:pPr>
            <w:r>
              <w:rPr>
                <w:rFonts w:eastAsia="Calibri"/>
                <w:bCs/>
                <w:szCs w:val="22"/>
              </w:rPr>
              <w:t>- Parent engagement</w:t>
            </w:r>
          </w:p>
        </w:tc>
        <w:tc>
          <w:tcPr>
            <w:tcW w:w="3477" w:type="dxa"/>
            <w:tcBorders>
              <w:top w:val="single" w:sz="2" w:space="0" w:color="C2D69B"/>
              <w:left w:val="single" w:sz="2" w:space="0" w:color="C2D69B"/>
              <w:bottom w:val="single" w:sz="2" w:space="0" w:color="C2D69B"/>
              <w:right w:val="single" w:sz="2" w:space="0" w:color="C2D69B"/>
            </w:tcBorders>
          </w:tcPr>
          <w:p w:rsidR="000B1863" w:rsidRDefault="00D86A11">
            <w:pPr>
              <w:pStyle w:val="MediumGrid21"/>
              <w:rPr>
                <w:rFonts w:eastAsia="Calibri"/>
                <w:szCs w:val="22"/>
              </w:rPr>
            </w:pPr>
            <w:r>
              <w:rPr>
                <w:rFonts w:eastAsia="Calibri"/>
                <w:szCs w:val="22"/>
              </w:rPr>
              <w:t>- Identify community services and build awareness for how families can access services</w:t>
            </w:r>
          </w:p>
        </w:tc>
        <w:tc>
          <w:tcPr>
            <w:tcW w:w="2680" w:type="dxa"/>
            <w:tcBorders>
              <w:top w:val="single" w:sz="2" w:space="0" w:color="C2D69B"/>
              <w:left w:val="single" w:sz="2" w:space="0" w:color="C2D69B"/>
              <w:bottom w:val="single" w:sz="2" w:space="0" w:color="C2D69B"/>
              <w:right w:val="nil"/>
            </w:tcBorders>
          </w:tcPr>
          <w:p w:rsidR="000B1863" w:rsidRDefault="00D86A11">
            <w:pPr>
              <w:pStyle w:val="MediumGrid21"/>
              <w:rPr>
                <w:rFonts w:eastAsia="Calibri"/>
                <w:szCs w:val="22"/>
              </w:rPr>
            </w:pPr>
            <w:r>
              <w:rPr>
                <w:rFonts w:eastAsia="Calibri"/>
                <w:szCs w:val="22"/>
              </w:rPr>
              <w:t>- Holistic approach</w:t>
            </w:r>
          </w:p>
        </w:tc>
      </w:tr>
      <w:tr w:rsidR="00D86A11">
        <w:trPr>
          <w:trHeight w:val="86"/>
        </w:trPr>
        <w:tc>
          <w:tcPr>
            <w:tcW w:w="3581" w:type="dxa"/>
            <w:tcBorders>
              <w:top w:val="single" w:sz="2" w:space="0" w:color="C2D69B"/>
              <w:left w:val="nil"/>
              <w:bottom w:val="single" w:sz="2" w:space="0" w:color="C2D69B"/>
              <w:right w:val="single" w:sz="2" w:space="0" w:color="C2D69B"/>
            </w:tcBorders>
            <w:shd w:val="clear" w:color="auto" w:fill="EAF1DD"/>
          </w:tcPr>
          <w:p w:rsidR="000B1863" w:rsidRDefault="00D86A11">
            <w:pPr>
              <w:pStyle w:val="MediumGrid21"/>
              <w:rPr>
                <w:rFonts w:eastAsia="Calibri"/>
                <w:b/>
                <w:bCs/>
                <w:szCs w:val="22"/>
              </w:rPr>
            </w:pPr>
            <w:r>
              <w:rPr>
                <w:rFonts w:eastAsia="Calibri"/>
                <w:bCs/>
                <w:szCs w:val="22"/>
              </w:rPr>
              <w:t>- Supervision to support fidelity and quality of the training, especially critical with complex cases</w:t>
            </w:r>
          </w:p>
        </w:tc>
        <w:tc>
          <w:tcPr>
            <w:tcW w:w="3477" w:type="dxa"/>
            <w:tcBorders>
              <w:top w:val="single" w:sz="2" w:space="0" w:color="C2D69B"/>
              <w:left w:val="single" w:sz="2" w:space="0" w:color="C2D69B"/>
              <w:bottom w:val="single" w:sz="2" w:space="0" w:color="C2D69B"/>
              <w:right w:val="single" w:sz="2" w:space="0" w:color="C2D69B"/>
            </w:tcBorders>
            <w:shd w:val="clear" w:color="auto" w:fill="EAF1DD"/>
          </w:tcPr>
          <w:p w:rsidR="000B1863" w:rsidRDefault="00D86A11">
            <w:pPr>
              <w:pStyle w:val="MediumGrid21"/>
              <w:rPr>
                <w:rFonts w:eastAsia="Calibri"/>
                <w:szCs w:val="22"/>
              </w:rPr>
            </w:pPr>
            <w:r>
              <w:rPr>
                <w:rFonts w:eastAsia="Calibri"/>
                <w:szCs w:val="22"/>
              </w:rPr>
              <w:t>- Shelter vouchers</w:t>
            </w:r>
          </w:p>
        </w:tc>
        <w:tc>
          <w:tcPr>
            <w:tcW w:w="2680" w:type="dxa"/>
            <w:tcBorders>
              <w:top w:val="single" w:sz="2" w:space="0" w:color="C2D69B"/>
              <w:left w:val="single" w:sz="2" w:space="0" w:color="C2D69B"/>
              <w:bottom w:val="single" w:sz="2" w:space="0" w:color="C2D69B"/>
              <w:right w:val="nil"/>
            </w:tcBorders>
            <w:shd w:val="clear" w:color="auto" w:fill="EAF1DD"/>
          </w:tcPr>
          <w:p w:rsidR="000B1863" w:rsidRDefault="00D86A11">
            <w:pPr>
              <w:pStyle w:val="MediumGrid21"/>
              <w:rPr>
                <w:rFonts w:eastAsia="Calibri"/>
                <w:szCs w:val="22"/>
              </w:rPr>
            </w:pPr>
            <w:r>
              <w:rPr>
                <w:rFonts w:eastAsia="Calibri"/>
                <w:szCs w:val="22"/>
              </w:rPr>
              <w:t>- Greater voice for parents- Family Team meeting vs TDM</w:t>
            </w:r>
          </w:p>
        </w:tc>
      </w:tr>
      <w:tr w:rsidR="00D86A11">
        <w:trPr>
          <w:trHeight w:val="86"/>
        </w:trPr>
        <w:tc>
          <w:tcPr>
            <w:tcW w:w="3581" w:type="dxa"/>
            <w:tcBorders>
              <w:top w:val="single" w:sz="2" w:space="0" w:color="C2D69B"/>
              <w:left w:val="nil"/>
              <w:bottom w:val="single" w:sz="2" w:space="0" w:color="C2D69B"/>
              <w:right w:val="single" w:sz="2" w:space="0" w:color="C2D69B"/>
            </w:tcBorders>
          </w:tcPr>
          <w:p w:rsidR="000B1863" w:rsidRDefault="00D86A11">
            <w:pPr>
              <w:pStyle w:val="MediumGrid21"/>
              <w:rPr>
                <w:rFonts w:eastAsia="Calibri"/>
                <w:b/>
                <w:bCs/>
                <w:szCs w:val="22"/>
              </w:rPr>
            </w:pPr>
            <w:r>
              <w:rPr>
                <w:rFonts w:eastAsia="Calibri"/>
                <w:bCs/>
                <w:szCs w:val="22"/>
              </w:rPr>
              <w:t>- How to work with courts to meet timelines</w:t>
            </w:r>
          </w:p>
        </w:tc>
        <w:tc>
          <w:tcPr>
            <w:tcW w:w="3477" w:type="dxa"/>
            <w:tcBorders>
              <w:top w:val="single" w:sz="2" w:space="0" w:color="C2D69B"/>
              <w:left w:val="single" w:sz="2" w:space="0" w:color="C2D69B"/>
              <w:bottom w:val="single" w:sz="2" w:space="0" w:color="C2D69B"/>
              <w:right w:val="single" w:sz="2" w:space="0" w:color="C2D69B"/>
            </w:tcBorders>
          </w:tcPr>
          <w:p w:rsidR="000B1863" w:rsidRDefault="00D86A11">
            <w:pPr>
              <w:pStyle w:val="MediumGrid21"/>
              <w:rPr>
                <w:rFonts w:eastAsia="Calibri"/>
                <w:szCs w:val="22"/>
              </w:rPr>
            </w:pPr>
            <w:r>
              <w:rPr>
                <w:rFonts w:eastAsia="Calibri"/>
                <w:szCs w:val="22"/>
              </w:rPr>
              <w:t>- Family Justice Center</w:t>
            </w:r>
          </w:p>
        </w:tc>
        <w:tc>
          <w:tcPr>
            <w:tcW w:w="2680" w:type="dxa"/>
            <w:tcBorders>
              <w:top w:val="single" w:sz="2" w:space="0" w:color="C2D69B"/>
              <w:left w:val="single" w:sz="2" w:space="0" w:color="C2D69B"/>
              <w:bottom w:val="single" w:sz="2" w:space="0" w:color="C2D69B"/>
              <w:right w:val="nil"/>
            </w:tcBorders>
          </w:tcPr>
          <w:p w:rsidR="000B1863" w:rsidRDefault="00D86A11">
            <w:pPr>
              <w:pStyle w:val="MediumGrid21"/>
              <w:rPr>
                <w:rFonts w:eastAsia="Calibri"/>
                <w:szCs w:val="22"/>
              </w:rPr>
            </w:pPr>
            <w:r>
              <w:rPr>
                <w:rFonts w:eastAsia="Calibri"/>
                <w:szCs w:val="22"/>
              </w:rPr>
              <w:t>- Increased accountability of supervisors to ensure staff is implementing BPs</w:t>
            </w:r>
          </w:p>
        </w:tc>
      </w:tr>
      <w:tr w:rsidR="00D86A11">
        <w:trPr>
          <w:trHeight w:val="86"/>
        </w:trPr>
        <w:tc>
          <w:tcPr>
            <w:tcW w:w="3581" w:type="dxa"/>
            <w:tcBorders>
              <w:top w:val="single" w:sz="2" w:space="0" w:color="C2D69B"/>
              <w:left w:val="nil"/>
              <w:bottom w:val="single" w:sz="2" w:space="0" w:color="C2D69B"/>
              <w:right w:val="single" w:sz="2" w:space="0" w:color="C2D69B"/>
            </w:tcBorders>
            <w:shd w:val="clear" w:color="auto" w:fill="EAF1DD"/>
          </w:tcPr>
          <w:p w:rsidR="000B1863" w:rsidRDefault="00D86A11">
            <w:pPr>
              <w:pStyle w:val="MediumGrid21"/>
              <w:rPr>
                <w:rFonts w:eastAsia="Calibri"/>
                <w:b/>
                <w:bCs/>
                <w:szCs w:val="22"/>
              </w:rPr>
            </w:pPr>
            <w:r>
              <w:rPr>
                <w:rFonts w:eastAsia="Calibri"/>
                <w:bCs/>
                <w:szCs w:val="22"/>
              </w:rPr>
              <w:t>- Warm handoff between SW and families</w:t>
            </w:r>
          </w:p>
        </w:tc>
        <w:tc>
          <w:tcPr>
            <w:tcW w:w="3477" w:type="dxa"/>
            <w:tcBorders>
              <w:top w:val="single" w:sz="2" w:space="0" w:color="C2D69B"/>
              <w:left w:val="single" w:sz="2" w:space="0" w:color="C2D69B"/>
              <w:bottom w:val="single" w:sz="2" w:space="0" w:color="C2D69B"/>
              <w:right w:val="single" w:sz="2" w:space="0" w:color="C2D69B"/>
            </w:tcBorders>
            <w:shd w:val="clear" w:color="auto" w:fill="EAF1DD"/>
          </w:tcPr>
          <w:p w:rsidR="000B1863" w:rsidRDefault="000B1863">
            <w:pPr>
              <w:pStyle w:val="MediumGrid21"/>
              <w:rPr>
                <w:rFonts w:eastAsia="Calibri"/>
                <w:szCs w:val="22"/>
              </w:rPr>
            </w:pPr>
          </w:p>
        </w:tc>
        <w:tc>
          <w:tcPr>
            <w:tcW w:w="2680" w:type="dxa"/>
            <w:tcBorders>
              <w:top w:val="single" w:sz="2" w:space="0" w:color="C2D69B"/>
              <w:left w:val="single" w:sz="2" w:space="0" w:color="C2D69B"/>
              <w:bottom w:val="single" w:sz="2" w:space="0" w:color="C2D69B"/>
              <w:right w:val="nil"/>
            </w:tcBorders>
            <w:shd w:val="clear" w:color="auto" w:fill="EAF1DD"/>
          </w:tcPr>
          <w:p w:rsidR="000B1863" w:rsidRDefault="00D86A11">
            <w:pPr>
              <w:pStyle w:val="MediumGrid21"/>
              <w:rPr>
                <w:rFonts w:eastAsia="Calibri"/>
                <w:szCs w:val="22"/>
              </w:rPr>
            </w:pPr>
            <w:r>
              <w:rPr>
                <w:rFonts w:eastAsia="Calibri"/>
                <w:szCs w:val="22"/>
              </w:rPr>
              <w:t>- Child centered policies</w:t>
            </w:r>
          </w:p>
        </w:tc>
      </w:tr>
    </w:tbl>
    <w:p w:rsidR="000B1863" w:rsidRDefault="000B1863">
      <w:pPr>
        <w:pStyle w:val="MediumGrid21"/>
      </w:pPr>
    </w:p>
    <w:p w:rsidR="00D86A11" w:rsidRDefault="00D86A11" w:rsidP="00D86A11">
      <w:pPr>
        <w:rPr>
          <w:b/>
          <w:color w:val="013161"/>
          <w:spacing w:val="20"/>
          <w:sz w:val="28"/>
        </w:rPr>
      </w:pPr>
      <w:r>
        <w:rPr>
          <w:color w:val="013161"/>
        </w:rPr>
        <w:br w:type="page"/>
      </w:r>
      <w:r w:rsidR="00F1013C" w:rsidRPr="00F1013C">
        <w:rPr>
          <w:b/>
          <w:color w:val="013161"/>
          <w:spacing w:val="20"/>
          <w:sz w:val="28"/>
        </w:rPr>
        <w:lastRenderedPageBreak/>
        <w:t>Appendix J: Stakeholder Meeting Results</w:t>
      </w:r>
    </w:p>
    <w:tbl>
      <w:tblPr>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932"/>
        <w:gridCol w:w="7382"/>
      </w:tblGrid>
      <w:tr w:rsidR="00D86A11">
        <w:tc>
          <w:tcPr>
            <w:tcW w:w="9475" w:type="dxa"/>
            <w:gridSpan w:val="2"/>
            <w:tcBorders>
              <w:top w:val="single" w:sz="18" w:space="0" w:color="FFFFFF"/>
              <w:left w:val="single" w:sz="18" w:space="0" w:color="FFFFFF"/>
              <w:bottom w:val="single" w:sz="18" w:space="0" w:color="FFFFFF"/>
              <w:right w:val="single" w:sz="18" w:space="0" w:color="FFFFFF"/>
            </w:tcBorders>
            <w:shd w:val="clear" w:color="auto" w:fill="2E7029"/>
            <w:vAlign w:val="center"/>
          </w:tcPr>
          <w:p w:rsidR="00D86A11" w:rsidRDefault="00D86A11">
            <w:pPr>
              <w:spacing w:after="0" w:line="240" w:lineRule="auto"/>
              <w:rPr>
                <w:rFonts w:eastAsia="Times New Roman"/>
                <w:color w:val="FFFFFF"/>
                <w:sz w:val="20"/>
              </w:rPr>
            </w:pPr>
            <w:r>
              <w:rPr>
                <w:rFonts w:eastAsia="Times New Roman"/>
                <w:b/>
                <w:color w:val="FFFFFF"/>
                <w:sz w:val="28"/>
              </w:rPr>
              <w:t>Exhibit 1. Reentry into Care</w:t>
            </w:r>
          </w:p>
        </w:tc>
      </w:tr>
      <w:tr w:rsidR="00D86A11">
        <w:tc>
          <w:tcPr>
            <w:tcW w:w="1915" w:type="dxa"/>
            <w:tcBorders>
              <w:top w:val="single" w:sz="18" w:space="0" w:color="FFFFFF"/>
              <w:left w:val="single" w:sz="18" w:space="0" w:color="FFFFFF"/>
              <w:bottom w:val="single" w:sz="18" w:space="0" w:color="FFFFFF"/>
              <w:right w:val="single" w:sz="18" w:space="0" w:color="FFFFFF"/>
            </w:tcBorders>
            <w:shd w:val="clear" w:color="auto" w:fill="2E7029"/>
            <w:vAlign w:val="center"/>
          </w:tcPr>
          <w:p w:rsidR="00D86A11" w:rsidRDefault="00D86A11">
            <w:pPr>
              <w:spacing w:after="0" w:line="240" w:lineRule="auto"/>
              <w:jc w:val="center"/>
              <w:rPr>
                <w:rFonts w:eastAsia="Times New Roman"/>
                <w:b/>
                <w:bCs/>
                <w:color w:val="17365D"/>
                <w:sz w:val="28"/>
                <w:szCs w:val="28"/>
              </w:rPr>
            </w:pPr>
            <w:r>
              <w:rPr>
                <w:rFonts w:eastAsia="Times New Roman"/>
                <w:b/>
                <w:bCs/>
                <w:color w:val="FFFFFF"/>
                <w:sz w:val="28"/>
                <w:szCs w:val="28"/>
              </w:rPr>
              <w:t>What do you see in your work with families that helps maintain successful reunification?</w:t>
            </w:r>
          </w:p>
        </w:tc>
        <w:tc>
          <w:tcPr>
            <w:tcW w:w="7560" w:type="dxa"/>
            <w:tcBorders>
              <w:top w:val="single" w:sz="18" w:space="0" w:color="FFFFFF"/>
              <w:left w:val="single" w:sz="18" w:space="0" w:color="FFFFFF"/>
              <w:bottom w:val="single" w:sz="18" w:space="0" w:color="FFFFFF"/>
              <w:right w:val="single" w:sz="18" w:space="0" w:color="FFFFFF"/>
            </w:tcBorders>
            <w:shd w:val="clear" w:color="auto" w:fill="C5E8C2"/>
            <w:vAlign w:val="center"/>
          </w:tcPr>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Active listening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Case planning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Clear expectations between client and agency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Community/ support services that are culturally appropriate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Connection to long term services prior to leaving the system</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Effective communication of process and expectations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Evaluating family needs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Families identify natural supports (FGC)</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Family therapy sessions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Father engagement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Financial supports housing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Focus on relative placements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Focus on safety vs complicating factors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Frequency of visits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Good collaboration between agency, service providers  and  family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Holding TDMs with support for clients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Housing for families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Identified support network/use of support network</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Implementation of SOP</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Increase informal supports by creating safety network</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Indian Specialty Unit- Tribal engagement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Involving fathers and other family at in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Maintain strong safety networks (families need assistance with maintain these connections)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Matching social workers with family based on workers background and strengths for a good working relationship</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visitation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Parent support partners and CASAs as mediating partners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Relative placements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Reunification programs for families (Mentoring, Parent coach, etc.)</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Services for prevention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Shifting from insight to applied behavioral changes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Social workers who have training/understanding of recovery and treatment programs. Decreased effectively meeting client's needs (relapse prevention)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TDMs (2xs)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Use of parent partners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Visitation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Voice of the family</w:t>
            </w:r>
          </w:p>
        </w:tc>
      </w:tr>
      <w:tr w:rsidR="00D86A11">
        <w:tc>
          <w:tcPr>
            <w:tcW w:w="1915" w:type="dxa"/>
            <w:tcBorders>
              <w:top w:val="single" w:sz="18" w:space="0" w:color="FFFFFF"/>
              <w:left w:val="single" w:sz="18" w:space="0" w:color="FFFFFF"/>
              <w:bottom w:val="single" w:sz="18" w:space="0" w:color="FFFFFF"/>
              <w:right w:val="single" w:sz="18" w:space="0" w:color="FFFFFF"/>
            </w:tcBorders>
            <w:shd w:val="clear" w:color="auto" w:fill="2E7029"/>
            <w:vAlign w:val="center"/>
          </w:tcPr>
          <w:p w:rsidR="00D86A11" w:rsidRDefault="00D86A11">
            <w:pPr>
              <w:spacing w:after="0" w:line="240" w:lineRule="auto"/>
              <w:jc w:val="center"/>
              <w:rPr>
                <w:rFonts w:eastAsia="Times New Roman"/>
                <w:b/>
                <w:bCs/>
                <w:color w:val="17365D"/>
                <w:sz w:val="28"/>
                <w:szCs w:val="28"/>
              </w:rPr>
            </w:pPr>
            <w:r>
              <w:rPr>
                <w:rFonts w:eastAsia="Times New Roman"/>
                <w:b/>
                <w:bCs/>
                <w:color w:val="FFFFFF"/>
                <w:sz w:val="28"/>
                <w:szCs w:val="28"/>
              </w:rPr>
              <w:t xml:space="preserve">What do you see that CWS has done over the last 5 years to make </w:t>
            </w:r>
            <w:r>
              <w:rPr>
                <w:rFonts w:eastAsia="Times New Roman"/>
                <w:b/>
                <w:bCs/>
                <w:color w:val="FFFFFF"/>
                <w:sz w:val="28"/>
                <w:szCs w:val="28"/>
              </w:rPr>
              <w:lastRenderedPageBreak/>
              <w:t>improvements in re-entry?</w:t>
            </w:r>
          </w:p>
        </w:tc>
        <w:tc>
          <w:tcPr>
            <w:tcW w:w="7560" w:type="dxa"/>
            <w:tcBorders>
              <w:top w:val="single" w:sz="18" w:space="0" w:color="FFFFFF"/>
              <w:left w:val="single" w:sz="18" w:space="0" w:color="FFFFFF"/>
              <w:bottom w:val="single" w:sz="18" w:space="0" w:color="FFFFFF"/>
              <w:right w:val="single" w:sz="18" w:space="0" w:color="FFFFFF"/>
            </w:tcBorders>
            <w:shd w:val="clear" w:color="auto" w:fill="C5E8C2"/>
            <w:vAlign w:val="center"/>
          </w:tcPr>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lastRenderedPageBreak/>
              <w:t>After care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CFT's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Cluster model for services, school SW</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Collaboration with different agencies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Communication with service providers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Cultural broker/county open to new ideas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lastRenderedPageBreak/>
              <w:t>Evidence based practice e.g., Incredible Families Program</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Family centered TDMs- building safety networks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Family engagement strategies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Family group conferencing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Family input in engagement to support success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Focus on harm and danger</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Focus on prevention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For providers who aren't co located, having county badges in order to have direct communication with SWs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IFPP and Wraparound</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Implementation of SOP; safety plans, safety networks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Increased quality of safety planning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Individualized service plan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Initiative to focus on mental health; implementation of pathways to WB, demonstration project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Live well leadership teams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voluntary cases vs informal</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Neighborhood for kids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One stop shops (cultural brokers, incredible families)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TDM</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TDM's to address issues head on- supportive group environment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The CWS and probation systems being flexible in terms of meeting client's needs with more holistic approach</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Trauma informed system</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Using voluntary and prevention case plans to alleviate re entry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Wraparound and SOP during transition times</w:t>
            </w:r>
          </w:p>
        </w:tc>
      </w:tr>
      <w:tr w:rsidR="00D86A11">
        <w:tc>
          <w:tcPr>
            <w:tcW w:w="1915" w:type="dxa"/>
            <w:tcBorders>
              <w:top w:val="single" w:sz="18" w:space="0" w:color="FFFFFF"/>
              <w:left w:val="single" w:sz="18" w:space="0" w:color="FFFFFF"/>
              <w:bottom w:val="single" w:sz="18" w:space="0" w:color="FFFFFF"/>
              <w:right w:val="single" w:sz="18" w:space="0" w:color="FFFFFF"/>
            </w:tcBorders>
            <w:shd w:val="clear" w:color="auto" w:fill="2E7029"/>
            <w:vAlign w:val="center"/>
          </w:tcPr>
          <w:p w:rsidR="00D86A11" w:rsidRDefault="00D86A11">
            <w:pPr>
              <w:spacing w:after="0" w:line="240" w:lineRule="auto"/>
              <w:jc w:val="center"/>
              <w:rPr>
                <w:rFonts w:eastAsia="Times New Roman"/>
                <w:b/>
                <w:bCs/>
                <w:color w:val="FFFFFF"/>
                <w:sz w:val="28"/>
                <w:szCs w:val="28"/>
              </w:rPr>
            </w:pPr>
            <w:r>
              <w:rPr>
                <w:rFonts w:eastAsia="Times New Roman"/>
                <w:b/>
                <w:bCs/>
                <w:color w:val="FFFFFF"/>
                <w:sz w:val="28"/>
                <w:szCs w:val="28"/>
              </w:rPr>
              <w:lastRenderedPageBreak/>
              <w:t>Anything different about Probation to make improvements in re-entry?</w:t>
            </w:r>
          </w:p>
        </w:tc>
        <w:tc>
          <w:tcPr>
            <w:tcW w:w="7560" w:type="dxa"/>
            <w:tcBorders>
              <w:top w:val="single" w:sz="18" w:space="0" w:color="FFFFFF"/>
              <w:left w:val="single" w:sz="18" w:space="0" w:color="FFFFFF"/>
              <w:bottom w:val="single" w:sz="18" w:space="0" w:color="FFFFFF"/>
              <w:right w:val="single" w:sz="18" w:space="0" w:color="FFFFFF"/>
            </w:tcBorders>
            <w:shd w:val="clear" w:color="auto" w:fill="C5E8C2"/>
            <w:vAlign w:val="center"/>
          </w:tcPr>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Access to data</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Alternatives to detention (preventive/ diversionary tactics,  cool beds)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Balanced perspective including therapeutic aspect, focus on guiding and empowering families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Consistent case management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CWS/Probation collaborating more effectively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Increased trainings child/focused trauma informed</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Informal contracts and involvement to reduce stigma</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exposure/focus on mental health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focus on trauma (address MH needs)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trauma related education/services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Probation being more family centered in their approach (move from punitive to systemic model)</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Started using team decision making meetings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Targeted prevention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Trauma responsive unit (BHS clinician 20 bed unit)</w:t>
            </w:r>
          </w:p>
          <w:p w:rsidR="000B1863" w:rsidRDefault="00D86A11">
            <w:pPr>
              <w:numPr>
                <w:ilvl w:val="0"/>
                <w:numId w:val="30"/>
              </w:numPr>
              <w:spacing w:after="0" w:line="240" w:lineRule="auto"/>
              <w:contextualSpacing/>
              <w:rPr>
                <w:rFonts w:eastAsia="Times New Roman"/>
                <w:color w:val="auto"/>
                <w:sz w:val="20"/>
              </w:rPr>
            </w:pPr>
            <w:r>
              <w:rPr>
                <w:rFonts w:eastAsia="Times New Roman"/>
                <w:color w:val="auto"/>
                <w:sz w:val="20"/>
              </w:rPr>
              <w:t>Wrap around services/ collaboration</w:t>
            </w:r>
          </w:p>
        </w:tc>
      </w:tr>
      <w:tr w:rsidR="00D86A11">
        <w:tc>
          <w:tcPr>
            <w:tcW w:w="1915" w:type="dxa"/>
            <w:tcBorders>
              <w:top w:val="single" w:sz="18" w:space="0" w:color="FFFFFF"/>
              <w:left w:val="single" w:sz="18" w:space="0" w:color="FFFFFF"/>
              <w:bottom w:val="single" w:sz="18" w:space="0" w:color="FFFFFF"/>
              <w:right w:val="single" w:sz="18" w:space="0" w:color="FFFFFF"/>
            </w:tcBorders>
            <w:shd w:val="clear" w:color="auto" w:fill="2E7029"/>
            <w:vAlign w:val="center"/>
          </w:tcPr>
          <w:p w:rsidR="00D86A11" w:rsidRDefault="00D86A11">
            <w:pPr>
              <w:spacing w:after="0" w:line="240" w:lineRule="auto"/>
              <w:jc w:val="center"/>
              <w:rPr>
                <w:rFonts w:eastAsia="Times New Roman"/>
                <w:b/>
                <w:bCs/>
                <w:color w:val="FFFFFF"/>
                <w:sz w:val="28"/>
                <w:szCs w:val="28"/>
              </w:rPr>
            </w:pPr>
            <w:r>
              <w:rPr>
                <w:rFonts w:eastAsia="Times New Roman"/>
                <w:b/>
                <w:bCs/>
                <w:color w:val="FFFFFF"/>
                <w:sz w:val="28"/>
                <w:szCs w:val="28"/>
              </w:rPr>
              <w:t xml:space="preserve">What are the barriers families face in sustaining </w:t>
            </w:r>
            <w:r>
              <w:rPr>
                <w:rFonts w:eastAsia="Times New Roman"/>
                <w:b/>
                <w:bCs/>
                <w:color w:val="FFFFFF"/>
                <w:sz w:val="28"/>
                <w:szCs w:val="28"/>
              </w:rPr>
              <w:lastRenderedPageBreak/>
              <w:t>successful reunification?</w:t>
            </w:r>
          </w:p>
        </w:tc>
        <w:tc>
          <w:tcPr>
            <w:tcW w:w="7560" w:type="dxa"/>
            <w:tcBorders>
              <w:top w:val="single" w:sz="18" w:space="0" w:color="FFFFFF"/>
              <w:left w:val="single" w:sz="18" w:space="0" w:color="FFFFFF"/>
              <w:bottom w:val="single" w:sz="18" w:space="0" w:color="FFFFFF"/>
              <w:right w:val="single" w:sz="18" w:space="0" w:color="FFFFFF"/>
            </w:tcBorders>
            <w:shd w:val="clear" w:color="auto" w:fill="C5E8C2"/>
            <w:vAlign w:val="center"/>
          </w:tcPr>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lastRenderedPageBreak/>
              <w:t>Absent parents or late arriving parents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Aftercare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Agency workload impact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Alcohol/drug services for Fathers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lastRenderedPageBreak/>
              <w:t>Caregiver barriers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Caseloads are high (time intensive, high risk)</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Changes in family systems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Child care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Chronic mental health issues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Chronic neglect/generational issues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Complex needs of families (substance abuse, drug addiction)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Cultural specific barriers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Domestic violence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Employment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Finances, housing, day care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Finances/economic situation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Financial, parenting, relational, in adjusting, employment, etc.</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Gaps in family- treatment/child focused</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Health issues impacting ability to parent safely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Housing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Immigration issues preventing visitation and access to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Isolation from personal and community support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available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co-occurring programs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cultural specific resources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employable skills, literacy, unhealthy coping mechanism</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funding,  transportation, competent providers and childcare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language/culturally appropriate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ongoing support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parental motivation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resources (2xs)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trust with anyone they are interacting with</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visitation (increased attachment)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Legal status and immigration issues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Limited resources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Location of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housing (i.e. single fathers)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Multi generation of abuse/issues that 6+ months of services can't resolve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Multiple social workers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Over reliance on agency intervention and assistance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Parent's mental health issues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Service delivery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Stigma of the agency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Substance abuse issues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Thoughtful matching of SWs with families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Time frames to address all issues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Timing of services (services are front loaded, maybe should be closer to when case closes)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Transferring social workers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Transportation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lastRenderedPageBreak/>
              <w:t>Unclear or inconsistent messages from legal system</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Unsuccessful relapse prevention plans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Untreated mental health</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Waitlist of services</w:t>
            </w:r>
          </w:p>
        </w:tc>
      </w:tr>
      <w:tr w:rsidR="00D86A11">
        <w:tc>
          <w:tcPr>
            <w:tcW w:w="1915" w:type="dxa"/>
            <w:tcBorders>
              <w:top w:val="single" w:sz="18" w:space="0" w:color="FFFFFF"/>
              <w:left w:val="single" w:sz="18" w:space="0" w:color="FFFFFF"/>
              <w:bottom w:val="single" w:sz="18" w:space="0" w:color="FFFFFF"/>
              <w:right w:val="single" w:sz="18" w:space="0" w:color="FFFFFF"/>
            </w:tcBorders>
            <w:shd w:val="clear" w:color="auto" w:fill="2E7029"/>
            <w:vAlign w:val="center"/>
          </w:tcPr>
          <w:p w:rsidR="00D86A11" w:rsidRDefault="00D86A11">
            <w:pPr>
              <w:spacing w:after="0" w:line="240" w:lineRule="auto"/>
              <w:jc w:val="center"/>
              <w:rPr>
                <w:rFonts w:eastAsia="Times New Roman"/>
                <w:b/>
                <w:bCs/>
                <w:color w:val="FFFFFF"/>
                <w:sz w:val="28"/>
                <w:szCs w:val="28"/>
              </w:rPr>
            </w:pPr>
            <w:r>
              <w:rPr>
                <w:rFonts w:eastAsia="Times New Roman"/>
                <w:b/>
                <w:bCs/>
                <w:color w:val="FFFFFF"/>
                <w:sz w:val="28"/>
                <w:szCs w:val="28"/>
              </w:rPr>
              <w:lastRenderedPageBreak/>
              <w:t>What do you see as areas CWS could improve to decrease re-entry rates?</w:t>
            </w:r>
          </w:p>
        </w:tc>
        <w:tc>
          <w:tcPr>
            <w:tcW w:w="7560" w:type="dxa"/>
            <w:tcBorders>
              <w:top w:val="single" w:sz="18" w:space="0" w:color="FFFFFF"/>
              <w:left w:val="single" w:sz="18" w:space="0" w:color="FFFFFF"/>
              <w:bottom w:val="single" w:sz="18" w:space="0" w:color="FFFFFF"/>
              <w:right w:val="single" w:sz="18" w:space="0" w:color="FFFFFF"/>
            </w:tcBorders>
            <w:shd w:val="clear" w:color="auto" w:fill="C5E8C2"/>
            <w:vAlign w:val="center"/>
          </w:tcPr>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Assess more for family maintenance vs family reunification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Better family finding- to the 5th generation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Better identification and implementation around harm vs danger</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Better legislation regarding confidentiality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Better training for supervisors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Collaborate more with SVC providers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 xml:space="preserve">Collaborating </w:t>
            </w:r>
            <w:r w:rsidR="00A56CE5">
              <w:rPr>
                <w:rFonts w:eastAsia="Times New Roman"/>
                <w:color w:val="auto"/>
                <w:sz w:val="20"/>
              </w:rPr>
              <w:t>interagency</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Dedicated permanency workers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Effective, long term safety planning</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Employment/community services ILS for parents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Find a way to decrease staff turnover</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Finding the right program</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Foster parents more involved; co-parenting with parents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Hire more staff that represent our community</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How long we sustain Family Maintenance Services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Increase parent partners/ongoing supports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Increase SWs in the school system</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Increased law enforcement diversion efforts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Making sure families connected to CALWORKS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More CWS training/understanding around relapse and recovery (not every relapse needs to lead to children removal)</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More frequent and quality visitation</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More localized resources, especially kids in different placements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More time to exit</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Professional foster parents; higher standards for foster parents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Referring to in home services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Safety support network when they close a case</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Staged/step down approach transitioning client our from services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Title 4E waiver: flex services</w:t>
            </w:r>
          </w:p>
        </w:tc>
      </w:tr>
      <w:tr w:rsidR="00D86A11">
        <w:tc>
          <w:tcPr>
            <w:tcW w:w="1915" w:type="dxa"/>
            <w:tcBorders>
              <w:top w:val="single" w:sz="18" w:space="0" w:color="FFFFFF"/>
              <w:left w:val="single" w:sz="18" w:space="0" w:color="FFFFFF"/>
              <w:bottom w:val="single" w:sz="18" w:space="0" w:color="FFFFFF"/>
              <w:right w:val="single" w:sz="18" w:space="0" w:color="FFFFFF"/>
            </w:tcBorders>
            <w:shd w:val="clear" w:color="auto" w:fill="2E7029"/>
            <w:vAlign w:val="center"/>
          </w:tcPr>
          <w:p w:rsidR="00D86A11" w:rsidRDefault="00D86A11">
            <w:pPr>
              <w:spacing w:after="0" w:line="240" w:lineRule="auto"/>
              <w:rPr>
                <w:rFonts w:eastAsia="Times New Roman"/>
                <w:b/>
                <w:bCs/>
                <w:color w:val="FFFFFF"/>
                <w:sz w:val="28"/>
                <w:szCs w:val="28"/>
              </w:rPr>
            </w:pPr>
            <w:r>
              <w:rPr>
                <w:rFonts w:eastAsia="Times New Roman"/>
                <w:b/>
                <w:bCs/>
                <w:color w:val="FFFFFF"/>
                <w:sz w:val="28"/>
                <w:szCs w:val="28"/>
              </w:rPr>
              <w:t>Anything different about Probation to  decrease re-entry rates?</w:t>
            </w:r>
          </w:p>
        </w:tc>
        <w:tc>
          <w:tcPr>
            <w:tcW w:w="7560" w:type="dxa"/>
            <w:tcBorders>
              <w:top w:val="single" w:sz="18" w:space="0" w:color="FFFFFF"/>
              <w:left w:val="single" w:sz="18" w:space="0" w:color="FFFFFF"/>
              <w:bottom w:val="single" w:sz="18" w:space="0" w:color="FFFFFF"/>
              <w:right w:val="single" w:sz="18" w:space="0" w:color="FFFFFF"/>
            </w:tcBorders>
            <w:shd w:val="clear" w:color="auto" w:fill="C5E8C2"/>
            <w:vAlign w:val="center"/>
          </w:tcPr>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Accessibility to targeted services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Better collaboration when CWS and probation share cases.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Bring back family violence unit</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Decrease caseloads to invest more time in family</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Different laws regarding sex offender registry</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Enhance use of TDM</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Family focused approach- mindful of familial trauma</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Fully utilizing TDMs with social workers and probation present (increase the clients feelings of support)</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Increased focus on CSEC</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Increased trainings regarding cultural sensitivity</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Increased use of alternatives to detention (beds/cool beds)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Look at ability to mandate parent participation and accountability</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lastRenderedPageBreak/>
              <w:t>More funding support or waiver fees for family</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More individual case plans with families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More reentry planning by probation</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More strategies for reunification of sex offenders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Participation in CFTs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Strengthened relationships between probation and community partners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Use of more culturally approach/assessments</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Work with entire family including siblings on similar path</w:t>
            </w:r>
          </w:p>
          <w:p w:rsidR="000B1863" w:rsidRDefault="00D86A11">
            <w:pPr>
              <w:numPr>
                <w:ilvl w:val="0"/>
                <w:numId w:val="30"/>
              </w:numPr>
              <w:spacing w:after="0" w:line="240" w:lineRule="auto"/>
              <w:contextualSpacing/>
              <w:rPr>
                <w:rFonts w:ascii="Franklin Gothic Book" w:eastAsia="Times New Roman" w:hAnsi="Franklin Gothic Book"/>
                <w:b/>
                <w:smallCaps/>
                <w:color w:val="auto"/>
                <w:szCs w:val="22"/>
              </w:rPr>
            </w:pPr>
            <w:r>
              <w:rPr>
                <w:rFonts w:eastAsia="Times New Roman"/>
                <w:color w:val="auto"/>
                <w:sz w:val="20"/>
              </w:rPr>
              <w:t>Wraparound is working well</w:t>
            </w:r>
          </w:p>
        </w:tc>
      </w:tr>
      <w:tr w:rsidR="00D86A11">
        <w:tc>
          <w:tcPr>
            <w:tcW w:w="1915" w:type="dxa"/>
            <w:tcBorders>
              <w:top w:val="single" w:sz="18" w:space="0" w:color="FFFFFF"/>
              <w:left w:val="single" w:sz="18" w:space="0" w:color="FFFFFF"/>
              <w:bottom w:val="single" w:sz="18" w:space="0" w:color="FFFFFF"/>
              <w:right w:val="single" w:sz="18" w:space="0" w:color="FFFFFF"/>
            </w:tcBorders>
            <w:shd w:val="clear" w:color="auto" w:fill="2E7029"/>
            <w:vAlign w:val="center"/>
          </w:tcPr>
          <w:p w:rsidR="00D86A11" w:rsidRDefault="00D86A11">
            <w:pPr>
              <w:spacing w:after="0" w:line="240" w:lineRule="auto"/>
              <w:jc w:val="center"/>
              <w:rPr>
                <w:rFonts w:eastAsia="Times New Roman"/>
                <w:b/>
                <w:bCs/>
                <w:color w:val="FFFFFF"/>
                <w:sz w:val="28"/>
                <w:szCs w:val="28"/>
              </w:rPr>
            </w:pPr>
            <w:r>
              <w:rPr>
                <w:rFonts w:eastAsia="Times New Roman"/>
                <w:b/>
                <w:bCs/>
                <w:color w:val="FFFFFF"/>
                <w:sz w:val="28"/>
                <w:szCs w:val="28"/>
              </w:rPr>
              <w:lastRenderedPageBreak/>
              <w:t>What ideas do you have for strategies that CWS and Probation can implement to help decrease re-entry rates?</w:t>
            </w:r>
          </w:p>
        </w:tc>
        <w:tc>
          <w:tcPr>
            <w:tcW w:w="7560" w:type="dxa"/>
            <w:tcBorders>
              <w:top w:val="single" w:sz="18" w:space="0" w:color="FFFFFF"/>
              <w:left w:val="single" w:sz="18" w:space="0" w:color="FFFFFF"/>
              <w:bottom w:val="single" w:sz="18" w:space="0" w:color="FFFFFF"/>
              <w:right w:val="single" w:sz="18" w:space="0" w:color="FFFFFF"/>
            </w:tcBorders>
            <w:shd w:val="clear" w:color="auto" w:fill="C5E8C2"/>
            <w:vAlign w:val="center"/>
          </w:tcPr>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Ability to access more shared information between CWS and probation</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Additional law enforcement when removing</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After care services to continue support</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Being positive vs reactive</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Better assessment of parental abilities to reunify</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Bridging gaps (transitional plans, exit meetings, connecting to agency partners)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Build trust between client and system</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Continue to strengthen relationships with community providers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Continuity of social workers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Create a mediation center in the community</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CSF provide training on beginning of downhill slide/triggers to come in earlier</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Cultural brokers county wide</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Cultural sensitivity</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 xml:space="preserve">Data review of re entry </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Develop strategy to transition out of state kids to home</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Discharge packet</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Diverse workgroup</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Drill data down to identify needed services that work</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Empowerment of staff to promote empathy,  prevent burnout, and maintain quality services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Engaging agency/explaining more why these services are necessary</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Ensure treatment plans really address the core protective issues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Establish aftercare plans with safety support</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Expand Incredible Families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Family support at school where parents can access services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Family/group conference at closing of case</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Hotline to provide services when families call in crisis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Housing on going for support for families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Implementing the cluster model for regional collaboration</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Improve assessment of family needs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Increase recruitment of black pastors; 1 church, 1 child program</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Increase TDMs with right people at table</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Increasing local community based services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Military as resource</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More education around LGBTQ issues- helps parents with these issues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More education for probation officers around reducing re entry</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More education on addiction and mental health issues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lastRenderedPageBreak/>
              <w:t>More in depth training for staff and supervisors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More outreach to the community</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More parent partners beyond wrap</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More shared resources with CWS and probation</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Neighborhood for kids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On stop shop for resources (2xs)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Preserving connections with community</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Probation- fully implement TDM</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Recognize that the client is the expert in their family &amp; own experience</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Re-education on perception of the agency</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Safety planning training</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Schedule check in after closing</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Self-identified groups to meet over specific barriers/issue</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SOP training for probation and CWS staff</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Step down transition</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Teach budgeting and financial literacy- make part of exit plan</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Teach families to address crisis before they happen</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The use of more parent partners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Tool box for families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Use Live Well to get the family connected to the community</w:t>
            </w:r>
          </w:p>
        </w:tc>
      </w:tr>
      <w:tr w:rsidR="00D86A11">
        <w:tc>
          <w:tcPr>
            <w:tcW w:w="1915" w:type="dxa"/>
            <w:tcBorders>
              <w:top w:val="single" w:sz="18" w:space="0" w:color="FFFFFF"/>
              <w:left w:val="single" w:sz="18" w:space="0" w:color="FFFFFF"/>
              <w:bottom w:val="single" w:sz="18" w:space="0" w:color="FFFFFF"/>
              <w:right w:val="single" w:sz="18" w:space="0" w:color="FFFFFF"/>
            </w:tcBorders>
            <w:shd w:val="clear" w:color="auto" w:fill="2E7029"/>
            <w:vAlign w:val="center"/>
          </w:tcPr>
          <w:p w:rsidR="00D86A11" w:rsidRDefault="00D86A11">
            <w:pPr>
              <w:spacing w:after="0" w:line="240" w:lineRule="auto"/>
              <w:jc w:val="center"/>
              <w:rPr>
                <w:rFonts w:eastAsia="Times New Roman"/>
                <w:b/>
                <w:bCs/>
                <w:color w:val="FFFFFF"/>
                <w:sz w:val="28"/>
                <w:szCs w:val="28"/>
              </w:rPr>
            </w:pPr>
            <w:r>
              <w:rPr>
                <w:rFonts w:eastAsia="Times New Roman"/>
                <w:b/>
                <w:bCs/>
                <w:color w:val="FFFFFF"/>
                <w:sz w:val="28"/>
                <w:szCs w:val="28"/>
              </w:rPr>
              <w:lastRenderedPageBreak/>
              <w:t>Are there other questions we might want to look at within our data?</w:t>
            </w:r>
          </w:p>
        </w:tc>
        <w:tc>
          <w:tcPr>
            <w:tcW w:w="7560" w:type="dxa"/>
            <w:tcBorders>
              <w:top w:val="single" w:sz="18" w:space="0" w:color="FFFFFF"/>
              <w:left w:val="single" w:sz="18" w:space="0" w:color="FFFFFF"/>
              <w:bottom w:val="single" w:sz="18" w:space="0" w:color="FFFFFF"/>
              <w:right w:val="single" w:sz="18" w:space="0" w:color="FFFFFF"/>
            </w:tcBorders>
            <w:shd w:val="clear" w:color="auto" w:fill="C5E8C2"/>
            <w:vAlign w:val="center"/>
          </w:tcPr>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Understand more about the 11+ in delinquency for kids being re-detained</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Do Lean Six Sigma on reentries. Why did this happen?</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Drill down by regions, age, ethnicity, sex</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Drill down on 10-14 yr. olds; look more at numbers vs percentages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Drill down on reasons for re entry</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For CWS, why are youngest reentering?</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For Probation, if criminally related, is it an escalation in crime?</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For Probation, look at the data and numbers connected to race/ethnicity</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How do we educate front line workers with data?</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How does lack of school support influence reentry?</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How does reentry compare within Neighborhoods for Kids regions vs those that don't?</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Identify areas and neighborhoods with high referrals to identify areas needing support</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Look at percent of reunification vs guardianship</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Point of reentry into foster care, what are the most risky times?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The numbers of kids who are reentering with dual status- what are common characteristics?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Use data to identify areas needing increased support</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Was reentry criminally related or family/services related?</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What are the neighborhood specific providers?</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Why is reentry greater for black youth in care?</w:t>
            </w:r>
          </w:p>
          <w:p w:rsidR="000B1863" w:rsidRDefault="00D86A11">
            <w:pPr>
              <w:numPr>
                <w:ilvl w:val="0"/>
                <w:numId w:val="30"/>
              </w:numPr>
              <w:spacing w:after="0" w:line="240" w:lineRule="auto"/>
              <w:contextualSpacing/>
              <w:rPr>
                <w:rFonts w:ascii="Franklin Gothic Book" w:hAnsi="Franklin Gothic Book"/>
                <w:b/>
                <w:smallCaps/>
                <w:color w:val="auto"/>
              </w:rPr>
            </w:pPr>
            <w:r>
              <w:rPr>
                <w:rFonts w:eastAsia="Times New Roman"/>
                <w:color w:val="auto"/>
                <w:sz w:val="20"/>
              </w:rPr>
              <w:t>Why is there an increase in 0-4?</w:t>
            </w:r>
          </w:p>
        </w:tc>
      </w:tr>
    </w:tbl>
    <w:p w:rsidR="00D86A11" w:rsidRDefault="00D86A11" w:rsidP="00D86A11">
      <w:pPr>
        <w:spacing w:after="200"/>
        <w:rPr>
          <w:rFonts w:eastAsia="Calibri"/>
          <w:color w:val="17365D"/>
          <w:szCs w:val="22"/>
        </w:rPr>
      </w:pPr>
    </w:p>
    <w:tbl>
      <w:tblPr>
        <w:tblW w:w="0" w:type="auto"/>
        <w:tblBorders>
          <w:top w:val="single" w:sz="18" w:space="0" w:color="17365D"/>
          <w:left w:val="single" w:sz="18" w:space="0" w:color="17365D"/>
          <w:bottom w:val="single" w:sz="18" w:space="0" w:color="17365D"/>
          <w:right w:val="single" w:sz="18" w:space="0" w:color="17365D"/>
          <w:insideH w:val="single" w:sz="18" w:space="0" w:color="17365D"/>
          <w:insideV w:val="single" w:sz="18" w:space="0" w:color="17365D"/>
        </w:tblBorders>
        <w:tblLook w:val="04A0" w:firstRow="1" w:lastRow="0" w:firstColumn="1" w:lastColumn="0" w:noHBand="0" w:noVBand="1"/>
      </w:tblPr>
      <w:tblGrid>
        <w:gridCol w:w="1932"/>
        <w:gridCol w:w="7382"/>
      </w:tblGrid>
      <w:tr w:rsidR="00D86A11">
        <w:tc>
          <w:tcPr>
            <w:tcW w:w="9468" w:type="dxa"/>
            <w:gridSpan w:val="2"/>
            <w:tcBorders>
              <w:top w:val="single" w:sz="18" w:space="0" w:color="17365D"/>
              <w:left w:val="single" w:sz="18" w:space="0" w:color="17365D"/>
              <w:bottom w:val="single" w:sz="18" w:space="0" w:color="17365D"/>
              <w:right w:val="single" w:sz="18" w:space="0" w:color="17365D"/>
            </w:tcBorders>
            <w:shd w:val="clear" w:color="auto" w:fill="800929"/>
            <w:vAlign w:val="center"/>
          </w:tcPr>
          <w:p w:rsidR="00D86A11" w:rsidRDefault="00D86A11">
            <w:pPr>
              <w:spacing w:after="0" w:line="240" w:lineRule="auto"/>
              <w:rPr>
                <w:rFonts w:eastAsia="Times New Roman"/>
                <w:b/>
                <w:color w:val="FFFFFF"/>
                <w:sz w:val="28"/>
              </w:rPr>
            </w:pPr>
            <w:r>
              <w:rPr>
                <w:rFonts w:eastAsia="Times New Roman"/>
                <w:b/>
                <w:color w:val="FFFFFF"/>
                <w:sz w:val="28"/>
              </w:rPr>
              <w:t>Exhibit 2. Permanency</w:t>
            </w:r>
          </w:p>
        </w:tc>
      </w:tr>
      <w:tr w:rsidR="00D86A11">
        <w:tc>
          <w:tcPr>
            <w:tcW w:w="1915" w:type="dxa"/>
            <w:tcBorders>
              <w:top w:val="single" w:sz="18" w:space="0" w:color="17365D"/>
              <w:left w:val="single" w:sz="18" w:space="0" w:color="17365D"/>
              <w:bottom w:val="single" w:sz="18" w:space="0" w:color="17365D"/>
              <w:right w:val="single" w:sz="18" w:space="0" w:color="17365D"/>
            </w:tcBorders>
            <w:shd w:val="clear" w:color="auto" w:fill="800929"/>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t xml:space="preserve">What do you see in your </w:t>
            </w:r>
            <w:r>
              <w:rPr>
                <w:rFonts w:eastAsia="Times New Roman"/>
                <w:b/>
                <w:bCs/>
                <w:color w:val="FFFFFF"/>
                <w:sz w:val="28"/>
                <w:szCs w:val="28"/>
              </w:rPr>
              <w:lastRenderedPageBreak/>
              <w:t xml:space="preserve">work with </w:t>
            </w:r>
            <w:r w:rsidR="00B25617">
              <w:rPr>
                <w:rFonts w:eastAsia="Times New Roman"/>
                <w:b/>
                <w:bCs/>
                <w:color w:val="FFFFFF"/>
                <w:sz w:val="28"/>
                <w:szCs w:val="28"/>
              </w:rPr>
              <w:t>families that contribute</w:t>
            </w:r>
            <w:r>
              <w:rPr>
                <w:rFonts w:eastAsia="Times New Roman"/>
                <w:b/>
                <w:bCs/>
                <w:color w:val="FFFFFF"/>
                <w:sz w:val="28"/>
                <w:szCs w:val="28"/>
              </w:rPr>
              <w:t xml:space="preserve"> to permanency?</w:t>
            </w:r>
          </w:p>
        </w:tc>
        <w:tc>
          <w:tcPr>
            <w:tcW w:w="7553" w:type="dxa"/>
            <w:tcBorders>
              <w:top w:val="single" w:sz="18" w:space="0" w:color="17365D"/>
              <w:left w:val="single" w:sz="18" w:space="0" w:color="17365D"/>
              <w:bottom w:val="single" w:sz="18" w:space="0" w:color="17365D"/>
              <w:right w:val="single" w:sz="18" w:space="0" w:color="17365D"/>
            </w:tcBorders>
            <w:shd w:val="clear" w:color="auto" w:fill="FFFBFC"/>
            <w:vAlign w:val="center"/>
          </w:tcPr>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lastRenderedPageBreak/>
              <w:t>Available services for families (no wait lists, language of origin, location)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Awesome collaboration with consumer services and ongoing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lastRenderedPageBreak/>
              <w:t>Comprehensive family assessment for resources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Connection to mental health &amp; substance abuse therapy throughout the SAS's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Contracts- show and tell to explain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CSF visitation coaching; parent partners; safe care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Developmental assessment, early interventions, parent integration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Engagement with parents, caregivers, and service providers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Family engagement and taking ownership</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Funding to support relatives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Guardianship, flexible options for kids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Helped develop and expand Incredible Families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HHSA- Case Aids that assist with case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IFPP, keep them out of the system</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 home support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Increased use of Parent Partners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Incredible Families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Involving external family and NREPM early 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N4K-building bonds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Parent and youth partners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Permanent (concurrent) placements early on in case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Permanency conversation; flexible from adoption to guardianship</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Placement with family; N4K</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Programs to help with reunification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PRT, finding alternative permanent home if parents are not going to work, relative/community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Relative placement- support network</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Safety mapping at front end to find supports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SOP key decision; speeding process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SOP practice mappings before considering removals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Strong family network and community support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TDMs: extended family engaged</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Training to law enforcement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Use of CBO to help families (e.g., WRAP)</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Visit coaching- move to unsupervised visits faster</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Visitation centers implement parent involvement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Visitation coaches to help increase permanency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Wrap around services involved</w:t>
            </w:r>
          </w:p>
        </w:tc>
      </w:tr>
      <w:tr w:rsidR="00D86A11">
        <w:tc>
          <w:tcPr>
            <w:tcW w:w="1915" w:type="dxa"/>
            <w:tcBorders>
              <w:top w:val="single" w:sz="18" w:space="0" w:color="17365D"/>
              <w:left w:val="single" w:sz="18" w:space="0" w:color="17365D"/>
              <w:bottom w:val="single" w:sz="18" w:space="0" w:color="17365D"/>
              <w:right w:val="single" w:sz="18" w:space="0" w:color="17365D"/>
            </w:tcBorders>
            <w:shd w:val="clear" w:color="auto" w:fill="800929"/>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lastRenderedPageBreak/>
              <w:t>What has CWS done over the last 5 years to make improvements in permanency?</w:t>
            </w:r>
          </w:p>
        </w:tc>
        <w:tc>
          <w:tcPr>
            <w:tcW w:w="7553" w:type="dxa"/>
            <w:tcBorders>
              <w:top w:val="single" w:sz="18" w:space="0" w:color="17365D"/>
              <w:left w:val="single" w:sz="18" w:space="0" w:color="17365D"/>
              <w:bottom w:val="single" w:sz="18" w:space="0" w:color="17365D"/>
              <w:right w:val="single" w:sz="18" w:space="0" w:color="17365D"/>
            </w:tcBorders>
            <w:shd w:val="clear" w:color="auto" w:fill="FFFBFC"/>
            <w:vAlign w:val="center"/>
          </w:tcPr>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Alcohol and drug therapy: increase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Building relationship with community partners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Change methodology of how they define data of permanency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Collaboration between the agency and the court process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Collaborative approach</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Communication between CWS and Probation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Community engagement (partnership), cross trainings, CWS/Service providers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Court on board and flexible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Cultural broker programs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Data to drive practice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lastRenderedPageBreak/>
              <w:t>DSEP: mental health services- children development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Dual CWS/Probation collaboration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Family finding, genogram tool, due diligence report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Family finding, safety planning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Father engagement (</w:t>
            </w:r>
            <w:r w:rsidR="00A56CE5">
              <w:rPr>
                <w:rFonts w:eastAsia="Times New Roman"/>
                <w:color w:val="auto"/>
                <w:sz w:val="20"/>
              </w:rPr>
              <w:t>e.g.</w:t>
            </w:r>
            <w:r>
              <w:rPr>
                <w:rFonts w:eastAsia="Times New Roman"/>
                <w:color w:val="auto"/>
                <w:sz w:val="20"/>
              </w:rPr>
              <w:t xml:space="preserve"> POPS, DADS CORE)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Fatherhood initiative (POPS)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First best placement: TDMs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Genograms, ecomaps, TDMs, Safety mapping, family networks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Higher trained staff in permanency team</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Independence mapping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Initially assessing cases that need removal and protection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Locate relative, family finding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Mental health services; term therapies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collaboration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Neighborhood for Kids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Offering more voluntary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Open communication from CWS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Permanency roundtables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Setting clear expectations from the beginning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Social workers ability to engage the family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Structured decision making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TDMs including XREFM informal supports, extended family members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TDM-Family Conference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Thoughtful case planning that is family specific</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Use of parent partners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Visit coaching: more workers to do supervised visits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Working to keep kids in SOO working with education liaisons</w:t>
            </w:r>
          </w:p>
        </w:tc>
      </w:tr>
      <w:tr w:rsidR="00D86A11">
        <w:tc>
          <w:tcPr>
            <w:tcW w:w="1915" w:type="dxa"/>
            <w:tcBorders>
              <w:top w:val="single" w:sz="18" w:space="0" w:color="17365D"/>
              <w:left w:val="single" w:sz="18" w:space="0" w:color="17365D"/>
              <w:bottom w:val="single" w:sz="18" w:space="0" w:color="17365D"/>
              <w:right w:val="single" w:sz="18" w:space="0" w:color="17365D"/>
            </w:tcBorders>
            <w:shd w:val="clear" w:color="auto" w:fill="800929"/>
            <w:vAlign w:val="center"/>
          </w:tcPr>
          <w:p w:rsidR="00D86A11" w:rsidRDefault="00D86A11">
            <w:pPr>
              <w:spacing w:after="0" w:line="240" w:lineRule="auto"/>
              <w:jc w:val="center"/>
              <w:rPr>
                <w:rFonts w:eastAsia="Times New Roman"/>
                <w:b/>
                <w:bCs/>
                <w:color w:val="FFFFFF"/>
                <w:sz w:val="28"/>
                <w:szCs w:val="28"/>
              </w:rPr>
            </w:pPr>
            <w:r>
              <w:rPr>
                <w:rFonts w:eastAsia="Times New Roman"/>
                <w:b/>
                <w:bCs/>
                <w:color w:val="FFFFFF"/>
                <w:sz w:val="28"/>
                <w:szCs w:val="28"/>
              </w:rPr>
              <w:lastRenderedPageBreak/>
              <w:t>What has probation done over the last 5 years to make improvements in permanency?</w:t>
            </w:r>
          </w:p>
        </w:tc>
        <w:tc>
          <w:tcPr>
            <w:tcW w:w="7553" w:type="dxa"/>
            <w:tcBorders>
              <w:top w:val="single" w:sz="18" w:space="0" w:color="17365D"/>
              <w:left w:val="single" w:sz="18" w:space="0" w:color="17365D"/>
              <w:bottom w:val="single" w:sz="18" w:space="0" w:color="17365D"/>
              <w:right w:val="single" w:sz="18" w:space="0" w:color="17365D"/>
            </w:tcBorders>
            <w:shd w:val="clear" w:color="auto" w:fill="FFFBFC"/>
            <w:vAlign w:val="center"/>
          </w:tcPr>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Balance between court process and treatment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IBIS to empower families to create their own safety plans and collaborate with them</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Increase training for staff</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Increased family centered approach</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Local/neighbor counties transition planning home visit plan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focus on SW in probation, less focus on LE style staff in juvenile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therapeutic service (e.g., WRAP/family therapy)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P.O dual unit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Probation is more family centered in their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Probation is more trauma informed in their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Reduced caseloads to allow for more time to engage families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Several new initiatives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Using data to drive practice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WRAP services to help kids be transitioned back into their home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WRAP services, trauma focused services</w:t>
            </w:r>
          </w:p>
        </w:tc>
      </w:tr>
      <w:tr w:rsidR="00D86A11">
        <w:tc>
          <w:tcPr>
            <w:tcW w:w="1915" w:type="dxa"/>
            <w:tcBorders>
              <w:top w:val="single" w:sz="18" w:space="0" w:color="17365D"/>
              <w:left w:val="single" w:sz="18" w:space="0" w:color="17365D"/>
              <w:bottom w:val="single" w:sz="18" w:space="0" w:color="17365D"/>
              <w:right w:val="single" w:sz="18" w:space="0" w:color="17365D"/>
            </w:tcBorders>
            <w:shd w:val="clear" w:color="auto" w:fill="800929"/>
            <w:vAlign w:val="center"/>
          </w:tcPr>
          <w:p w:rsidR="00D86A11" w:rsidRDefault="00D86A11">
            <w:pPr>
              <w:spacing w:after="0" w:line="240" w:lineRule="auto"/>
              <w:jc w:val="center"/>
              <w:rPr>
                <w:rFonts w:eastAsia="Times New Roman"/>
                <w:b/>
                <w:bCs/>
                <w:color w:val="FFFFFF"/>
                <w:sz w:val="28"/>
                <w:szCs w:val="28"/>
              </w:rPr>
            </w:pPr>
          </w:p>
          <w:p w:rsidR="00D86A11" w:rsidRDefault="00D86A11">
            <w:pPr>
              <w:spacing w:after="0" w:line="240" w:lineRule="auto"/>
              <w:jc w:val="center"/>
              <w:rPr>
                <w:rFonts w:eastAsia="Times New Roman"/>
                <w:b/>
                <w:bCs/>
                <w:color w:val="FFFFFF"/>
                <w:sz w:val="28"/>
                <w:szCs w:val="28"/>
              </w:rPr>
            </w:pPr>
          </w:p>
          <w:p w:rsidR="00D86A11" w:rsidRDefault="00D86A11">
            <w:pPr>
              <w:spacing w:after="0" w:line="240" w:lineRule="auto"/>
              <w:jc w:val="center"/>
              <w:rPr>
                <w:rFonts w:eastAsia="Times New Roman"/>
                <w:b/>
                <w:bCs/>
                <w:color w:val="FFFFFF"/>
                <w:sz w:val="28"/>
                <w:szCs w:val="28"/>
              </w:rPr>
            </w:pPr>
            <w:r>
              <w:rPr>
                <w:rFonts w:eastAsia="Times New Roman"/>
                <w:b/>
                <w:bCs/>
                <w:color w:val="FFFFFF"/>
                <w:sz w:val="28"/>
                <w:szCs w:val="28"/>
              </w:rPr>
              <w:lastRenderedPageBreak/>
              <w:t>What barriers do families face in achieving permanency?</w:t>
            </w:r>
          </w:p>
        </w:tc>
        <w:tc>
          <w:tcPr>
            <w:tcW w:w="7553" w:type="dxa"/>
            <w:tcBorders>
              <w:top w:val="single" w:sz="18" w:space="0" w:color="17365D"/>
              <w:left w:val="single" w:sz="18" w:space="0" w:color="17365D"/>
              <w:bottom w:val="single" w:sz="18" w:space="0" w:color="17365D"/>
              <w:right w:val="single" w:sz="18" w:space="0" w:color="17365D"/>
            </w:tcBorders>
            <w:shd w:val="clear" w:color="auto" w:fill="FFFBFC"/>
            <w:vAlign w:val="center"/>
          </w:tcPr>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lastRenderedPageBreak/>
              <w:t>Access to after hour/weekend services for parents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Burnout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Childcare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lastRenderedPageBreak/>
              <w:t>Cookie cutter case plans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Distrust of the agency and probation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Families feeling defeated by CWS involvement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Families lack of informal supports, network becomes CWS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Families not reaching out to their support due to stigma</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Family members who can't clear (impact of RFA)</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Financial, educational, emotional, and mental health challenges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Foster parents not flexible with visitation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Funding (invisible barrier)</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Heavy caseload</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Homelessness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Housing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Immigration states, families afraid to engage with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Increase funding for visitation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Invest money to recruit foster families within communities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connection with CWS worker and client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cultural competency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family and community supports burn bridges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passion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relatives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resources for mental health</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services for single dads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support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training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understanding of legal system</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Mental Illness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linguistic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Multiple dependencies: chronic barriers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Not enough resource families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Social worker transfers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Stabilizing parents in 12 months is a challenge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Stigma of CWS involvement- understanding how to navigate CWS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Still not enough need more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Stress and poverty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Substance abuse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Survival challenges balancing time, housing ,transportation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The amount of continuances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Training and coaching for foster families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Transportation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Unintended consequences of RFA rollout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Victims are in the home- youth who was victimized, parents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Visitation logistics issue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Visitation vs school of origin challenges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Waiting list for services</w:t>
            </w:r>
          </w:p>
        </w:tc>
      </w:tr>
      <w:tr w:rsidR="00D86A11">
        <w:tc>
          <w:tcPr>
            <w:tcW w:w="1915" w:type="dxa"/>
            <w:tcBorders>
              <w:top w:val="single" w:sz="18" w:space="0" w:color="17365D"/>
              <w:left w:val="single" w:sz="18" w:space="0" w:color="17365D"/>
              <w:bottom w:val="single" w:sz="18" w:space="0" w:color="17365D"/>
              <w:right w:val="single" w:sz="18" w:space="0" w:color="17365D"/>
            </w:tcBorders>
            <w:shd w:val="clear" w:color="auto" w:fill="800929"/>
            <w:vAlign w:val="center"/>
          </w:tcPr>
          <w:p w:rsidR="00D86A11" w:rsidRDefault="00D86A11">
            <w:pPr>
              <w:spacing w:after="0" w:line="240" w:lineRule="auto"/>
              <w:jc w:val="center"/>
              <w:rPr>
                <w:rFonts w:eastAsia="Times New Roman"/>
                <w:b/>
                <w:bCs/>
                <w:color w:val="FFFFFF"/>
                <w:sz w:val="28"/>
                <w:szCs w:val="28"/>
              </w:rPr>
            </w:pPr>
            <w:r>
              <w:rPr>
                <w:rFonts w:eastAsia="Times New Roman"/>
                <w:b/>
                <w:bCs/>
                <w:color w:val="FFFFFF"/>
                <w:sz w:val="28"/>
                <w:szCs w:val="28"/>
              </w:rPr>
              <w:lastRenderedPageBreak/>
              <w:t>What could CWS do to speed up the time to achieve permanency?</w:t>
            </w:r>
          </w:p>
        </w:tc>
        <w:tc>
          <w:tcPr>
            <w:tcW w:w="7553" w:type="dxa"/>
            <w:tcBorders>
              <w:top w:val="single" w:sz="18" w:space="0" w:color="17365D"/>
              <w:left w:val="single" w:sz="18" w:space="0" w:color="17365D"/>
              <w:bottom w:val="single" w:sz="18" w:space="0" w:color="17365D"/>
              <w:right w:val="single" w:sz="18" w:space="0" w:color="17365D"/>
            </w:tcBorders>
            <w:shd w:val="clear" w:color="auto" w:fill="FFFBFC"/>
            <w:vAlign w:val="center"/>
          </w:tcPr>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1</w:t>
            </w:r>
            <w:r>
              <w:rPr>
                <w:rFonts w:eastAsia="Times New Roman"/>
                <w:color w:val="auto"/>
                <w:sz w:val="20"/>
                <w:vertAlign w:val="superscript"/>
              </w:rPr>
              <w:t>st</w:t>
            </w:r>
            <w:r>
              <w:rPr>
                <w:rFonts w:eastAsia="Times New Roman"/>
                <w:color w:val="auto"/>
                <w:sz w:val="20"/>
              </w:rPr>
              <w:t xml:space="preserve"> best placement: list of concurrent families at emergency TDM</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12 months; children with relatives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Allow time for more engagement (e.g., increase visits, treatments, meetings)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Assess for unsupervised visits sooner</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Better engagement skills with difficult families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Clarity in transition plans and fly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Cultural competencies training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CWS staff retention- limit change by reducing caseload &amp; increasing case aids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Engage community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Expand Incredible Families and younger ages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Housing assistance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Implement more intensive services; longer involvement with parent partner; case management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Improve communication between CWS and Incarcerated parents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Increased transportation and increased visits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Increase visits and quality of visits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Money for relatives to help stabilize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consistency between social workers in regards to benchmarks progress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father focused services for reunification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visitation contracts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Move to unsupervised faster and speed up visitation when safe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Need more in home support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PR/CWS/PO improve image- F Centered</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Preventative services; collaboratives, opening a referral to provide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Provide services based on need</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Psychiatrists that take MediCal</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Reduce caseloads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Refer to parent partner sooner, again, longer</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Refer to visit coaching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Referrals for service more timely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Relative home approval process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Relative searches do better finding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Review visitation sooner- adjust as needed sooner</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Services for incarcerated parents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Speedy visitation with parents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Tailoring of case plan and focus on needed services specific to family issues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Target hard to place kids and separate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Time constraints, too many meetings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Understand SOP to plan for next steps more quickly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Use incredible families more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Visitation coaches for high risk cases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Warm hand off when changing social workers</w:t>
            </w:r>
          </w:p>
        </w:tc>
      </w:tr>
      <w:tr w:rsidR="00D86A11">
        <w:tc>
          <w:tcPr>
            <w:tcW w:w="1915" w:type="dxa"/>
            <w:tcBorders>
              <w:top w:val="single" w:sz="18" w:space="0" w:color="17365D"/>
              <w:left w:val="single" w:sz="18" w:space="0" w:color="17365D"/>
              <w:bottom w:val="single" w:sz="18" w:space="0" w:color="17365D"/>
              <w:right w:val="single" w:sz="18" w:space="0" w:color="17365D"/>
            </w:tcBorders>
            <w:shd w:val="clear" w:color="auto" w:fill="800929"/>
            <w:vAlign w:val="center"/>
          </w:tcPr>
          <w:p w:rsidR="00D86A11" w:rsidRDefault="00D86A11">
            <w:pPr>
              <w:spacing w:after="0" w:line="240" w:lineRule="auto"/>
              <w:jc w:val="center"/>
              <w:rPr>
                <w:rFonts w:eastAsia="Times New Roman"/>
                <w:b/>
                <w:bCs/>
                <w:color w:val="FFFFFF"/>
                <w:sz w:val="28"/>
                <w:szCs w:val="28"/>
              </w:rPr>
            </w:pPr>
            <w:r>
              <w:rPr>
                <w:rFonts w:eastAsia="Times New Roman"/>
                <w:b/>
                <w:bCs/>
                <w:color w:val="FFFFFF"/>
                <w:sz w:val="28"/>
                <w:szCs w:val="28"/>
              </w:rPr>
              <w:t xml:space="preserve">What could Probation do to speed up </w:t>
            </w:r>
            <w:r>
              <w:rPr>
                <w:rFonts w:eastAsia="Times New Roman"/>
                <w:b/>
                <w:bCs/>
                <w:color w:val="FFFFFF"/>
                <w:sz w:val="28"/>
                <w:szCs w:val="28"/>
              </w:rPr>
              <w:lastRenderedPageBreak/>
              <w:t>the time to achieve permanency?</w:t>
            </w:r>
          </w:p>
        </w:tc>
        <w:tc>
          <w:tcPr>
            <w:tcW w:w="7553" w:type="dxa"/>
            <w:tcBorders>
              <w:top w:val="single" w:sz="18" w:space="0" w:color="17365D"/>
              <w:left w:val="single" w:sz="18" w:space="0" w:color="17365D"/>
              <w:bottom w:val="single" w:sz="18" w:space="0" w:color="17365D"/>
              <w:right w:val="single" w:sz="18" w:space="0" w:color="17365D"/>
            </w:tcBorders>
            <w:shd w:val="clear" w:color="auto" w:fill="FFFBFC"/>
            <w:vAlign w:val="center"/>
          </w:tcPr>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lastRenderedPageBreak/>
              <w:t>Case diversion, enrichment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Diversion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Educate families on case plan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Educate officers on CWS issues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lastRenderedPageBreak/>
              <w:t>Engage community, increase connections between family and community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Engage parents and youth in services faster and earlier</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Family finding and engagement with father</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Finding balance with time lines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Focus on fathers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Involve mandated parents in parenting difficult teens classes/counseling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Lack of work with victim of crime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clinical focus, WRAP</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PSWs need case aids to support paperwork</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Reunification &amp; family visitation when  placed out of state but coming back to family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Starting the transition from placement back home sooner</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Support child education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Treating families as whole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Workforce partnership (WIB)</w:t>
            </w:r>
          </w:p>
        </w:tc>
      </w:tr>
      <w:tr w:rsidR="00D86A11">
        <w:tc>
          <w:tcPr>
            <w:tcW w:w="1915" w:type="dxa"/>
            <w:tcBorders>
              <w:top w:val="single" w:sz="18" w:space="0" w:color="17365D"/>
              <w:left w:val="single" w:sz="18" w:space="0" w:color="17365D"/>
              <w:bottom w:val="single" w:sz="18" w:space="0" w:color="17365D"/>
              <w:right w:val="single" w:sz="18" w:space="0" w:color="17365D"/>
            </w:tcBorders>
            <w:shd w:val="clear" w:color="auto" w:fill="800929"/>
            <w:vAlign w:val="center"/>
          </w:tcPr>
          <w:p w:rsidR="00D86A11" w:rsidRDefault="00D86A11">
            <w:pPr>
              <w:spacing w:after="0" w:line="240" w:lineRule="auto"/>
              <w:jc w:val="center"/>
              <w:rPr>
                <w:rFonts w:eastAsia="Times New Roman"/>
                <w:b/>
                <w:bCs/>
                <w:color w:val="FFFFFF"/>
                <w:sz w:val="28"/>
                <w:szCs w:val="28"/>
              </w:rPr>
            </w:pPr>
            <w:r>
              <w:rPr>
                <w:rFonts w:eastAsia="Times New Roman"/>
                <w:b/>
                <w:bCs/>
                <w:color w:val="FFFFFF"/>
                <w:sz w:val="28"/>
                <w:szCs w:val="28"/>
              </w:rPr>
              <w:lastRenderedPageBreak/>
              <w:t>What strategies can CWS and Probation implement to help children achieve permanency?</w:t>
            </w:r>
          </w:p>
        </w:tc>
        <w:tc>
          <w:tcPr>
            <w:tcW w:w="7553" w:type="dxa"/>
            <w:tcBorders>
              <w:top w:val="single" w:sz="18" w:space="0" w:color="17365D"/>
              <w:left w:val="single" w:sz="18" w:space="0" w:color="17365D"/>
              <w:bottom w:val="single" w:sz="18" w:space="0" w:color="17365D"/>
              <w:right w:val="single" w:sz="18" w:space="0" w:color="17365D"/>
            </w:tcBorders>
            <w:shd w:val="clear" w:color="auto" w:fill="FFFBFC"/>
            <w:vAlign w:val="center"/>
          </w:tcPr>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24 hour hotline for resource families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After care support groups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Agencies to have people specialized to work with CWS/Probation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Basic ongoing resource education for supervisors and workers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Bring social worker floaters back to cover cases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Case aids/ social worker support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Case aids/SWI support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Case load size: increase staffing at CWS and Probation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Centralize the family finding and relative searches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Centralized vs regional practice differences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Childcare support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Child supports would help us find parents (release of information)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Cluster models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Collaborate between CWS and Probation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Community outreach prevention; humanize social workers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Consistent supervision between PSSs and PSWs to discuss permanency on caseloads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Consistent SW who knows family, youth, and partners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Crisis drop in center for all one-stop-shop</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Decrease dependency on system and increase support in community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Distribution of workload in CWS (carrying cases through time lines)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Diverse hiring process/workforce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Diverse mental health services (language and ethnicity)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Diversion programs in CWS and Probation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Diversity training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Employee retention and support work/life balance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Engage group homes, foster parents, and visitation centers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Expanding supports for any caregiver that is substituting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Expansion of programs that are working (Incredible families, cultural brokers, neighborhood for kids)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Faith based community supports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Family finding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Family focused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lastRenderedPageBreak/>
              <w:t>Flexible/exemptions backgrounds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Focus and strengthen core family/FC/MAPP</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Focus less on guardianship or temporary solutions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Focus on core family first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Help families get back to basics-learn how to survive, budget, etc. life skills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Housing resources (2xs)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Housing vouchers/programs for our families- priority list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Humanize probation officers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Improve customer service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Incentive based visitation guidelines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Including fathers in case management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Increased housing, increased employment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Increase number of TDMs for more collaboration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Increase relative placement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Increase use of IFPP; review staffing for IFPP units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Increase visitation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Intra agency connection needs to improve communication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Learn curve of new workers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Local step down facility from residential services vs straight into home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Lower caseloads; increase staff (ER, CI, CS)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Minimize case transfers or implement warm handoffs that include families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active case management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 xml:space="preserve">More case management skills for families dealing with drugs/mental </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collaboration across agencies/sharing resources and office space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focused case plans tailored to the family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teamwork between all groups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More trauma informed training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One church one child, evidence based</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Permanency resource guide to promote self-sufficiency early in case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Probation use of genograms to assist in family finding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Recruit more culturally diverse workers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Relative placement-24 hour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Relocation funding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RF services need to increase for families including shelters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School prevention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Sooner and more often 'Family Team Meeting' to engage family ASAP</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Sooner engage family group conferencing; enable family to find supports and community to plan services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Speeding up visitation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Staff development, using strengths to navigate staffing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Staff for the highs not the lows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Staffing a community resource liaison to use county wide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Support families- money, housing, transportation, school, etc.</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Support- increase parental involvement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SW and Probation address internal biases on placement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Term; look for more culturally diverse service providers &amp; partners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lastRenderedPageBreak/>
              <w:t>Term process is challenging- approve more places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Training for probation on CWS issues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Training on the importance of visitation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 xml:space="preserve">Trauma informed (including focus for the family) </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Trauma informed care &amp; services with families include all members of family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Unit that specializes on harder to place children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Use of parent partners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Use parent partners to assist families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Victim outreach and therapy; case management services for victims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Visit coaching, co-parenting when possible, visitation on parenting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Work with courts to better understand time constraint &amp; harm to permanency</w:t>
            </w:r>
          </w:p>
        </w:tc>
      </w:tr>
      <w:tr w:rsidR="00D86A11">
        <w:tc>
          <w:tcPr>
            <w:tcW w:w="1915" w:type="dxa"/>
            <w:tcBorders>
              <w:top w:val="single" w:sz="18" w:space="0" w:color="17365D"/>
              <w:left w:val="single" w:sz="18" w:space="0" w:color="17365D"/>
              <w:bottom w:val="single" w:sz="18" w:space="0" w:color="17365D"/>
              <w:right w:val="single" w:sz="18" w:space="0" w:color="17365D"/>
            </w:tcBorders>
            <w:shd w:val="clear" w:color="auto" w:fill="800929"/>
            <w:vAlign w:val="center"/>
          </w:tcPr>
          <w:p w:rsidR="00D86A11" w:rsidRDefault="00D86A11">
            <w:pPr>
              <w:spacing w:after="0" w:line="240" w:lineRule="auto"/>
              <w:jc w:val="center"/>
              <w:rPr>
                <w:rFonts w:eastAsia="Times New Roman"/>
                <w:b/>
                <w:bCs/>
                <w:color w:val="FFFFFF"/>
                <w:sz w:val="28"/>
                <w:szCs w:val="28"/>
              </w:rPr>
            </w:pPr>
            <w:r>
              <w:rPr>
                <w:rFonts w:eastAsia="Times New Roman"/>
                <w:b/>
                <w:bCs/>
                <w:color w:val="FFFFFF"/>
                <w:sz w:val="28"/>
                <w:szCs w:val="28"/>
              </w:rPr>
              <w:lastRenderedPageBreak/>
              <w:t>What additional questions might want to look at within our data?</w:t>
            </w:r>
          </w:p>
        </w:tc>
        <w:tc>
          <w:tcPr>
            <w:tcW w:w="7553" w:type="dxa"/>
            <w:tcBorders>
              <w:top w:val="single" w:sz="18" w:space="0" w:color="17365D"/>
              <w:left w:val="single" w:sz="18" w:space="0" w:color="17365D"/>
              <w:bottom w:val="single" w:sz="18" w:space="0" w:color="17365D"/>
              <w:right w:val="single" w:sz="18" w:space="0" w:color="17365D"/>
            </w:tcBorders>
            <w:shd w:val="clear" w:color="auto" w:fill="FFFBFC"/>
            <w:vAlign w:val="center"/>
          </w:tcPr>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Break out reunification, adoption and guardianship routes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Data for youth reentry after permanency is established (failed adoption and guardianship)</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Does the data show there are certain service providers that have/help with better permanency outcomes?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 xml:space="preserve">When sharing data, focus on whole numbers rather than percentages </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How do re-offenses impact permanency?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How does parent incarceration effect permanency?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How is Middle Eastern population tracked? Is it white?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How many families mitigate protective issues but don’t have their kids returned due to lack of housing?</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How many kids are opting to EFC and impact on permanency rates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How many pre adoptive placements disrupt?</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How many reunified with biological parents?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How much does IFPP help?</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Is there an impact on data from youth 11 and older who can object to permanency?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 xml:space="preserve">Look at barriers to permanency (e.g. immigration status) </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Look at parent partner data</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Look at families perspective of government agencies and how to reduce mistrust of system</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Profiling African Americans and other minorities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Redefining EFC permanency or benchmarks "What is success"?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Are youth who are sexually reactive less likely to achieve permanency?</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Use data to identify gaps and develop strategies to improve outcomes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What are the long term outcomes after Extended Foster Care (21 up)? Track those numbers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 xml:space="preserve">What percentage of kids went to their </w:t>
            </w:r>
            <w:r w:rsidR="00A56CE5">
              <w:rPr>
                <w:rFonts w:eastAsia="Times New Roman"/>
                <w:color w:val="auto"/>
                <w:sz w:val="20"/>
              </w:rPr>
              <w:t>family’s</w:t>
            </w:r>
            <w:r>
              <w:rPr>
                <w:rFonts w:eastAsia="Times New Roman"/>
                <w:color w:val="auto"/>
                <w:sz w:val="20"/>
              </w:rPr>
              <w:t xml:space="preserve"> vs a stranger (non-kin)? Adoption/kinship guardianship</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What strategies are working with older kids that can work for younger kids?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What were positive experiences of families that established successful permanency- how to replicate?</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Why so much fluctuation in permanency?</w:t>
            </w:r>
          </w:p>
        </w:tc>
      </w:tr>
    </w:tbl>
    <w:p w:rsidR="00D86A11" w:rsidRDefault="00D86A11" w:rsidP="00D86A11">
      <w:pPr>
        <w:spacing w:after="200"/>
        <w:rPr>
          <w:rFonts w:eastAsia="Calibri"/>
          <w:color w:val="17365D"/>
          <w:szCs w:val="22"/>
        </w:rPr>
      </w:pPr>
    </w:p>
    <w:p w:rsidR="00D86A11" w:rsidRDefault="00D86A11" w:rsidP="00D86A11">
      <w:pPr>
        <w:spacing w:after="200"/>
        <w:rPr>
          <w:rFonts w:eastAsia="Calibri"/>
          <w:color w:val="17365D"/>
          <w:szCs w:val="22"/>
        </w:rPr>
      </w:pPr>
    </w:p>
    <w:p w:rsidR="00D86A11" w:rsidRDefault="00D86A11" w:rsidP="00D86A11">
      <w:pPr>
        <w:spacing w:after="200"/>
        <w:rPr>
          <w:rFonts w:eastAsia="Calibri"/>
          <w:color w:val="17365D"/>
          <w:szCs w:val="22"/>
        </w:rPr>
      </w:pPr>
    </w:p>
    <w:tbl>
      <w:tblPr>
        <w:tblW w:w="0" w:type="auto"/>
        <w:tblBorders>
          <w:top w:val="single" w:sz="18" w:space="0" w:color="943634"/>
          <w:left w:val="single" w:sz="18" w:space="0" w:color="943634"/>
          <w:bottom w:val="single" w:sz="18" w:space="0" w:color="943634"/>
          <w:right w:val="single" w:sz="18" w:space="0" w:color="943634"/>
          <w:insideH w:val="single" w:sz="18" w:space="0" w:color="943634"/>
          <w:insideV w:val="single" w:sz="18" w:space="0" w:color="943634"/>
        </w:tblBorders>
        <w:shd w:val="clear" w:color="auto" w:fill="D9D9D9"/>
        <w:tblLook w:val="04A0" w:firstRow="1" w:lastRow="0" w:firstColumn="1" w:lastColumn="0" w:noHBand="0" w:noVBand="1"/>
      </w:tblPr>
      <w:tblGrid>
        <w:gridCol w:w="1830"/>
        <w:gridCol w:w="7484"/>
      </w:tblGrid>
      <w:tr w:rsidR="00D86A11">
        <w:tc>
          <w:tcPr>
            <w:tcW w:w="9468" w:type="dxa"/>
            <w:gridSpan w:val="2"/>
            <w:tcBorders>
              <w:top w:val="single" w:sz="18" w:space="0" w:color="943634"/>
              <w:left w:val="single" w:sz="18" w:space="0" w:color="943634"/>
              <w:bottom w:val="single" w:sz="18" w:space="0" w:color="943634"/>
              <w:right w:val="single" w:sz="18" w:space="0" w:color="943634"/>
            </w:tcBorders>
            <w:shd w:val="clear" w:color="auto" w:fill="012961"/>
          </w:tcPr>
          <w:p w:rsidR="00D86A11" w:rsidRDefault="00D86A11">
            <w:pPr>
              <w:spacing w:after="0" w:line="240" w:lineRule="auto"/>
              <w:rPr>
                <w:rFonts w:eastAsia="Times New Roman"/>
                <w:color w:val="FFFFFF"/>
                <w:sz w:val="20"/>
              </w:rPr>
            </w:pPr>
            <w:r>
              <w:rPr>
                <w:rFonts w:eastAsia="Times New Roman"/>
                <w:b/>
                <w:color w:val="FFFFFF"/>
                <w:sz w:val="28"/>
              </w:rPr>
              <w:t xml:space="preserve">Exhibit 3a. Systemic Factor: Agency Collaboration </w:t>
            </w:r>
          </w:p>
        </w:tc>
      </w:tr>
      <w:tr w:rsidR="00D86A11">
        <w:tc>
          <w:tcPr>
            <w:tcW w:w="1809"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17365D"/>
                <w:sz w:val="20"/>
              </w:rPr>
            </w:pPr>
            <w:r>
              <w:rPr>
                <w:rFonts w:eastAsia="Times New Roman"/>
                <w:b/>
                <w:bCs/>
                <w:color w:val="FFFFFF"/>
                <w:sz w:val="28"/>
                <w:szCs w:val="28"/>
              </w:rPr>
              <w:lastRenderedPageBreak/>
              <w:t>Strengths in collaboration</w:t>
            </w:r>
          </w:p>
        </w:tc>
        <w:tc>
          <w:tcPr>
            <w:tcW w:w="7659"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Case consultations with multiple collaborative partner reps (PHN, education, therapist)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Collaboration representation of relative caregivers at CWS initiatives (ex. CWS)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Committees to collaborate on systemic issues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CWS and providers speaking same language to clients in SOP training</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CWS staff present for SARB process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CWS/CSF communication (email, co-location, case consult, FCMs)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CWS/SWS attend kinship support groups and events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Effective collaboration happens during TDMs &amp; CFTs (needed for reunification)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Good communication=successful reunification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Including the voice of the "end user" in planning</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MDTs and having stakeholders at the table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Multiple stakeholders to participate collaboratively to come up with solution (i.e., MDTs, TDM, FCM, CPT)</w:t>
            </w:r>
          </w:p>
          <w:p w:rsidR="000B1863" w:rsidRDefault="00D86A11">
            <w:pPr>
              <w:numPr>
                <w:ilvl w:val="0"/>
                <w:numId w:val="30"/>
              </w:numPr>
              <w:spacing w:after="0" w:line="240" w:lineRule="auto"/>
              <w:contextualSpacing/>
              <w:rPr>
                <w:rFonts w:eastAsia="Times New Roman"/>
                <w:color w:val="auto"/>
                <w:sz w:val="20"/>
              </w:rPr>
            </w:pPr>
            <w:r>
              <w:rPr>
                <w:rFonts w:eastAsia="Times New Roman"/>
                <w:color w:val="auto"/>
                <w:sz w:val="20"/>
              </w:rPr>
              <w:t>Specialty Unit working to build relationships with local tribes</w:t>
            </w:r>
          </w:p>
        </w:tc>
      </w:tr>
      <w:tr w:rsidR="00D86A11">
        <w:tc>
          <w:tcPr>
            <w:tcW w:w="1809"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t>Areas for improvement</w:t>
            </w:r>
          </w:p>
        </w:tc>
        <w:tc>
          <w:tcPr>
            <w:tcW w:w="7659"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Better information sharing between CWS and Probation on dual status cases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Better information transfer</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Better understanding of all CWS SW (i.e. value of birth family finding and engagement)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Broadening sharing mental health services/options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Collaboration with tribes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Collaborative with family support systems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Communication with individual SW to CWS SW about plan and process of having a shared understanding of information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Decrease barriers to obtain services (referral availability, better information)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Direct staff, case specific communication (i.e., through referrals, key developments)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Face to face time with CWS SW and youth family (improving but needs more quality</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Having lower caseloads for CWS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Improve partnership especially in the context of CCR</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Locating officers at beginning of referral- early intervention collaboration and when issues on case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Longer parent partner involvement so there is one constant person throughout the life of case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Maximize use of support services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Regional specific data trends to better serve client and train staff</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Share information between CWS and Probation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Sharing placement options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Working on improving how CWS is perceived by the community</w:t>
            </w:r>
          </w:p>
        </w:tc>
      </w:tr>
      <w:tr w:rsidR="00D86A11">
        <w:tc>
          <w:tcPr>
            <w:tcW w:w="1809"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t>Ways to better engage families</w:t>
            </w:r>
          </w:p>
        </w:tc>
        <w:tc>
          <w:tcPr>
            <w:tcW w:w="7659"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Asking caregivers what they need instead of deciding for them</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Commitment to success of the child as the main focus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Community prevention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Early family intervention (prevention)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Help caregivers understand the process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Increase time of notice to caregivers for removals to reduce trauma</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Joint training for SW/PO and caregivers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Lack of time for quality interaction with caregivers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Meetings with CWS, Probation, and Caregiver when there are issues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in home contact with caregivers (CWS and Probation)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information for caregivers for enrollment in school</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lastRenderedPageBreak/>
              <w:t>More legal education and outreach to caregivers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Provide more history about children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Provide more support to caregivers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Quality Care System (ex. Who can family call if they have a problem)</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Quicker response to in home support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Respond quickly to family's needs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Streamline services, provide transportation help and respite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Tailor services to family needs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Training for CBOs on CWS process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Use foster parent liaisons to engage caregivers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Use parent partners to engage biological parents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Utilize schools as meeting location for child, caregiver, school staff, SW/PO</w:t>
            </w:r>
          </w:p>
        </w:tc>
      </w:tr>
    </w:tbl>
    <w:p w:rsidR="00D86A11" w:rsidRDefault="00D86A11" w:rsidP="00D86A11">
      <w:pPr>
        <w:spacing w:after="200"/>
        <w:rPr>
          <w:rFonts w:eastAsia="Calibri"/>
          <w:color w:val="17365D"/>
          <w:szCs w:val="22"/>
        </w:rPr>
      </w:pPr>
    </w:p>
    <w:tbl>
      <w:tblPr>
        <w:tblW w:w="0" w:type="auto"/>
        <w:tblBorders>
          <w:top w:val="single" w:sz="18" w:space="0" w:color="943634"/>
          <w:left w:val="single" w:sz="18" w:space="0" w:color="943634"/>
          <w:bottom w:val="single" w:sz="18" w:space="0" w:color="943634"/>
          <w:right w:val="single" w:sz="18" w:space="0" w:color="943634"/>
          <w:insideH w:val="single" w:sz="18" w:space="0" w:color="943634"/>
          <w:insideV w:val="single" w:sz="18" w:space="0" w:color="943634"/>
        </w:tblBorders>
        <w:shd w:val="clear" w:color="auto" w:fill="D9D9D9"/>
        <w:tblLook w:val="04A0" w:firstRow="1" w:lastRow="0" w:firstColumn="1" w:lastColumn="0" w:noHBand="0" w:noVBand="1"/>
      </w:tblPr>
      <w:tblGrid>
        <w:gridCol w:w="1850"/>
        <w:gridCol w:w="7464"/>
      </w:tblGrid>
      <w:tr w:rsidR="00D86A11">
        <w:tc>
          <w:tcPr>
            <w:tcW w:w="9468" w:type="dxa"/>
            <w:gridSpan w:val="2"/>
            <w:tcBorders>
              <w:top w:val="single" w:sz="18" w:space="0" w:color="943634"/>
              <w:left w:val="single" w:sz="18" w:space="0" w:color="943634"/>
              <w:bottom w:val="single" w:sz="18" w:space="0" w:color="943634"/>
              <w:right w:val="single" w:sz="18" w:space="0" w:color="943634"/>
            </w:tcBorders>
            <w:shd w:val="clear" w:color="auto" w:fill="012961"/>
          </w:tcPr>
          <w:p w:rsidR="00D86A11" w:rsidRDefault="00D86A11">
            <w:pPr>
              <w:spacing w:after="0" w:line="240" w:lineRule="auto"/>
              <w:rPr>
                <w:rFonts w:eastAsia="Times New Roman"/>
                <w:color w:val="FFFFFF"/>
                <w:sz w:val="20"/>
              </w:rPr>
            </w:pPr>
            <w:r>
              <w:rPr>
                <w:rFonts w:eastAsia="Times New Roman"/>
                <w:b/>
                <w:color w:val="FFFFFF"/>
                <w:sz w:val="28"/>
              </w:rPr>
              <w:t>Exhibit 3b. Systemic Factor: Foster and Adoptive Parent Licensing, Recruitment, and Retention</w:t>
            </w:r>
          </w:p>
        </w:tc>
      </w:tr>
      <w:tr w:rsidR="00D86A11">
        <w:tc>
          <w:tcPr>
            <w:tcW w:w="1809"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t>Working well</w:t>
            </w:r>
          </w:p>
        </w:tc>
        <w:tc>
          <w:tcPr>
            <w:tcW w:w="7659"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Approving relative for placement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Better staff knowledge of background process and standards at the start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Collaboration is consistent between the two agencies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Improved partnerships between foster parents and birth parents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Increased services for SCPs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QPI and Prudent Parent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RFA collaboration has been inclusive from the very beginning</w:t>
            </w:r>
          </w:p>
        </w:tc>
      </w:tr>
      <w:tr w:rsidR="00D86A11">
        <w:tc>
          <w:tcPr>
            <w:tcW w:w="1809"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t>Areas for Improvement</w:t>
            </w:r>
          </w:p>
        </w:tc>
        <w:tc>
          <w:tcPr>
            <w:tcW w:w="7659"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Better partnership between biological and foster parents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Concurrent planning is negatively impacting reunification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Create streamlined/flexible process for criminal records exceptions/clearance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CWS and Probation working collaboratively on dual status cases (</w:t>
            </w:r>
            <w:r w:rsidR="00A56CE5">
              <w:rPr>
                <w:rFonts w:eastAsia="Times New Roman"/>
                <w:color w:val="auto"/>
                <w:sz w:val="20"/>
              </w:rPr>
              <w:t>i.e.</w:t>
            </w:r>
            <w:r>
              <w:rPr>
                <w:rFonts w:eastAsia="Times New Roman"/>
                <w:color w:val="auto"/>
                <w:sz w:val="20"/>
              </w:rPr>
              <w:t xml:space="preserve"> CSEC)</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Develop FFA families for 602 youth</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Develop therapy level respite care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Exemptions amongst supervisors need to be consistent, not subjective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Family finding (Probation and CWS)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Fingerprint clearance levels are not always consistent between agencies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flexibility to approve families for placement based on current circumstance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Need to recruit good resource families especially at treatment level</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Probation developed foster care system (FFA level)</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Probation should recruit foster parents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Streamline process, less paperwork</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Support resource families so they can provide placement stability</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TIC training for families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Under RFA minimize, rule out of good placements</w:t>
            </w:r>
          </w:p>
          <w:p w:rsidR="00D86A11" w:rsidRDefault="00D86A11">
            <w:pPr>
              <w:spacing w:after="0" w:line="240" w:lineRule="auto"/>
              <w:ind w:left="360"/>
              <w:contextualSpacing/>
              <w:rPr>
                <w:rFonts w:eastAsia="Times New Roman"/>
                <w:color w:val="auto"/>
              </w:rPr>
            </w:pPr>
          </w:p>
        </w:tc>
      </w:tr>
      <w:tr w:rsidR="00D86A11">
        <w:tc>
          <w:tcPr>
            <w:tcW w:w="1809"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t xml:space="preserve">Barrier to the recruitment of families </w:t>
            </w:r>
            <w:r>
              <w:rPr>
                <w:rFonts w:eastAsia="Times New Roman"/>
                <w:b/>
                <w:bCs/>
                <w:color w:val="FFFFFF"/>
                <w:sz w:val="28"/>
                <w:szCs w:val="28"/>
              </w:rPr>
              <w:lastRenderedPageBreak/>
              <w:t>for Probation involved youth</w:t>
            </w:r>
          </w:p>
        </w:tc>
        <w:tc>
          <w:tcPr>
            <w:tcW w:w="7659"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lastRenderedPageBreak/>
              <w:t>Culture and language barriers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Family's ability</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Financial Issues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Foster youth with high needs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lastRenderedPageBreak/>
              <w:t>Label of "probation" kid</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Lack of education for caregivers on specific behaviors, needs, risks, and supports for probation youth</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Lack of foster parent education regarding what it all encompasses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Lack of trainings surrounding education for foster families during recruitment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Law enforcement involvement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Limited recruitment efforts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No FFA families for 602 youth</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Probation caregivers are child specific</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Restitution liability</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Stigma</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Supervision issues (e.g. afterschool)</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WIC 602 families have criminal record</w:t>
            </w:r>
          </w:p>
        </w:tc>
      </w:tr>
      <w:tr w:rsidR="00D86A11">
        <w:tc>
          <w:tcPr>
            <w:tcW w:w="1809"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b/>
                <w:bCs/>
                <w:color w:val="FFFFFF"/>
                <w:sz w:val="28"/>
                <w:szCs w:val="28"/>
              </w:rPr>
            </w:pPr>
            <w:r>
              <w:rPr>
                <w:rFonts w:eastAsia="Times New Roman"/>
                <w:b/>
                <w:bCs/>
                <w:color w:val="FFFFFF"/>
                <w:sz w:val="28"/>
                <w:szCs w:val="28"/>
              </w:rPr>
              <w:lastRenderedPageBreak/>
              <w:t>Strategies for improving recruitment and retention of foster families for Probation involved youth?</w:t>
            </w:r>
          </w:p>
        </w:tc>
        <w:tc>
          <w:tcPr>
            <w:tcW w:w="7659"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Count FFA partnership for recruitment (Probation and CWS0)</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Culturally appropriate programs such as One Church One Child</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Funds to promote normalcy/enrichment (transportation to football, cheerleading, etc.)</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Incentive pay for 602 youth</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Increase financial incentives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Increase social media recruitment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Kinship support program</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Matching child’s needs with family strengths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Money</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focused incentives (special care rates)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recruitment at schools (possible incentive for referring other families)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Probation to contract with FFAs (more highly trained)</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Provide more education for foster parents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Recruit more FFA homes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Referral process for recruitment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Revise laws regarding felonies that can be exempted</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Specialized FFA homes for probation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Work with biological parents to avoid foster care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Wraparound services for all 602 caregivers</w:t>
            </w:r>
          </w:p>
        </w:tc>
      </w:tr>
    </w:tbl>
    <w:p w:rsidR="00D86A11" w:rsidRDefault="00D86A11" w:rsidP="00D86A11">
      <w:pPr>
        <w:spacing w:after="200"/>
        <w:rPr>
          <w:rFonts w:eastAsia="Calibri"/>
          <w:color w:val="17365D"/>
          <w:szCs w:val="22"/>
        </w:rPr>
      </w:pPr>
    </w:p>
    <w:tbl>
      <w:tblPr>
        <w:tblW w:w="0" w:type="auto"/>
        <w:tblBorders>
          <w:top w:val="single" w:sz="18" w:space="0" w:color="943634"/>
          <w:left w:val="single" w:sz="18" w:space="0" w:color="943634"/>
          <w:bottom w:val="single" w:sz="18" w:space="0" w:color="943634"/>
          <w:right w:val="single" w:sz="18" w:space="0" w:color="943634"/>
          <w:insideH w:val="single" w:sz="18" w:space="0" w:color="943634"/>
          <w:insideV w:val="single" w:sz="18" w:space="0" w:color="943634"/>
        </w:tblBorders>
        <w:shd w:val="clear" w:color="auto" w:fill="D9D9D9"/>
        <w:tblLook w:val="04A0" w:firstRow="1" w:lastRow="0" w:firstColumn="1" w:lastColumn="0" w:noHBand="0" w:noVBand="1"/>
      </w:tblPr>
      <w:tblGrid>
        <w:gridCol w:w="1793"/>
        <w:gridCol w:w="7521"/>
      </w:tblGrid>
      <w:tr w:rsidR="00D86A11">
        <w:tc>
          <w:tcPr>
            <w:tcW w:w="9468" w:type="dxa"/>
            <w:gridSpan w:val="2"/>
            <w:tcBorders>
              <w:top w:val="single" w:sz="18" w:space="0" w:color="943634"/>
              <w:left w:val="single" w:sz="18" w:space="0" w:color="943634"/>
              <w:bottom w:val="single" w:sz="18" w:space="0" w:color="943634"/>
              <w:right w:val="single" w:sz="18" w:space="0" w:color="943634"/>
            </w:tcBorders>
            <w:shd w:val="clear" w:color="auto" w:fill="012961"/>
          </w:tcPr>
          <w:p w:rsidR="00D86A11" w:rsidRDefault="00D86A11">
            <w:pPr>
              <w:spacing w:after="0" w:line="240" w:lineRule="auto"/>
              <w:rPr>
                <w:rFonts w:eastAsia="Times New Roman"/>
                <w:color w:val="FFFFFF"/>
                <w:sz w:val="20"/>
              </w:rPr>
            </w:pPr>
            <w:r>
              <w:rPr>
                <w:rFonts w:eastAsia="Times New Roman"/>
                <w:b/>
                <w:color w:val="FFFFFF"/>
                <w:sz w:val="28"/>
              </w:rPr>
              <w:t>Exhibit 3c. Systemic Factor: Management Information Systems (MIS)</w:t>
            </w:r>
          </w:p>
        </w:tc>
      </w:tr>
      <w:tr w:rsidR="00D86A11">
        <w:tc>
          <w:tcPr>
            <w:tcW w:w="1809" w:type="dxa"/>
            <w:vMerge w:val="restart"/>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17365D"/>
                <w:sz w:val="20"/>
              </w:rPr>
            </w:pPr>
            <w:r>
              <w:rPr>
                <w:rFonts w:eastAsia="Times New Roman"/>
                <w:b/>
                <w:bCs/>
                <w:color w:val="FFFFFF"/>
                <w:sz w:val="28"/>
                <w:szCs w:val="28"/>
              </w:rPr>
              <w:t>What would you like to see related to…</w:t>
            </w:r>
          </w:p>
        </w:tc>
        <w:tc>
          <w:tcPr>
            <w:tcW w:w="7659" w:type="dxa"/>
            <w:tcBorders>
              <w:top w:val="single" w:sz="18" w:space="0" w:color="943634"/>
              <w:left w:val="single" w:sz="18" w:space="0" w:color="943634"/>
              <w:bottom w:val="single" w:sz="18" w:space="0" w:color="943634"/>
              <w:right w:val="single" w:sz="18" w:space="0" w:color="943634"/>
            </w:tcBorders>
            <w:shd w:val="clear" w:color="auto" w:fill="E4EDF8"/>
          </w:tcPr>
          <w:p w:rsidR="00D86A11" w:rsidRDefault="00D86A11">
            <w:pPr>
              <w:spacing w:after="0" w:line="240" w:lineRule="auto"/>
              <w:rPr>
                <w:rFonts w:eastAsia="Times New Roman"/>
                <w:b/>
                <w:color w:val="auto"/>
                <w:sz w:val="24"/>
                <w:u w:val="single"/>
              </w:rPr>
            </w:pPr>
            <w:r>
              <w:rPr>
                <w:rFonts w:eastAsia="Times New Roman"/>
                <w:b/>
                <w:color w:val="auto"/>
                <w:sz w:val="24"/>
                <w:u w:val="single"/>
              </w:rPr>
              <w:t>Information Sharing?</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Community service providers &amp; other agencies can access certain information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CWS/CMS inter-agency collaboration TAB/NOTES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Develop a dual plan around common outcomes within CWS and Probation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efforts to inform the public on disproportionality</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Shared data system</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Shared offices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Targeted services based on trends through MIS</w:t>
            </w:r>
          </w:p>
          <w:p w:rsidR="000B1863" w:rsidRDefault="00D86A11">
            <w:pPr>
              <w:numPr>
                <w:ilvl w:val="0"/>
                <w:numId w:val="30"/>
              </w:numPr>
              <w:spacing w:after="0" w:line="240" w:lineRule="auto"/>
              <w:contextualSpacing/>
              <w:rPr>
                <w:rFonts w:eastAsia="Times New Roman"/>
                <w:color w:val="auto"/>
                <w:sz w:val="20"/>
              </w:rPr>
            </w:pPr>
            <w:r>
              <w:rPr>
                <w:rFonts w:eastAsia="Times New Roman"/>
                <w:color w:val="auto"/>
                <w:sz w:val="20"/>
              </w:rPr>
              <w:t>Work to ensure families confidentiality is respected</w:t>
            </w:r>
          </w:p>
        </w:tc>
      </w:tr>
      <w:tr w:rsidR="00D86A11">
        <w:tc>
          <w:tcPr>
            <w:tcW w:w="0" w:type="auto"/>
            <w:vMerge/>
            <w:tcBorders>
              <w:top w:val="single" w:sz="18" w:space="0" w:color="943634"/>
              <w:left w:val="single" w:sz="18" w:space="0" w:color="943634"/>
              <w:bottom w:val="single" w:sz="18" w:space="0" w:color="943634"/>
              <w:right w:val="single" w:sz="18" w:space="0" w:color="943634"/>
            </w:tcBorders>
            <w:shd w:val="clear" w:color="auto" w:fill="D9D9D9"/>
            <w:vAlign w:val="center"/>
          </w:tcPr>
          <w:p w:rsidR="00D86A11" w:rsidRDefault="00D86A11">
            <w:pPr>
              <w:spacing w:after="0" w:line="240" w:lineRule="auto"/>
              <w:rPr>
                <w:rFonts w:eastAsia="Times New Roman"/>
                <w:color w:val="17365D"/>
                <w:sz w:val="20"/>
              </w:rPr>
            </w:pPr>
          </w:p>
        </w:tc>
        <w:tc>
          <w:tcPr>
            <w:tcW w:w="7659" w:type="dxa"/>
            <w:tcBorders>
              <w:top w:val="single" w:sz="18" w:space="0" w:color="943634"/>
              <w:left w:val="single" w:sz="18" w:space="0" w:color="943634"/>
              <w:bottom w:val="single" w:sz="18" w:space="0" w:color="943634"/>
              <w:right w:val="single" w:sz="18" w:space="0" w:color="943634"/>
            </w:tcBorders>
            <w:shd w:val="clear" w:color="auto" w:fill="E4EDF8"/>
          </w:tcPr>
          <w:p w:rsidR="00D86A11" w:rsidRDefault="00D86A11">
            <w:pPr>
              <w:spacing w:after="0" w:line="240" w:lineRule="auto"/>
              <w:rPr>
                <w:rFonts w:eastAsia="Times New Roman"/>
                <w:b/>
                <w:color w:val="auto"/>
                <w:sz w:val="24"/>
                <w:u w:val="single"/>
              </w:rPr>
            </w:pPr>
            <w:r>
              <w:rPr>
                <w:rFonts w:eastAsia="Times New Roman"/>
                <w:b/>
                <w:color w:val="auto"/>
                <w:sz w:val="24"/>
                <w:u w:val="single"/>
              </w:rPr>
              <w:t>Data?</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lastRenderedPageBreak/>
              <w:t>CWs and Probation ensure managers use drilled down data</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Data on family information, services, and law enforcement information all on one system; streamline data</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Programs designed to address data</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Shared system</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Sharing of regional data within all vested partners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Streamline data</w:t>
            </w:r>
          </w:p>
          <w:p w:rsidR="000B1863" w:rsidRDefault="00D86A11">
            <w:pPr>
              <w:numPr>
                <w:ilvl w:val="0"/>
                <w:numId w:val="30"/>
              </w:numPr>
              <w:spacing w:after="0" w:line="240" w:lineRule="auto"/>
              <w:contextualSpacing/>
              <w:rPr>
                <w:rFonts w:eastAsia="Times New Roman"/>
                <w:color w:val="auto"/>
                <w:sz w:val="20"/>
              </w:rPr>
            </w:pPr>
            <w:r>
              <w:rPr>
                <w:rFonts w:eastAsia="Times New Roman"/>
                <w:color w:val="auto"/>
                <w:sz w:val="20"/>
              </w:rPr>
              <w:t>User friendly data</w:t>
            </w:r>
          </w:p>
        </w:tc>
      </w:tr>
      <w:tr w:rsidR="00D86A11">
        <w:tc>
          <w:tcPr>
            <w:tcW w:w="0" w:type="auto"/>
            <w:vMerge/>
            <w:tcBorders>
              <w:top w:val="single" w:sz="18" w:space="0" w:color="943634"/>
              <w:left w:val="single" w:sz="18" w:space="0" w:color="943634"/>
              <w:bottom w:val="single" w:sz="18" w:space="0" w:color="943634"/>
              <w:right w:val="single" w:sz="18" w:space="0" w:color="943634"/>
            </w:tcBorders>
            <w:shd w:val="clear" w:color="auto" w:fill="D9D9D9"/>
            <w:vAlign w:val="center"/>
          </w:tcPr>
          <w:p w:rsidR="00D86A11" w:rsidRDefault="00D86A11">
            <w:pPr>
              <w:spacing w:after="0" w:line="240" w:lineRule="auto"/>
              <w:rPr>
                <w:rFonts w:eastAsia="Times New Roman"/>
                <w:color w:val="17365D"/>
                <w:sz w:val="20"/>
              </w:rPr>
            </w:pPr>
          </w:p>
        </w:tc>
        <w:tc>
          <w:tcPr>
            <w:tcW w:w="7659" w:type="dxa"/>
            <w:tcBorders>
              <w:top w:val="single" w:sz="18" w:space="0" w:color="943634"/>
              <w:left w:val="single" w:sz="18" w:space="0" w:color="943634"/>
              <w:bottom w:val="single" w:sz="18" w:space="0" w:color="943634"/>
              <w:right w:val="single" w:sz="18" w:space="0" w:color="943634"/>
            </w:tcBorders>
            <w:shd w:val="clear" w:color="auto" w:fill="E4EDF8"/>
          </w:tcPr>
          <w:p w:rsidR="00D86A11" w:rsidRDefault="00D86A11">
            <w:pPr>
              <w:spacing w:after="0" w:line="240" w:lineRule="auto"/>
              <w:rPr>
                <w:rFonts w:eastAsia="Times New Roman"/>
                <w:b/>
                <w:color w:val="auto"/>
                <w:sz w:val="24"/>
                <w:u w:val="single"/>
              </w:rPr>
            </w:pPr>
            <w:r>
              <w:rPr>
                <w:rFonts w:eastAsia="Times New Roman"/>
                <w:b/>
                <w:color w:val="auto"/>
                <w:sz w:val="24"/>
                <w:u w:val="single"/>
              </w:rPr>
              <w:t>Reports?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Autofill forms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CWS-NS ICWA reports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Make reports 'real' at all levels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Referral follow ups- resolution of referral</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Sharing of outcomes with nonprofits and vested parties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Streamline reports- populate from computers and enters healthy school information that has already been entered by PHN</w:t>
            </w:r>
          </w:p>
          <w:p w:rsidR="000B1863" w:rsidRDefault="00D86A11">
            <w:pPr>
              <w:numPr>
                <w:ilvl w:val="0"/>
                <w:numId w:val="30"/>
              </w:numPr>
              <w:spacing w:after="0" w:line="240" w:lineRule="auto"/>
              <w:contextualSpacing/>
              <w:rPr>
                <w:rFonts w:eastAsia="Times New Roman"/>
                <w:color w:val="auto"/>
                <w:sz w:val="20"/>
              </w:rPr>
            </w:pPr>
            <w:r>
              <w:rPr>
                <w:rFonts w:eastAsia="Times New Roman"/>
                <w:color w:val="auto"/>
                <w:sz w:val="20"/>
              </w:rPr>
              <w:t>Transparency at all levels</w:t>
            </w:r>
          </w:p>
        </w:tc>
      </w:tr>
      <w:tr w:rsidR="00D86A11">
        <w:tc>
          <w:tcPr>
            <w:tcW w:w="0" w:type="auto"/>
            <w:vMerge/>
            <w:tcBorders>
              <w:top w:val="single" w:sz="18" w:space="0" w:color="943634"/>
              <w:left w:val="single" w:sz="18" w:space="0" w:color="943634"/>
              <w:bottom w:val="single" w:sz="18" w:space="0" w:color="943634"/>
              <w:right w:val="single" w:sz="18" w:space="0" w:color="943634"/>
            </w:tcBorders>
            <w:shd w:val="clear" w:color="auto" w:fill="D9D9D9"/>
            <w:vAlign w:val="center"/>
          </w:tcPr>
          <w:p w:rsidR="00D86A11" w:rsidRDefault="00D86A11">
            <w:pPr>
              <w:spacing w:after="0" w:line="240" w:lineRule="auto"/>
              <w:rPr>
                <w:rFonts w:eastAsia="Times New Roman"/>
                <w:color w:val="17365D"/>
                <w:sz w:val="20"/>
              </w:rPr>
            </w:pPr>
          </w:p>
        </w:tc>
        <w:tc>
          <w:tcPr>
            <w:tcW w:w="7659" w:type="dxa"/>
            <w:tcBorders>
              <w:top w:val="single" w:sz="18" w:space="0" w:color="943634"/>
              <w:left w:val="single" w:sz="18" w:space="0" w:color="943634"/>
              <w:bottom w:val="single" w:sz="18" w:space="0" w:color="943634"/>
              <w:right w:val="single" w:sz="18" w:space="0" w:color="943634"/>
            </w:tcBorders>
            <w:shd w:val="clear" w:color="auto" w:fill="E4EDF8"/>
          </w:tcPr>
          <w:p w:rsidR="00D86A11" w:rsidRDefault="00D86A11">
            <w:pPr>
              <w:spacing w:after="0" w:line="240" w:lineRule="auto"/>
              <w:rPr>
                <w:rFonts w:eastAsia="Times New Roman"/>
                <w:b/>
                <w:color w:val="auto"/>
                <w:szCs w:val="22"/>
                <w:u w:val="single"/>
              </w:rPr>
            </w:pPr>
            <w:r>
              <w:rPr>
                <w:rFonts w:eastAsia="Times New Roman"/>
                <w:b/>
                <w:color w:val="auto"/>
                <w:sz w:val="24"/>
                <w:u w:val="single"/>
              </w:rPr>
              <w:t>Resources?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CWS and Probation share reports and resources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CWS/CMS forms linked with resources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Links to community services and shared with both CWS and Probation</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Probation access family findings</w:t>
            </w:r>
          </w:p>
          <w:p w:rsidR="000B1863" w:rsidRDefault="00D86A11">
            <w:pPr>
              <w:numPr>
                <w:ilvl w:val="0"/>
                <w:numId w:val="30"/>
              </w:numPr>
              <w:spacing w:after="0" w:line="240" w:lineRule="auto"/>
              <w:contextualSpacing/>
              <w:rPr>
                <w:rFonts w:eastAsia="Times New Roman"/>
                <w:color w:val="auto"/>
                <w:szCs w:val="22"/>
              </w:rPr>
            </w:pPr>
            <w:r>
              <w:rPr>
                <w:rFonts w:eastAsia="Times New Roman"/>
                <w:color w:val="auto"/>
                <w:sz w:val="20"/>
              </w:rPr>
              <w:t>Up to date listing of staff for community partners</w:t>
            </w:r>
          </w:p>
          <w:p w:rsidR="000B1863" w:rsidRDefault="00D86A11">
            <w:pPr>
              <w:numPr>
                <w:ilvl w:val="0"/>
                <w:numId w:val="30"/>
              </w:numPr>
              <w:spacing w:after="0" w:line="240" w:lineRule="auto"/>
              <w:contextualSpacing/>
              <w:rPr>
                <w:rFonts w:eastAsia="Times New Roman"/>
                <w:color w:val="auto"/>
                <w:sz w:val="20"/>
              </w:rPr>
            </w:pPr>
            <w:r>
              <w:rPr>
                <w:rFonts w:eastAsia="Times New Roman"/>
                <w:color w:val="auto"/>
                <w:sz w:val="20"/>
              </w:rPr>
              <w:t>Use data and reports to feed into resources</w:t>
            </w:r>
          </w:p>
        </w:tc>
      </w:tr>
      <w:tr w:rsidR="00D86A11">
        <w:tc>
          <w:tcPr>
            <w:tcW w:w="1809"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b/>
                <w:bCs/>
                <w:color w:val="17365D"/>
                <w:sz w:val="28"/>
                <w:szCs w:val="28"/>
              </w:rPr>
            </w:pPr>
            <w:r>
              <w:rPr>
                <w:rFonts w:eastAsia="Times New Roman"/>
                <w:b/>
                <w:bCs/>
                <w:color w:val="FFFFFF"/>
                <w:sz w:val="28"/>
                <w:szCs w:val="28"/>
              </w:rPr>
              <w:t>What are the barriers to the MIS?</w:t>
            </w:r>
          </w:p>
        </w:tc>
        <w:tc>
          <w:tcPr>
            <w:tcW w:w="7659"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Access CWS and Probation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Buy in from all stakeholders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Confidentiality</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Lack of updated information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Money</w:t>
            </w:r>
          </w:p>
          <w:p w:rsidR="000B1863" w:rsidRDefault="00D86A11">
            <w:pPr>
              <w:numPr>
                <w:ilvl w:val="0"/>
                <w:numId w:val="30"/>
              </w:numPr>
              <w:spacing w:after="0" w:line="240" w:lineRule="auto"/>
              <w:contextualSpacing/>
              <w:rPr>
                <w:rFonts w:eastAsia="Times New Roman"/>
                <w:color w:val="auto"/>
                <w:sz w:val="20"/>
              </w:rPr>
            </w:pPr>
            <w:r>
              <w:rPr>
                <w:rFonts w:eastAsia="Times New Roman"/>
                <w:color w:val="auto"/>
                <w:sz w:val="20"/>
              </w:rPr>
              <w:t xml:space="preserve">Systems don’t share </w:t>
            </w:r>
          </w:p>
        </w:tc>
      </w:tr>
    </w:tbl>
    <w:p w:rsidR="00D86A11" w:rsidRDefault="00D86A11" w:rsidP="00D86A11">
      <w:pPr>
        <w:spacing w:after="200"/>
        <w:rPr>
          <w:rFonts w:eastAsia="Calibri"/>
          <w:color w:val="17365D"/>
          <w:szCs w:val="22"/>
        </w:rPr>
      </w:pPr>
    </w:p>
    <w:tbl>
      <w:tblPr>
        <w:tblW w:w="0" w:type="auto"/>
        <w:tblBorders>
          <w:top w:val="single" w:sz="18" w:space="0" w:color="943634"/>
          <w:left w:val="single" w:sz="18" w:space="0" w:color="943634"/>
          <w:bottom w:val="single" w:sz="18" w:space="0" w:color="943634"/>
          <w:right w:val="single" w:sz="18" w:space="0" w:color="943634"/>
          <w:insideH w:val="single" w:sz="18" w:space="0" w:color="943634"/>
          <w:insideV w:val="single" w:sz="18" w:space="0" w:color="943634"/>
        </w:tblBorders>
        <w:shd w:val="clear" w:color="auto" w:fill="D9D9D9"/>
        <w:tblLook w:val="04A0" w:firstRow="1" w:lastRow="0" w:firstColumn="1" w:lastColumn="0" w:noHBand="0" w:noVBand="1"/>
      </w:tblPr>
      <w:tblGrid>
        <w:gridCol w:w="1930"/>
        <w:gridCol w:w="241"/>
        <w:gridCol w:w="7143"/>
      </w:tblGrid>
      <w:tr w:rsidR="00D86A11">
        <w:tc>
          <w:tcPr>
            <w:tcW w:w="9468" w:type="dxa"/>
            <w:gridSpan w:val="3"/>
            <w:tcBorders>
              <w:top w:val="single" w:sz="18" w:space="0" w:color="943634"/>
              <w:left w:val="single" w:sz="18" w:space="0" w:color="943634"/>
              <w:bottom w:val="single" w:sz="18" w:space="0" w:color="943634"/>
              <w:right w:val="single" w:sz="18" w:space="0" w:color="943634"/>
            </w:tcBorders>
            <w:shd w:val="clear" w:color="auto" w:fill="012961"/>
          </w:tcPr>
          <w:p w:rsidR="00D86A11" w:rsidRDefault="00D86A11">
            <w:pPr>
              <w:spacing w:after="0" w:line="240" w:lineRule="auto"/>
              <w:rPr>
                <w:rFonts w:eastAsia="Times New Roman"/>
                <w:color w:val="FFFFFF"/>
                <w:sz w:val="20"/>
              </w:rPr>
            </w:pPr>
            <w:r>
              <w:rPr>
                <w:rFonts w:eastAsia="Times New Roman"/>
                <w:b/>
                <w:color w:val="FFFFFF"/>
                <w:sz w:val="28"/>
              </w:rPr>
              <w:t>Exhibit 3d. Systemic Factor: County Case Review (CCRS) and Quality Assurance System (QAS)</w:t>
            </w:r>
          </w:p>
        </w:tc>
      </w:tr>
      <w:tr w:rsidR="00D86A11">
        <w:tc>
          <w:tcPr>
            <w:tcW w:w="1933"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t>What would you like to see as part of CCRS?</w:t>
            </w:r>
          </w:p>
        </w:tc>
        <w:tc>
          <w:tcPr>
            <w:tcW w:w="7535" w:type="dxa"/>
            <w:gridSpan w:val="2"/>
            <w:tcBorders>
              <w:top w:val="single" w:sz="18" w:space="0" w:color="943634"/>
              <w:left w:val="single" w:sz="18" w:space="0" w:color="943634"/>
              <w:bottom w:val="single" w:sz="18" w:space="0" w:color="943634"/>
              <w:right w:val="single" w:sz="18" w:space="0" w:color="943634"/>
            </w:tcBorders>
            <w:shd w:val="clear" w:color="auto" w:fill="E4EDF8"/>
            <w:vAlign w:val="center"/>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Better communication to line staff regarding outcomes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Citizen review board</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CR: Feedback to stakeholders on what they learn in Federal Case Review</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Education has extended, foster care youth been represented</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Ensure all relevant parties are part of the process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Include annual inclusion of youth's academic status (case review &amp; stats)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Include education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Include review for all family needs, support all involved</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Looking at caseload for the time worker had referral/case</w:t>
            </w:r>
          </w:p>
        </w:tc>
      </w:tr>
      <w:tr w:rsidR="00D86A11">
        <w:tc>
          <w:tcPr>
            <w:tcW w:w="1933"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t>What is working?</w:t>
            </w:r>
          </w:p>
        </w:tc>
        <w:tc>
          <w:tcPr>
            <w:tcW w:w="7535" w:type="dxa"/>
            <w:gridSpan w:val="2"/>
            <w:tcBorders>
              <w:top w:val="single" w:sz="18" w:space="0" w:color="943634"/>
              <w:left w:val="single" w:sz="18" w:space="0" w:color="943634"/>
              <w:bottom w:val="single" w:sz="18" w:space="0" w:color="943634"/>
              <w:right w:val="single" w:sz="18" w:space="0" w:color="943634"/>
            </w:tcBorders>
            <w:shd w:val="clear" w:color="auto" w:fill="E4EDF8"/>
            <w:vAlign w:val="center"/>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Case reviews lead to training</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Deep dive into cases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lastRenderedPageBreak/>
              <w:t>Setting standards for good practice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The fact the CRS is happening</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Transparency between agencies</w:t>
            </w:r>
          </w:p>
        </w:tc>
      </w:tr>
      <w:tr w:rsidR="00D86A11">
        <w:tc>
          <w:tcPr>
            <w:tcW w:w="1933"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lastRenderedPageBreak/>
              <w:t>What needs improvement in CCRS?</w:t>
            </w:r>
          </w:p>
        </w:tc>
        <w:tc>
          <w:tcPr>
            <w:tcW w:w="7535" w:type="dxa"/>
            <w:gridSpan w:val="2"/>
            <w:tcBorders>
              <w:top w:val="single" w:sz="18" w:space="0" w:color="943634"/>
              <w:left w:val="single" w:sz="18" w:space="0" w:color="943634"/>
              <w:bottom w:val="single" w:sz="18" w:space="0" w:color="943634"/>
              <w:right w:val="single" w:sz="18" w:space="0" w:color="943634"/>
            </w:tcBorders>
            <w:shd w:val="clear" w:color="auto" w:fill="E4EDF8"/>
            <w:vAlign w:val="center"/>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Community Review Board more external review</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Collaboration between adult&amp; juvenile court on DV &amp; substance abuse cases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Include county counsel as part of review team</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What grade level the child is at academically</w:t>
            </w:r>
          </w:p>
        </w:tc>
      </w:tr>
      <w:tr w:rsidR="00D86A11">
        <w:tc>
          <w:tcPr>
            <w:tcW w:w="1933"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b/>
                <w:bCs/>
                <w:color w:val="FFFFFF"/>
                <w:sz w:val="28"/>
                <w:szCs w:val="28"/>
              </w:rPr>
            </w:pPr>
            <w:r>
              <w:rPr>
                <w:rFonts w:eastAsia="Times New Roman"/>
                <w:b/>
                <w:bCs/>
                <w:color w:val="FFFFFF"/>
                <w:sz w:val="28"/>
                <w:szCs w:val="28"/>
              </w:rPr>
              <w:t>In case planning, what is working well?</w:t>
            </w:r>
          </w:p>
        </w:tc>
        <w:tc>
          <w:tcPr>
            <w:tcW w:w="7535" w:type="dxa"/>
            <w:gridSpan w:val="2"/>
            <w:tcBorders>
              <w:top w:val="single" w:sz="18" w:space="0" w:color="943634"/>
              <w:left w:val="single" w:sz="18" w:space="0" w:color="943634"/>
              <w:bottom w:val="single" w:sz="18" w:space="0" w:color="943634"/>
              <w:right w:val="single" w:sz="18" w:space="0" w:color="943634"/>
            </w:tcBorders>
            <w:shd w:val="clear" w:color="auto" w:fill="E4EDF8"/>
            <w:vAlign w:val="center"/>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Increased availability of individual services; more case management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QA: Should review that safety issue was addressed SET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Utilizing parents as experts in their family</w:t>
            </w:r>
          </w:p>
        </w:tc>
      </w:tr>
      <w:tr w:rsidR="00D86A11">
        <w:tc>
          <w:tcPr>
            <w:tcW w:w="1933"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b/>
                <w:bCs/>
                <w:color w:val="FFFFFF"/>
                <w:sz w:val="28"/>
                <w:szCs w:val="28"/>
              </w:rPr>
            </w:pPr>
            <w:r>
              <w:rPr>
                <w:rFonts w:eastAsia="Times New Roman"/>
                <w:b/>
                <w:bCs/>
                <w:color w:val="FFFFFF"/>
                <w:sz w:val="28"/>
                <w:szCs w:val="28"/>
              </w:rPr>
              <w:t>What would be helpful in evaluating the adequacy and quality of the CWS system?</w:t>
            </w:r>
          </w:p>
        </w:tc>
        <w:tc>
          <w:tcPr>
            <w:tcW w:w="7535" w:type="dxa"/>
            <w:gridSpan w:val="2"/>
            <w:tcBorders>
              <w:top w:val="single" w:sz="18" w:space="0" w:color="943634"/>
              <w:left w:val="single" w:sz="18" w:space="0" w:color="943634"/>
              <w:bottom w:val="single" w:sz="18" w:space="0" w:color="943634"/>
              <w:right w:val="single" w:sz="18" w:space="0" w:color="943634"/>
            </w:tcBorders>
            <w:shd w:val="clear" w:color="auto" w:fill="E4EDF8"/>
            <w:vAlign w:val="center"/>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Anonymous feedback from stakeholders/parents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Better service to stakeholders regarding data</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Evaluate recidivism based on services provided to families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Evaluate consistencies of practices across supervisors/managers/SW</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information/data back to stakeholders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Review CSF &amp; other contractor's cases by practice experts not contract analysts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Review conduct of all agencies/entities</w:t>
            </w:r>
          </w:p>
        </w:tc>
      </w:tr>
      <w:tr w:rsidR="00D86A11">
        <w:tc>
          <w:tcPr>
            <w:tcW w:w="1933"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b/>
                <w:bCs/>
                <w:color w:val="FFFFFF"/>
                <w:sz w:val="28"/>
                <w:szCs w:val="28"/>
              </w:rPr>
            </w:pPr>
            <w:r>
              <w:rPr>
                <w:rFonts w:eastAsia="Times New Roman"/>
                <w:b/>
                <w:bCs/>
                <w:color w:val="FFFFFF"/>
                <w:sz w:val="28"/>
                <w:szCs w:val="28"/>
              </w:rPr>
              <w:t>How can CWS involve stakeholders more in the CQI process?</w:t>
            </w:r>
          </w:p>
        </w:tc>
        <w:tc>
          <w:tcPr>
            <w:tcW w:w="7535" w:type="dxa"/>
            <w:gridSpan w:val="2"/>
            <w:tcBorders>
              <w:top w:val="single" w:sz="18" w:space="0" w:color="943634"/>
              <w:left w:val="single" w:sz="18" w:space="0" w:color="943634"/>
              <w:bottom w:val="single" w:sz="18" w:space="0" w:color="943634"/>
              <w:right w:val="single" w:sz="18" w:space="0" w:color="943634"/>
            </w:tcBorders>
            <w:shd w:val="clear" w:color="auto" w:fill="E4EDF8"/>
            <w:vAlign w:val="center"/>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QA: Invite stakeholders to CQI meetings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QA: Keep stakeholders involved throughout the process and ongoing</w:t>
            </w:r>
          </w:p>
        </w:tc>
      </w:tr>
      <w:tr w:rsidR="00D86A11">
        <w:tc>
          <w:tcPr>
            <w:tcW w:w="1933" w:type="dxa"/>
            <w:tcBorders>
              <w:top w:val="single" w:sz="18" w:space="0" w:color="943634"/>
              <w:left w:val="nil"/>
              <w:bottom w:val="nil"/>
              <w:right w:val="nil"/>
            </w:tcBorders>
            <w:shd w:val="clear" w:color="auto" w:fill="auto"/>
            <w:vAlign w:val="center"/>
          </w:tcPr>
          <w:p w:rsidR="00D86A11" w:rsidRDefault="00D86A11">
            <w:pPr>
              <w:spacing w:after="0" w:line="240" w:lineRule="auto"/>
              <w:jc w:val="center"/>
              <w:rPr>
                <w:rFonts w:eastAsia="Times New Roman"/>
                <w:b/>
                <w:bCs/>
                <w:color w:val="FFFFFF"/>
                <w:sz w:val="28"/>
                <w:szCs w:val="28"/>
              </w:rPr>
            </w:pPr>
          </w:p>
        </w:tc>
        <w:tc>
          <w:tcPr>
            <w:tcW w:w="7535" w:type="dxa"/>
            <w:gridSpan w:val="2"/>
            <w:tcBorders>
              <w:top w:val="single" w:sz="18" w:space="0" w:color="943634"/>
              <w:left w:val="nil"/>
              <w:bottom w:val="nil"/>
              <w:right w:val="nil"/>
            </w:tcBorders>
            <w:shd w:val="clear" w:color="auto" w:fill="auto"/>
            <w:vAlign w:val="center"/>
          </w:tcPr>
          <w:p w:rsidR="00D86A11" w:rsidRDefault="00D86A11">
            <w:pPr>
              <w:spacing w:after="0" w:line="240" w:lineRule="auto"/>
              <w:rPr>
                <w:rFonts w:eastAsia="Times New Roman"/>
                <w:color w:val="auto"/>
                <w:sz w:val="20"/>
              </w:rPr>
            </w:pPr>
          </w:p>
          <w:p w:rsidR="00D86A11" w:rsidRDefault="00D86A11">
            <w:pPr>
              <w:spacing w:after="0" w:line="240" w:lineRule="auto"/>
              <w:rPr>
                <w:rFonts w:eastAsia="Times New Roman"/>
                <w:color w:val="auto"/>
                <w:sz w:val="20"/>
              </w:rPr>
            </w:pPr>
          </w:p>
        </w:tc>
      </w:tr>
      <w:tr w:rsidR="00D86A11">
        <w:tc>
          <w:tcPr>
            <w:tcW w:w="9468" w:type="dxa"/>
            <w:gridSpan w:val="3"/>
            <w:tcBorders>
              <w:top w:val="nil"/>
              <w:left w:val="single" w:sz="18" w:space="0" w:color="943634"/>
              <w:bottom w:val="single" w:sz="18" w:space="0" w:color="943634"/>
              <w:right w:val="single" w:sz="18" w:space="0" w:color="943634"/>
            </w:tcBorders>
            <w:shd w:val="clear" w:color="auto" w:fill="012961"/>
          </w:tcPr>
          <w:p w:rsidR="00D86A11" w:rsidRDefault="00D86A11">
            <w:pPr>
              <w:spacing w:after="0" w:line="240" w:lineRule="auto"/>
              <w:rPr>
                <w:rFonts w:eastAsia="Times New Roman"/>
                <w:color w:val="auto"/>
                <w:sz w:val="20"/>
              </w:rPr>
            </w:pPr>
            <w:r>
              <w:rPr>
                <w:rFonts w:eastAsia="Times New Roman"/>
                <w:b/>
                <w:color w:val="auto"/>
                <w:sz w:val="28"/>
              </w:rPr>
              <w:t>Exhibit 3e. Systemic Factor: Service Array</w:t>
            </w:r>
          </w:p>
        </w:tc>
      </w:tr>
      <w:tr w:rsidR="00D86A11">
        <w:tc>
          <w:tcPr>
            <w:tcW w:w="2181" w:type="dxa"/>
            <w:gridSpan w:val="2"/>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t xml:space="preserve">What </w:t>
            </w:r>
            <w:r w:rsidR="00492E73">
              <w:rPr>
                <w:rFonts w:eastAsia="Times New Roman"/>
                <w:b/>
                <w:bCs/>
                <w:color w:val="FFFFFF"/>
                <w:sz w:val="28"/>
                <w:szCs w:val="28"/>
              </w:rPr>
              <w:t>services we</w:t>
            </w:r>
            <w:r>
              <w:rPr>
                <w:rFonts w:eastAsia="Times New Roman"/>
                <w:b/>
                <w:bCs/>
                <w:color w:val="FFFFFF"/>
                <w:sz w:val="28"/>
                <w:szCs w:val="28"/>
              </w:rPr>
              <w:t xml:space="preserve"> need more of?</w:t>
            </w:r>
          </w:p>
        </w:tc>
        <w:tc>
          <w:tcPr>
            <w:tcW w:w="7287"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Better access to behavioral/mental health services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Child care for people who need to go to services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Collaborate with schools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Education to special population (i.e. pregnant teen ) re: substance abuse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Family therapy or family counseling</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Father supports visitation case management for reunification like perinatal case management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For probation, more mental health support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Housing programs for at risk families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 home and mobile services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Long term services include wrap around</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consistent MHS, Psych evaluations, and Psychiatry</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culturally relevant services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peer support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reunification services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substance abuse therapy</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Need longer or expanded visits/case management for partners in CSF and aftercare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Parent mentor program to include training</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lastRenderedPageBreak/>
              <w:t>Permanency support services (e.g., family finding, RT, family group conference)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Programs to help self sufficient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Quicker access and mental health services for adults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Term services need more/better pay; need to diagnose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Treatment level respite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Weekend and PM services</w:t>
            </w:r>
          </w:p>
        </w:tc>
      </w:tr>
      <w:tr w:rsidR="00D86A11">
        <w:tc>
          <w:tcPr>
            <w:tcW w:w="2181" w:type="dxa"/>
            <w:gridSpan w:val="2"/>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lastRenderedPageBreak/>
              <w:t>What adjustments are needed for existing services?</w:t>
            </w:r>
          </w:p>
        </w:tc>
        <w:tc>
          <w:tcPr>
            <w:tcW w:w="7287"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Build capacity of parent partners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Critical look at need</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Identify substance abuse more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Increased mental providers who take MediCal within local community</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Locate services in targeted communities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collaboration between CWS, probation, and providers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co-location service providers out stationed</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focus on after care services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funding for services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Not enough parent partners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Parent partners are being under utilized</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Programs are being underutilized (ex. IF, SA programs)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Re-evaluate language services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Service providers to have knowledge of local data and share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Services driven by neuro science and ACES (emerging practices) can lead to less need for referrals</w:t>
            </w:r>
          </w:p>
        </w:tc>
      </w:tr>
      <w:tr w:rsidR="00D86A11">
        <w:tc>
          <w:tcPr>
            <w:tcW w:w="2181" w:type="dxa"/>
            <w:gridSpan w:val="2"/>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17365D"/>
                <w:sz w:val="20"/>
              </w:rPr>
            </w:pPr>
            <w:r>
              <w:rPr>
                <w:rFonts w:eastAsia="Times New Roman"/>
                <w:b/>
                <w:bCs/>
                <w:color w:val="FFFFFF"/>
                <w:sz w:val="28"/>
                <w:szCs w:val="28"/>
              </w:rPr>
              <w:t>Prevention and after care services are needed</w:t>
            </w:r>
          </w:p>
        </w:tc>
        <w:tc>
          <w:tcPr>
            <w:tcW w:w="7287"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Additional oversight regarding disproportionate (previously in place)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Aftercare support groups and parent partners without fear of new case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All contracts should do ongoing outreach/presentations to referral services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CBO faith based training for Family Team Meetings. Train churches to conduct FTM</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Childcare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Continuum on mental health services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CWS to engage/inform schools, teachers, and children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Employment help/training</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Expand for prevention and CSF assessment to kids older than 5</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Family support services after case closes; network building of supports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Housing for families during and after reunification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Inter-generational mentoring</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Long term training for parents of all children who were dependents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Meetings with CWS, probation, and caregiver when there are issues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co parenting classes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New CBOs- staff need training data on population/community</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Open incredible families to prevention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Parent partners for prevention cases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Resource hub to get info on service they can access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Supportive housing for dads with kids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TERM- revamp it; recruit culturally appropriate providers, quality team= leading to barriers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Volunteer family unity meeting 6 months after case closes</w:t>
            </w:r>
          </w:p>
          <w:p w:rsidR="000B1863" w:rsidRDefault="00D86A11">
            <w:pPr>
              <w:numPr>
                <w:ilvl w:val="0"/>
                <w:numId w:val="30"/>
              </w:numPr>
              <w:spacing w:after="0" w:line="240" w:lineRule="auto"/>
              <w:contextualSpacing/>
              <w:rPr>
                <w:rFonts w:eastAsia="Times New Roman"/>
                <w:color w:val="auto"/>
                <w:sz w:val="20"/>
              </w:rPr>
            </w:pPr>
            <w:r>
              <w:rPr>
                <w:rFonts w:eastAsia="Times New Roman"/>
                <w:color w:val="auto"/>
                <w:sz w:val="20"/>
              </w:rPr>
              <w:t>Work with legislatures to address stressors for vulnerable, money, poverty</w:t>
            </w:r>
          </w:p>
        </w:tc>
      </w:tr>
    </w:tbl>
    <w:p w:rsidR="00D86A11" w:rsidRDefault="00D86A11" w:rsidP="00D86A11">
      <w:pPr>
        <w:spacing w:after="200"/>
        <w:rPr>
          <w:rFonts w:eastAsia="Calibri"/>
          <w:color w:val="17365D"/>
          <w:szCs w:val="22"/>
        </w:rPr>
      </w:pPr>
    </w:p>
    <w:tbl>
      <w:tblPr>
        <w:tblW w:w="0" w:type="auto"/>
        <w:tblBorders>
          <w:top w:val="single" w:sz="18" w:space="0" w:color="943634"/>
          <w:left w:val="single" w:sz="18" w:space="0" w:color="943634"/>
          <w:bottom w:val="single" w:sz="18" w:space="0" w:color="943634"/>
          <w:right w:val="single" w:sz="18" w:space="0" w:color="943634"/>
          <w:insideH w:val="single" w:sz="18" w:space="0" w:color="943634"/>
          <w:insideV w:val="single" w:sz="18" w:space="0" w:color="943634"/>
        </w:tblBorders>
        <w:shd w:val="clear" w:color="auto" w:fill="D9D9D9"/>
        <w:tblLook w:val="04A0" w:firstRow="1" w:lastRow="0" w:firstColumn="1" w:lastColumn="0" w:noHBand="0" w:noVBand="1"/>
      </w:tblPr>
      <w:tblGrid>
        <w:gridCol w:w="2175"/>
        <w:gridCol w:w="7139"/>
      </w:tblGrid>
      <w:tr w:rsidR="00D86A11">
        <w:tc>
          <w:tcPr>
            <w:tcW w:w="9468" w:type="dxa"/>
            <w:gridSpan w:val="2"/>
            <w:tcBorders>
              <w:top w:val="single" w:sz="18" w:space="0" w:color="943634"/>
              <w:left w:val="single" w:sz="18" w:space="0" w:color="943634"/>
              <w:bottom w:val="single" w:sz="18" w:space="0" w:color="943634"/>
              <w:right w:val="single" w:sz="18" w:space="0" w:color="943634"/>
            </w:tcBorders>
            <w:shd w:val="clear" w:color="auto" w:fill="012961"/>
          </w:tcPr>
          <w:p w:rsidR="00D86A11" w:rsidRDefault="00D86A11">
            <w:pPr>
              <w:spacing w:after="0" w:line="240" w:lineRule="auto"/>
              <w:rPr>
                <w:rFonts w:eastAsia="Times New Roman"/>
                <w:color w:val="FFFFFF"/>
                <w:sz w:val="20"/>
              </w:rPr>
            </w:pPr>
            <w:r>
              <w:rPr>
                <w:rFonts w:eastAsia="Times New Roman"/>
                <w:b/>
                <w:color w:val="FFFFFF"/>
                <w:sz w:val="28"/>
              </w:rPr>
              <w:t>Exhibit 3f. Systemic Factor: Staff, Caregiver, and Service Provider Training</w:t>
            </w:r>
          </w:p>
        </w:tc>
      </w:tr>
      <w:tr w:rsidR="00D86A11">
        <w:tc>
          <w:tcPr>
            <w:tcW w:w="2181"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t>Staff: Working well?</w:t>
            </w:r>
          </w:p>
        </w:tc>
        <w:tc>
          <w:tcPr>
            <w:tcW w:w="7287"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Availability of LMS trainings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Centralized Child Welfare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Different delivery methods for training</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LMS in person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Locations to accommodate staff, offer training in different locations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SOP coaching</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SOP cultural sensitivity</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Supervision times, strength based</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Training units</w:t>
            </w:r>
          </w:p>
        </w:tc>
      </w:tr>
      <w:tr w:rsidR="00D86A11">
        <w:tc>
          <w:tcPr>
            <w:tcW w:w="2181"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t>Staff: Areas for Improvement</w:t>
            </w:r>
          </w:p>
        </w:tc>
        <w:tc>
          <w:tcPr>
            <w:tcW w:w="7287"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Centralize training units for new workers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training units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Allow time to take training</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Decrease caseload to provide better services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Provide more support services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Allow staff to change programs while on probation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When to use family meetings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New policy should include new trainings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Increased trainings on special populations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Too much documentation</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Increase OJT days during SWIT</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Qualified mentors for new CWS employees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Increase training in self-care, vicarious trauma</w:t>
            </w:r>
          </w:p>
        </w:tc>
      </w:tr>
      <w:tr w:rsidR="00D86A11">
        <w:tc>
          <w:tcPr>
            <w:tcW w:w="2181"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t>Caregivers: Working well?</w:t>
            </w:r>
          </w:p>
        </w:tc>
        <w:tc>
          <w:tcPr>
            <w:tcW w:w="7287"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CWS and Probation working together on RFA training</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Inclusive TDMs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GAP clinic for probate ct-great service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Pre training for caregivers by CWS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Training on trauma for caregivers; CPR, first aid, and other specific trainings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Comprehensive support services for kinship</w:t>
            </w:r>
          </w:p>
        </w:tc>
      </w:tr>
      <w:tr w:rsidR="00D86A11">
        <w:tc>
          <w:tcPr>
            <w:tcW w:w="2181"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t>Caregivers: Areas for Improvement?</w:t>
            </w:r>
          </w:p>
        </w:tc>
        <w:tc>
          <w:tcPr>
            <w:tcW w:w="7287"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financial support for informal caregivers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Supportive services (childcare, respite care)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Probation- more collaboration with relative support services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Kinship support during nontraditional hours and childcare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 xml:space="preserve">Need more caregiver training on how CWS &amp; CT and other systems work </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Transportation support for kids (transportation stipend?)</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social worker training around approved relative caregiver (ARC) funding and other funding</w:t>
            </w:r>
          </w:p>
          <w:p w:rsidR="00D86A11" w:rsidRDefault="00D86A11">
            <w:pPr>
              <w:spacing w:after="0" w:line="240" w:lineRule="auto"/>
              <w:ind w:left="360"/>
              <w:contextualSpacing/>
              <w:rPr>
                <w:rFonts w:eastAsia="Times New Roman"/>
                <w:color w:val="auto"/>
              </w:rPr>
            </w:pPr>
          </w:p>
        </w:tc>
      </w:tr>
      <w:tr w:rsidR="00D86A11">
        <w:tc>
          <w:tcPr>
            <w:tcW w:w="2181"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t>Service Providers: Working well?</w:t>
            </w:r>
          </w:p>
        </w:tc>
        <w:tc>
          <w:tcPr>
            <w:tcW w:w="7287"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Probation and CWS are cross trained; increase in training of resources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Collaboration between certain agencies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Expansion of collaborative efforts (more providers)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Utilizing service providers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SWIT</w:t>
            </w:r>
          </w:p>
        </w:tc>
      </w:tr>
      <w:tr w:rsidR="00D86A11">
        <w:tc>
          <w:tcPr>
            <w:tcW w:w="2181" w:type="dxa"/>
            <w:tcBorders>
              <w:top w:val="single" w:sz="18" w:space="0" w:color="943634"/>
              <w:left w:val="single" w:sz="18" w:space="0" w:color="943634"/>
              <w:bottom w:val="single" w:sz="18" w:space="0" w:color="943634"/>
              <w:right w:val="single" w:sz="18" w:space="0" w:color="943634"/>
            </w:tcBorders>
            <w:shd w:val="clear" w:color="auto" w:fill="012961"/>
            <w:vAlign w:val="center"/>
          </w:tcPr>
          <w:p w:rsidR="00D86A11" w:rsidRDefault="00D86A11">
            <w:pPr>
              <w:spacing w:after="0" w:line="240" w:lineRule="auto"/>
              <w:jc w:val="center"/>
              <w:rPr>
                <w:rFonts w:eastAsia="Times New Roman"/>
                <w:color w:val="FFFFFF"/>
                <w:sz w:val="20"/>
              </w:rPr>
            </w:pPr>
            <w:r>
              <w:rPr>
                <w:rFonts w:eastAsia="Times New Roman"/>
                <w:b/>
                <w:bCs/>
                <w:color w:val="FFFFFF"/>
                <w:sz w:val="28"/>
                <w:szCs w:val="28"/>
              </w:rPr>
              <w:lastRenderedPageBreak/>
              <w:t>Service Providers: Areas for Improvement?</w:t>
            </w:r>
          </w:p>
        </w:tc>
        <w:tc>
          <w:tcPr>
            <w:tcW w:w="7287" w:type="dxa"/>
            <w:tcBorders>
              <w:top w:val="single" w:sz="18" w:space="0" w:color="943634"/>
              <w:left w:val="single" w:sz="18" w:space="0" w:color="943634"/>
              <w:bottom w:val="single" w:sz="18" w:space="0" w:color="943634"/>
              <w:right w:val="single" w:sz="18" w:space="0" w:color="943634"/>
            </w:tcBorders>
            <w:shd w:val="clear" w:color="auto" w:fill="E4EDF8"/>
          </w:tcPr>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Accessing specialized services for parents and CWS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One stop shop for mental health services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Focus on results and outcomes versus attendance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collaboration between CWS, Probation, and schools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Updated services when programs change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overall cross training on what each agency provides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Consistency and access to training</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Service providers to know the roles and limits of CWS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More emphasis on trauma informed care</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Providers to provide more in depth trauma informed training to parents</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Service providers to provide more in home services and follow through</w:t>
            </w:r>
          </w:p>
          <w:p w:rsidR="000B1863" w:rsidRDefault="00D86A11">
            <w:pPr>
              <w:numPr>
                <w:ilvl w:val="0"/>
                <w:numId w:val="30"/>
              </w:numPr>
              <w:spacing w:after="0" w:line="240" w:lineRule="auto"/>
              <w:contextualSpacing/>
              <w:rPr>
                <w:rFonts w:eastAsia="Times New Roman"/>
                <w:color w:val="auto"/>
              </w:rPr>
            </w:pPr>
            <w:r>
              <w:rPr>
                <w:rFonts w:eastAsia="Times New Roman"/>
                <w:color w:val="auto"/>
                <w:sz w:val="20"/>
              </w:rPr>
              <w:t>Recruit service providers that are based throughout the county and address specific needs</w:t>
            </w:r>
          </w:p>
        </w:tc>
      </w:tr>
    </w:tbl>
    <w:p w:rsidR="00D86A11" w:rsidRDefault="00D86A11" w:rsidP="00D86A11">
      <w:pPr>
        <w:pStyle w:val="Heading2"/>
        <w:rPr>
          <w:rFonts w:ascii="Perpetua" w:hAnsi="Perpetua"/>
          <w:color w:val="013161"/>
        </w:rPr>
      </w:pPr>
    </w:p>
    <w:p w:rsidR="00D86A11" w:rsidRDefault="00D86A11" w:rsidP="00D86A11">
      <w:pPr>
        <w:pStyle w:val="Heading2"/>
        <w:rPr>
          <w:rFonts w:ascii="Perpetua" w:hAnsi="Perpetua"/>
          <w:color w:val="013161"/>
        </w:rPr>
      </w:pPr>
    </w:p>
    <w:p w:rsidR="00D86A11" w:rsidRDefault="00D86A11" w:rsidP="00D86A11">
      <w:pPr>
        <w:pStyle w:val="Heading2"/>
        <w:rPr>
          <w:rFonts w:ascii="Perpetua" w:hAnsi="Perpetua"/>
          <w:color w:val="013161"/>
          <w:sz w:val="28"/>
          <w:szCs w:val="32"/>
        </w:rPr>
      </w:pPr>
      <w:r>
        <w:rPr>
          <w:b w:val="0"/>
          <w:color w:val="013161"/>
        </w:rPr>
        <w:br w:type="page"/>
      </w:r>
      <w:r>
        <w:rPr>
          <w:rFonts w:ascii="Perpetua" w:hAnsi="Perpetua"/>
          <w:color w:val="013161"/>
          <w:sz w:val="28"/>
          <w:szCs w:val="32"/>
        </w:rPr>
        <w:lastRenderedPageBreak/>
        <w:t>Appendix K: Focus Group Protocol</w:t>
      </w:r>
    </w:p>
    <w:p w:rsidR="00D86A11" w:rsidRDefault="00D86A11" w:rsidP="00D86A11">
      <w:pPr>
        <w:pStyle w:val="Subhead1"/>
        <w:rPr>
          <w:rFonts w:ascii="Perpetua" w:hAnsi="Perpetua"/>
          <w:color w:val="365F91"/>
        </w:rPr>
      </w:pPr>
    </w:p>
    <w:p w:rsidR="00D86A11" w:rsidRDefault="00D86A11" w:rsidP="00D86A11">
      <w:r>
        <w:t xml:space="preserve">Today we are going to meet as a group for about two hours. The first 10 minutes will include an overview CWS and Probation services. We will use the remainder of the time to talk as a group about your experience with the services you receive (d) from San Diego County CWS and Juvenile Probation. If you have not had any direct involvement with either of these agencies, we would still appreciate your input. You may have different experiences but share an interest in the system as a whole and we need your input in order to improve the important work CWS and Juvenile Probation do to protect the well-being of children and families. You’re the experts here!  You know your experience best and we are here to listen to you. If any of the questions or terms we use are unclear or different from what you use, please let us know so we can make sure we are all on the same page. </w:t>
      </w:r>
    </w:p>
    <w:p w:rsidR="00D86A11" w:rsidRDefault="00D86A11" w:rsidP="00D86A11">
      <w:r>
        <w:t xml:space="preserve">Everything you say today is completely confidential. </w:t>
      </w:r>
      <w:r>
        <w:rPr>
          <w:b/>
        </w:rPr>
        <w:t xml:space="preserve">The only exception is if someone shares thoughts or plans about hurting themselves or others. </w:t>
      </w:r>
      <w:r>
        <w:t>Otherwise, your name will not be attached to what you say and will never be reported in a way that could identify you. The information that you provide with be shared confidentially (without using your name) with managers and staff to improve CWS services. In any publication, information shared by you will be identified as received from families served by CWS. With these things in mind, we encourage you to be open and honest today. Your time and input is really valuable; thank you for sharing it with us.</w:t>
      </w:r>
    </w:p>
    <w:p w:rsidR="00D86A11" w:rsidRDefault="00D86A11" w:rsidP="00D86A11">
      <w:r>
        <w:t xml:space="preserve">Please make yourself comfortable. </w:t>
      </w:r>
    </w:p>
    <w:p w:rsidR="00D86A11" w:rsidRDefault="00D86A11" w:rsidP="00D86A11">
      <w:r>
        <w:rPr>
          <w:b/>
        </w:rPr>
        <w:t xml:space="preserve">Overview of CWS and Probation is presented </w:t>
      </w:r>
      <w:r>
        <w:t>[Provide an overview of CWS/Probation services, including why permanency and reentry to care are important, and re-emphasize the importance of their participation.]</w:t>
      </w:r>
    </w:p>
    <w:p w:rsidR="00D86A11" w:rsidRDefault="00D86A11" w:rsidP="00D86A11">
      <w:pPr>
        <w:pStyle w:val="BodyText"/>
        <w:rPr>
          <w:rFonts w:ascii="Perpetua" w:hAnsi="Perpetua"/>
          <w:b/>
          <w:u w:val="single"/>
        </w:rPr>
      </w:pPr>
      <w:r>
        <w:rPr>
          <w:rFonts w:ascii="Perpetua" w:hAnsi="Perpetua"/>
          <w:b/>
          <w:u w:val="single"/>
        </w:rPr>
        <w:t>Begin focus group discussion</w:t>
      </w:r>
    </w:p>
    <w:p w:rsidR="00D86A11" w:rsidRDefault="00D86A11" w:rsidP="00D86A11">
      <w:pPr>
        <w:pStyle w:val="BodyText"/>
        <w:rPr>
          <w:rFonts w:ascii="Perpetua" w:hAnsi="Perpetua"/>
        </w:rPr>
      </w:pPr>
      <w:r>
        <w:rPr>
          <w:rFonts w:ascii="Perpetua" w:hAnsi="Perpetua"/>
        </w:rPr>
        <w:t xml:space="preserve">If it is alright with everyone, we would like to record the conversation. We want to be sure we note down everything you say and that we get it right!  </w:t>
      </w:r>
    </w:p>
    <w:p w:rsidR="00D86A11" w:rsidRDefault="00D86A11" w:rsidP="00D86A11">
      <w:pPr>
        <w:pStyle w:val="BodyText"/>
        <w:rPr>
          <w:rFonts w:ascii="Perpetua" w:hAnsi="Perpetua"/>
        </w:rPr>
      </w:pPr>
    </w:p>
    <w:p w:rsidR="00D86A11" w:rsidRDefault="00D86A11" w:rsidP="00D86A11">
      <w:pPr>
        <w:pStyle w:val="BodyText"/>
        <w:rPr>
          <w:rFonts w:ascii="Perpetua" w:hAnsi="Perpetua"/>
        </w:rPr>
      </w:pPr>
      <w:r>
        <w:rPr>
          <w:rFonts w:ascii="Perpetua" w:hAnsi="Perpetua"/>
        </w:rPr>
        <w:t>Before we get started I’d like to suggest some guidelines for our conversation today:</w:t>
      </w:r>
    </w:p>
    <w:p w:rsidR="000B1863" w:rsidRDefault="00D86A11">
      <w:pPr>
        <w:pStyle w:val="BodyText"/>
        <w:numPr>
          <w:ilvl w:val="0"/>
          <w:numId w:val="31"/>
        </w:numPr>
        <w:spacing w:after="0" w:line="240" w:lineRule="auto"/>
        <w:ind w:left="720"/>
        <w:rPr>
          <w:rFonts w:ascii="Perpetua" w:hAnsi="Perpetua"/>
        </w:rPr>
      </w:pPr>
      <w:r>
        <w:rPr>
          <w:rFonts w:ascii="Perpetua" w:hAnsi="Perpetua"/>
        </w:rPr>
        <w:t>There are no right or wrong answers.</w:t>
      </w:r>
    </w:p>
    <w:p w:rsidR="000B1863" w:rsidRDefault="00D86A11">
      <w:pPr>
        <w:pStyle w:val="BodyText"/>
        <w:numPr>
          <w:ilvl w:val="0"/>
          <w:numId w:val="31"/>
        </w:numPr>
        <w:spacing w:after="0" w:line="240" w:lineRule="auto"/>
        <w:ind w:left="720"/>
        <w:rPr>
          <w:rFonts w:ascii="Perpetua" w:hAnsi="Perpetua"/>
        </w:rPr>
      </w:pPr>
      <w:r>
        <w:rPr>
          <w:rFonts w:ascii="Perpetua" w:hAnsi="Perpetua"/>
        </w:rPr>
        <w:t>Everyone has an equal chance to speak.</w:t>
      </w:r>
    </w:p>
    <w:p w:rsidR="000B1863" w:rsidRDefault="00D86A11">
      <w:pPr>
        <w:pStyle w:val="BodyText"/>
        <w:numPr>
          <w:ilvl w:val="0"/>
          <w:numId w:val="31"/>
        </w:numPr>
        <w:spacing w:after="0" w:line="240" w:lineRule="auto"/>
        <w:ind w:left="720"/>
        <w:rPr>
          <w:rFonts w:ascii="Perpetua" w:hAnsi="Perpetua"/>
        </w:rPr>
      </w:pPr>
      <w:r>
        <w:rPr>
          <w:rFonts w:ascii="Perpetua" w:hAnsi="Perpetua"/>
        </w:rPr>
        <w:t>Every opinion counts – we are going to respect what everyone says.</w:t>
      </w:r>
    </w:p>
    <w:p w:rsidR="000B1863" w:rsidRDefault="00D86A11">
      <w:pPr>
        <w:pStyle w:val="BodyText"/>
        <w:numPr>
          <w:ilvl w:val="0"/>
          <w:numId w:val="31"/>
        </w:numPr>
        <w:spacing w:after="0" w:line="240" w:lineRule="auto"/>
        <w:ind w:left="720"/>
        <w:rPr>
          <w:rFonts w:ascii="Perpetua" w:hAnsi="Perpetua"/>
        </w:rPr>
      </w:pPr>
      <w:r>
        <w:rPr>
          <w:rFonts w:ascii="Perpetua" w:hAnsi="Perpetua"/>
        </w:rPr>
        <w:t xml:space="preserve">Please do not interrupt one another. It is important that you speak one at a time since _______ is going to be taking notes and that is impossible if we’re talking all at once!  </w:t>
      </w:r>
    </w:p>
    <w:p w:rsidR="000B1863" w:rsidRDefault="00D86A11">
      <w:pPr>
        <w:pStyle w:val="BodyText"/>
        <w:numPr>
          <w:ilvl w:val="0"/>
          <w:numId w:val="31"/>
        </w:numPr>
        <w:spacing w:after="0" w:line="240" w:lineRule="auto"/>
        <w:ind w:left="720"/>
        <w:rPr>
          <w:rFonts w:ascii="Perpetua" w:hAnsi="Perpetua"/>
        </w:rPr>
      </w:pPr>
      <w:r>
        <w:rPr>
          <w:rFonts w:ascii="Perpetua" w:hAnsi="Perpetua"/>
        </w:rPr>
        <w:t>What’s said here stays here meaning please done share what you hear with anyone outside this room.</w:t>
      </w:r>
    </w:p>
    <w:p w:rsidR="000B1863" w:rsidRDefault="00D86A11">
      <w:pPr>
        <w:pStyle w:val="BodyText"/>
        <w:numPr>
          <w:ilvl w:val="0"/>
          <w:numId w:val="31"/>
        </w:numPr>
        <w:spacing w:after="0" w:line="240" w:lineRule="auto"/>
        <w:ind w:left="720"/>
        <w:rPr>
          <w:rFonts w:ascii="Perpetua" w:hAnsi="Perpetua"/>
        </w:rPr>
      </w:pPr>
      <w:r>
        <w:rPr>
          <w:rFonts w:ascii="Perpetua" w:hAnsi="Perpetua"/>
        </w:rPr>
        <w:t>What’s said here does not affect the services you receive from CWS</w:t>
      </w:r>
    </w:p>
    <w:p w:rsidR="000B1863" w:rsidRDefault="00D86A11">
      <w:pPr>
        <w:pStyle w:val="BodyText"/>
        <w:numPr>
          <w:ilvl w:val="0"/>
          <w:numId w:val="31"/>
        </w:numPr>
        <w:spacing w:after="0" w:line="240" w:lineRule="auto"/>
        <w:ind w:left="720"/>
        <w:rPr>
          <w:rFonts w:ascii="Perpetua" w:hAnsi="Perpetua"/>
        </w:rPr>
      </w:pPr>
      <w:r>
        <w:rPr>
          <w:rFonts w:ascii="Perpetua" w:hAnsi="Perpetua"/>
        </w:rPr>
        <w:t xml:space="preserve">How do those guidelines sound to everyone?  Can we agree to those for today?  </w:t>
      </w:r>
    </w:p>
    <w:p w:rsidR="00D86A11" w:rsidRDefault="00D86A11" w:rsidP="00D86A11">
      <w:pPr>
        <w:pStyle w:val="BodyText"/>
        <w:rPr>
          <w:rFonts w:ascii="Perpetua" w:hAnsi="Perpetua"/>
        </w:rPr>
      </w:pPr>
    </w:p>
    <w:p w:rsidR="00D86A11" w:rsidRDefault="00D86A11" w:rsidP="00D86A11">
      <w:pPr>
        <w:pStyle w:val="BodyText"/>
        <w:rPr>
          <w:rFonts w:ascii="Perpetua" w:hAnsi="Perpetua"/>
        </w:rPr>
      </w:pPr>
      <w:r>
        <w:rPr>
          <w:rFonts w:ascii="Perpetua" w:hAnsi="Perpetua"/>
        </w:rPr>
        <w:t>Finally, before we get started, does anyone have any questions?</w:t>
      </w:r>
    </w:p>
    <w:p w:rsidR="00D86A11" w:rsidRDefault="00D86A11" w:rsidP="00D86A11">
      <w:pPr>
        <w:pStyle w:val="BodyText"/>
        <w:rPr>
          <w:rFonts w:ascii="Perpetua" w:hAnsi="Perpetua"/>
          <w:b/>
        </w:rPr>
      </w:pPr>
      <w:r>
        <w:rPr>
          <w:rFonts w:ascii="Perpetua" w:hAnsi="Perpetua"/>
          <w:b/>
        </w:rPr>
        <w:t xml:space="preserve">BEGIN NOTETAKING/RECORDING </w:t>
      </w:r>
    </w:p>
    <w:p w:rsidR="00D86A11" w:rsidRDefault="00D86A11" w:rsidP="00D86A11">
      <w:pPr>
        <w:rPr>
          <w:color w:val="FF0000"/>
        </w:rPr>
      </w:pPr>
      <w:r>
        <w:t xml:space="preserve">We would like to start out by asking you for your first name so that we can get familiar with each other. (Note down name and assign ID). Also, we have a one page quick survey that has some additional questions that will help us in gathering input for the CSA process. We will ask you to complete the survey prior to leaving the meeting today. </w:t>
      </w:r>
      <w:r>
        <w:rPr>
          <w:color w:val="FF0000"/>
        </w:rPr>
        <w:t>[Respondents complete survey prior to leaving the focus group. Focus group assistant is responsible for ensuring respondents return completed form.]</w:t>
      </w:r>
    </w:p>
    <w:p w:rsidR="00D86A11" w:rsidRDefault="00D86A11" w:rsidP="00D86A11">
      <w:pPr>
        <w:rPr>
          <w:b/>
          <w:szCs w:val="22"/>
        </w:rPr>
      </w:pPr>
      <w:r>
        <w:rPr>
          <w:b/>
          <w:szCs w:val="22"/>
        </w:rPr>
        <w:lastRenderedPageBreak/>
        <w:t>OVERALL EXPERIENCE</w:t>
      </w:r>
    </w:p>
    <w:p w:rsidR="000B1863" w:rsidRDefault="00D86A11">
      <w:pPr>
        <w:pStyle w:val="ColorfulList-Accent11"/>
        <w:numPr>
          <w:ilvl w:val="0"/>
          <w:numId w:val="32"/>
        </w:numPr>
        <w:spacing w:after="200" w:line="276" w:lineRule="auto"/>
      </w:pPr>
      <w:r>
        <w:rPr>
          <w:rFonts w:ascii="Perpetua" w:hAnsi="Perpetua"/>
        </w:rPr>
        <w:t>From your experience, what did you find most helpful about the social worker and/or probation staff involved with your family? This can include things like the way they explained your case to you, the way they spoke to your child(ren), the way they provided information on services and support options, or the way they handled your case overall, etc</w:t>
      </w:r>
      <w:r>
        <w:rPr>
          <w:rFonts w:ascii="Perpetua" w:hAnsi="Perpetua"/>
          <w:b/>
        </w:rPr>
        <w:t>. (Key Question)</w:t>
      </w:r>
    </w:p>
    <w:p w:rsidR="000B1863" w:rsidRDefault="00D86A11">
      <w:pPr>
        <w:pStyle w:val="ColorfulList-Accent11"/>
        <w:numPr>
          <w:ilvl w:val="1"/>
          <w:numId w:val="32"/>
        </w:numPr>
        <w:spacing w:after="200" w:line="276" w:lineRule="auto"/>
        <w:rPr>
          <w:b/>
        </w:rPr>
      </w:pPr>
      <w:r>
        <w:rPr>
          <w:rFonts w:ascii="Perpetua" w:hAnsi="Perpetua"/>
          <w:b/>
        </w:rPr>
        <w:t>Probes</w:t>
      </w:r>
    </w:p>
    <w:p w:rsidR="000B1863" w:rsidRDefault="00D86A11">
      <w:pPr>
        <w:pStyle w:val="ColorfulList-Accent11"/>
        <w:numPr>
          <w:ilvl w:val="2"/>
          <w:numId w:val="32"/>
        </w:numPr>
        <w:spacing w:after="200" w:line="276" w:lineRule="auto"/>
      </w:pPr>
      <w:r>
        <w:rPr>
          <w:rFonts w:ascii="Perpetua" w:hAnsi="Perpetua"/>
        </w:rPr>
        <w:t xml:space="preserve">Can you tell me how you were involved in deciding the </w:t>
      </w:r>
      <w:r>
        <w:rPr>
          <w:rFonts w:ascii="Perpetua" w:hAnsi="Perpetua"/>
          <w:b/>
        </w:rPr>
        <w:t>placement decisions</w:t>
      </w:r>
      <w:r>
        <w:rPr>
          <w:rFonts w:ascii="Perpetua" w:hAnsi="Perpetua"/>
        </w:rPr>
        <w:t xml:space="preserve"> of your child(ren)?  </w:t>
      </w:r>
    </w:p>
    <w:p w:rsidR="000B1863" w:rsidRDefault="00D86A11">
      <w:pPr>
        <w:pStyle w:val="ColorfulList-Accent11"/>
        <w:numPr>
          <w:ilvl w:val="2"/>
          <w:numId w:val="32"/>
        </w:numPr>
        <w:spacing w:after="200" w:line="276" w:lineRule="auto"/>
      </w:pPr>
      <w:r>
        <w:rPr>
          <w:rFonts w:ascii="Perpetua" w:hAnsi="Perpetua"/>
        </w:rPr>
        <w:t xml:space="preserve">Can you tell me how you were involved in deciding the </w:t>
      </w:r>
      <w:r>
        <w:rPr>
          <w:rFonts w:ascii="Perpetua" w:hAnsi="Perpetua"/>
          <w:b/>
        </w:rPr>
        <w:t xml:space="preserve">reunification decisions </w:t>
      </w:r>
      <w:r>
        <w:rPr>
          <w:rFonts w:ascii="Perpetua" w:hAnsi="Perpetua"/>
        </w:rPr>
        <w:t xml:space="preserve">of your child(ren)?  </w:t>
      </w:r>
    </w:p>
    <w:p w:rsidR="000B1863" w:rsidRDefault="00D86A11">
      <w:pPr>
        <w:pStyle w:val="ColorfulList-Accent11"/>
        <w:numPr>
          <w:ilvl w:val="2"/>
          <w:numId w:val="32"/>
        </w:numPr>
        <w:spacing w:after="200" w:line="276" w:lineRule="auto"/>
      </w:pPr>
      <w:r>
        <w:rPr>
          <w:rFonts w:ascii="Perpetua" w:hAnsi="Perpetua"/>
        </w:rPr>
        <w:t>What should CWS and /or probation have done differently?</w:t>
      </w:r>
    </w:p>
    <w:p w:rsidR="000B1863" w:rsidRDefault="00D86A11">
      <w:pPr>
        <w:pStyle w:val="ColorfulList-Accent11"/>
        <w:numPr>
          <w:ilvl w:val="0"/>
          <w:numId w:val="32"/>
        </w:numPr>
        <w:spacing w:after="200" w:line="276" w:lineRule="auto"/>
      </w:pPr>
      <w:r>
        <w:rPr>
          <w:rFonts w:ascii="Perpetua" w:hAnsi="Perpetua"/>
        </w:rPr>
        <w:t xml:space="preserve">In your opinion, what can CWS social workers and/or probation staff do to work better with families or the community? </w:t>
      </w:r>
      <w:r>
        <w:rPr>
          <w:rFonts w:ascii="Perpetua" w:hAnsi="Perpetua"/>
          <w:b/>
        </w:rPr>
        <w:t xml:space="preserve">  (Key Question)</w:t>
      </w:r>
    </w:p>
    <w:p w:rsidR="000B1863" w:rsidRDefault="00D86A11">
      <w:pPr>
        <w:pStyle w:val="ColorfulList-Accent11"/>
        <w:numPr>
          <w:ilvl w:val="0"/>
          <w:numId w:val="32"/>
        </w:numPr>
        <w:spacing w:after="200" w:line="276" w:lineRule="auto"/>
        <w:rPr>
          <w:color w:val="1F497D"/>
        </w:rPr>
      </w:pPr>
      <w:r>
        <w:rPr>
          <w:rFonts w:ascii="Perpetua" w:hAnsi="Perpetua"/>
        </w:rPr>
        <w:t>Is there anything that would help families not have multiple involvements with Probation or CWS?  (</w:t>
      </w:r>
      <w:r>
        <w:rPr>
          <w:rFonts w:ascii="Perpetua" w:hAnsi="Perpetua"/>
          <w:b/>
        </w:rPr>
        <w:t>Key Question)</w:t>
      </w:r>
    </w:p>
    <w:p w:rsidR="00D86A11" w:rsidRDefault="00D86A11" w:rsidP="00D86A11">
      <w:pPr>
        <w:rPr>
          <w:b/>
          <w:szCs w:val="22"/>
        </w:rPr>
      </w:pPr>
      <w:r>
        <w:rPr>
          <w:b/>
          <w:szCs w:val="22"/>
        </w:rPr>
        <w:t>SERVICE ARRAY</w:t>
      </w:r>
    </w:p>
    <w:p w:rsidR="000B1863" w:rsidRDefault="00D86A11">
      <w:pPr>
        <w:pStyle w:val="ColorfulList-Accent11"/>
        <w:numPr>
          <w:ilvl w:val="0"/>
          <w:numId w:val="32"/>
        </w:numPr>
        <w:spacing w:after="200" w:line="276" w:lineRule="auto"/>
        <w:rPr>
          <w:b/>
        </w:rPr>
      </w:pPr>
      <w:r>
        <w:rPr>
          <w:rFonts w:ascii="Perpetua" w:hAnsi="Perpetua"/>
        </w:rPr>
        <w:t>What services do you believe are</w:t>
      </w:r>
      <w:r>
        <w:rPr>
          <w:rFonts w:ascii="Perpetua" w:hAnsi="Perpetua"/>
          <w:b/>
        </w:rPr>
        <w:t xml:space="preserve"> </w:t>
      </w:r>
      <w:r>
        <w:rPr>
          <w:rFonts w:ascii="Perpetua" w:hAnsi="Perpetua"/>
          <w:b/>
          <w:u w:val="single"/>
        </w:rPr>
        <w:t>most</w:t>
      </w:r>
      <w:r>
        <w:rPr>
          <w:rFonts w:ascii="Perpetua" w:hAnsi="Perpetua"/>
          <w:u w:val="single"/>
        </w:rPr>
        <w:t xml:space="preserve"> </w:t>
      </w:r>
      <w:r>
        <w:rPr>
          <w:rFonts w:ascii="Perpetua" w:hAnsi="Perpetua"/>
        </w:rPr>
        <w:t xml:space="preserve">helpful to families and your community?  </w:t>
      </w:r>
      <w:r>
        <w:rPr>
          <w:rFonts w:ascii="Perpetua" w:hAnsi="Perpetua"/>
          <w:b/>
        </w:rPr>
        <w:t xml:space="preserve">(Key Question) [Note to facilitator, use the following prompts if no response from participants] </w:t>
      </w:r>
      <w:r>
        <w:rPr>
          <w:rFonts w:ascii="Perpetua" w:hAnsi="Perpetua"/>
          <w:b/>
        </w:rPr>
        <w:tab/>
      </w:r>
    </w:p>
    <w:p w:rsidR="000B1863" w:rsidRDefault="00D86A11">
      <w:pPr>
        <w:pStyle w:val="ColorfulList-Accent11"/>
        <w:numPr>
          <w:ilvl w:val="1"/>
          <w:numId w:val="32"/>
        </w:numPr>
        <w:spacing w:after="200" w:line="276" w:lineRule="auto"/>
      </w:pPr>
      <w:r>
        <w:rPr>
          <w:rFonts w:ascii="Perpetua" w:hAnsi="Perpetua"/>
        </w:rPr>
        <w:t>What services are needed to improve placement decisions?</w:t>
      </w:r>
    </w:p>
    <w:p w:rsidR="000B1863" w:rsidRDefault="00D86A11">
      <w:pPr>
        <w:pStyle w:val="ColorfulList-Accent11"/>
        <w:numPr>
          <w:ilvl w:val="1"/>
          <w:numId w:val="32"/>
        </w:numPr>
        <w:spacing w:after="200" w:line="276" w:lineRule="auto"/>
      </w:pPr>
      <w:r>
        <w:rPr>
          <w:rFonts w:ascii="Perpetua" w:hAnsi="Perpetua"/>
        </w:rPr>
        <w:t>What services are needed to improve family reunification?</w:t>
      </w:r>
    </w:p>
    <w:p w:rsidR="000B1863" w:rsidRDefault="00D86A11">
      <w:pPr>
        <w:pStyle w:val="ColorfulList-Accent11"/>
        <w:numPr>
          <w:ilvl w:val="1"/>
          <w:numId w:val="32"/>
        </w:numPr>
        <w:spacing w:after="200" w:line="276" w:lineRule="auto"/>
      </w:pPr>
      <w:r>
        <w:rPr>
          <w:rFonts w:ascii="Perpetua" w:hAnsi="Perpetua"/>
        </w:rPr>
        <w:t>What services are needed to improve families’ ability to care for their children and minimize the likelihood of future involvement with CWS or Probation?</w:t>
      </w:r>
    </w:p>
    <w:p w:rsidR="000B1863" w:rsidRDefault="00D86A11">
      <w:pPr>
        <w:pStyle w:val="ColorfulList-Accent11"/>
        <w:numPr>
          <w:ilvl w:val="0"/>
          <w:numId w:val="32"/>
        </w:numPr>
        <w:spacing w:after="200" w:line="276" w:lineRule="auto"/>
      </w:pPr>
      <w:r>
        <w:rPr>
          <w:rFonts w:ascii="Perpetua" w:hAnsi="Perpetua"/>
        </w:rPr>
        <w:t xml:space="preserve"> What services do you believe are </w:t>
      </w:r>
      <w:r>
        <w:rPr>
          <w:rFonts w:ascii="Perpetua" w:hAnsi="Perpetua"/>
          <w:b/>
          <w:u w:val="single"/>
        </w:rPr>
        <w:t xml:space="preserve">least </w:t>
      </w:r>
      <w:r>
        <w:rPr>
          <w:rFonts w:ascii="Perpetua" w:hAnsi="Perpetua"/>
        </w:rPr>
        <w:t xml:space="preserve">helpful to families and communities?  </w:t>
      </w:r>
      <w:r>
        <w:rPr>
          <w:rFonts w:ascii="Perpetua" w:hAnsi="Perpetua"/>
          <w:b/>
        </w:rPr>
        <w:t>(Key Question)</w:t>
      </w:r>
    </w:p>
    <w:p w:rsidR="000B1863" w:rsidRDefault="00D86A11">
      <w:pPr>
        <w:pStyle w:val="ColorfulList-Accent11"/>
        <w:numPr>
          <w:ilvl w:val="0"/>
          <w:numId w:val="32"/>
        </w:numPr>
        <w:spacing w:after="200" w:line="276" w:lineRule="auto"/>
      </w:pPr>
      <w:r>
        <w:rPr>
          <w:rFonts w:ascii="Perpetua" w:hAnsi="Perpetua"/>
        </w:rPr>
        <w:t>In addition to the services you received were there any other services that you believe would have been more helpful that were not provided?</w:t>
      </w:r>
      <w:r>
        <w:rPr>
          <w:rFonts w:ascii="Perpetua" w:hAnsi="Perpetua"/>
          <w:b/>
        </w:rPr>
        <w:t xml:space="preserve"> (Key Question)</w:t>
      </w:r>
    </w:p>
    <w:p w:rsidR="000B1863" w:rsidRDefault="00D86A11">
      <w:pPr>
        <w:pStyle w:val="ColorfulList-Accent11"/>
        <w:numPr>
          <w:ilvl w:val="1"/>
          <w:numId w:val="32"/>
        </w:numPr>
        <w:spacing w:after="200"/>
      </w:pPr>
      <w:r>
        <w:rPr>
          <w:rFonts w:ascii="Perpetua" w:hAnsi="Perpetua"/>
        </w:rPr>
        <w:t xml:space="preserve">[PROBE] What services are lacking in your community? </w:t>
      </w:r>
    </w:p>
    <w:p w:rsidR="000B1863" w:rsidRDefault="00D86A11">
      <w:pPr>
        <w:pStyle w:val="ColorfulList-Accent11"/>
        <w:numPr>
          <w:ilvl w:val="0"/>
          <w:numId w:val="32"/>
        </w:numPr>
        <w:spacing w:after="200" w:line="276" w:lineRule="auto"/>
      </w:pPr>
      <w:r>
        <w:rPr>
          <w:rFonts w:ascii="Perpetua" w:hAnsi="Perpetua"/>
        </w:rPr>
        <w:t>How does the community see the services provided by CWS and/or Probation?</w:t>
      </w:r>
      <w:r>
        <w:rPr>
          <w:rFonts w:ascii="Perpetua" w:hAnsi="Perpetua"/>
          <w:b/>
        </w:rPr>
        <w:t xml:space="preserve"> (Key Question)</w:t>
      </w:r>
    </w:p>
    <w:p w:rsidR="00D86A11" w:rsidRDefault="00D86A11" w:rsidP="00D86A11">
      <w:pPr>
        <w:pStyle w:val="Body"/>
        <w:numPr>
          <w:ilvl w:val="0"/>
          <w:numId w:val="32"/>
        </w:numPr>
        <w:rPr>
          <w:rFonts w:ascii="Perpetua" w:eastAsia="Calibri" w:hAnsi="Perpetua"/>
          <w:b/>
          <w:color w:val="auto"/>
          <w:sz w:val="22"/>
          <w:szCs w:val="22"/>
        </w:rPr>
      </w:pPr>
      <w:r>
        <w:rPr>
          <w:rFonts w:ascii="Perpetua" w:eastAsia="Calibri" w:hAnsi="Perpetua"/>
          <w:color w:val="auto"/>
          <w:sz w:val="22"/>
          <w:szCs w:val="22"/>
        </w:rPr>
        <w:t>If you could improve anything about CWS and Probation services what would it be?</w:t>
      </w:r>
      <w:r>
        <w:rPr>
          <w:rFonts w:ascii="Perpetua" w:hAnsi="Perpetua"/>
          <w:b/>
          <w:sz w:val="22"/>
          <w:szCs w:val="22"/>
        </w:rPr>
        <w:t xml:space="preserve"> </w:t>
      </w:r>
      <w:r>
        <w:rPr>
          <w:rFonts w:ascii="Perpetua" w:eastAsia="Calibri" w:hAnsi="Perpetua"/>
          <w:b/>
          <w:color w:val="auto"/>
          <w:sz w:val="22"/>
          <w:szCs w:val="22"/>
        </w:rPr>
        <w:t>(Key Question)</w:t>
      </w:r>
    </w:p>
    <w:p w:rsidR="000B1863" w:rsidRDefault="00D86A11">
      <w:pPr>
        <w:pStyle w:val="ColorfulList-Accent11"/>
        <w:numPr>
          <w:ilvl w:val="0"/>
          <w:numId w:val="32"/>
        </w:numPr>
        <w:spacing w:after="200"/>
      </w:pPr>
      <w:r>
        <w:rPr>
          <w:rFonts w:ascii="Perpetua" w:hAnsi="Perpetua"/>
        </w:rPr>
        <w:t xml:space="preserve">Anything else that you would like to add that we have not already talked about? </w:t>
      </w:r>
    </w:p>
    <w:p w:rsidR="00D86A11" w:rsidRDefault="00D86A11" w:rsidP="00D86A11">
      <w:pPr>
        <w:tabs>
          <w:tab w:val="left" w:pos="3555"/>
        </w:tabs>
      </w:pPr>
    </w:p>
    <w:p w:rsidR="00D86A11" w:rsidRDefault="00D86A11" w:rsidP="00D86A11">
      <w:pPr>
        <w:rPr>
          <w:b/>
        </w:rPr>
      </w:pPr>
      <w:r>
        <w:rPr>
          <w:b/>
        </w:rPr>
        <w:t>CLOSING</w:t>
      </w:r>
    </w:p>
    <w:p w:rsidR="00D86A11" w:rsidRDefault="00D86A11" w:rsidP="00D86A11">
      <w:r>
        <w:t xml:space="preserve">Provide information on how focus group participants can stay involved in the CSA process </w:t>
      </w:r>
    </w:p>
    <w:p w:rsidR="00D86A11" w:rsidRDefault="00D86A11" w:rsidP="00D86A11">
      <w:pPr>
        <w:spacing w:after="200"/>
      </w:pPr>
      <w:r>
        <w:br w:type="page"/>
      </w:r>
    </w:p>
    <w:p w:rsidR="00D86A11" w:rsidRDefault="00D86A11" w:rsidP="00D86A11">
      <w:pPr>
        <w:pStyle w:val="Heading2"/>
        <w:rPr>
          <w:rFonts w:ascii="Perpetua" w:hAnsi="Perpetua"/>
          <w:color w:val="013161"/>
          <w:sz w:val="28"/>
          <w:szCs w:val="32"/>
        </w:rPr>
      </w:pPr>
      <w:r>
        <w:rPr>
          <w:rFonts w:ascii="Perpetua" w:hAnsi="Perpetua"/>
          <w:color w:val="013161"/>
          <w:sz w:val="28"/>
          <w:szCs w:val="32"/>
        </w:rPr>
        <w:lastRenderedPageBreak/>
        <w:t>Appendix L: Focus Group Feedback</w:t>
      </w:r>
    </w:p>
    <w:p w:rsidR="00D86A11" w:rsidRDefault="00D86A11" w:rsidP="00D86A11">
      <w:pPr>
        <w:pStyle w:val="Heading1"/>
        <w:rPr>
          <w:rFonts w:ascii="Perpetua" w:hAnsi="Perpetua"/>
          <w:color w:val="F6872B"/>
          <w:sz w:val="24"/>
        </w:rPr>
      </w:pPr>
      <w:r>
        <w:rPr>
          <w:rFonts w:ascii="Perpetua" w:hAnsi="Perpetua"/>
          <w:color w:val="F6872B"/>
          <w:sz w:val="24"/>
        </w:rPr>
        <w:t>Youth Roundtable</w:t>
      </w:r>
    </w:p>
    <w:p w:rsidR="00D86A11" w:rsidRDefault="00D86A11" w:rsidP="00D86A11">
      <w:pPr>
        <w:pStyle w:val="Heading2"/>
        <w:rPr>
          <w:rFonts w:ascii="Perpetua" w:hAnsi="Perpetua"/>
          <w:color w:val="auto"/>
        </w:rPr>
      </w:pPr>
      <w:r>
        <w:rPr>
          <w:rFonts w:ascii="Perpetua" w:hAnsi="Perpetua"/>
          <w:color w:val="auto"/>
        </w:rPr>
        <w:t>Impressions</w:t>
      </w:r>
    </w:p>
    <w:p w:rsidR="000B1863" w:rsidRDefault="00D86A11">
      <w:pPr>
        <w:pStyle w:val="ColorfulList-Accent11"/>
        <w:numPr>
          <w:ilvl w:val="0"/>
          <w:numId w:val="33"/>
        </w:numPr>
        <w:spacing w:after="200" w:line="276" w:lineRule="auto"/>
      </w:pPr>
      <w:r>
        <w:rPr>
          <w:rFonts w:ascii="Perpetua" w:eastAsia="Perpetua" w:hAnsi="Perpetua"/>
          <w:color w:val="000000"/>
          <w:sz w:val="22"/>
        </w:rPr>
        <w:t xml:space="preserve">Participants expressed concerned with the “root issue” not being fixed when a child is removed from an unstable environment (trauma issues are not resolved nor is there follow-up through their years in and out of the system). </w:t>
      </w:r>
    </w:p>
    <w:p w:rsidR="000B1863" w:rsidRDefault="00D86A11">
      <w:pPr>
        <w:pStyle w:val="ColorfulList-Accent11"/>
        <w:numPr>
          <w:ilvl w:val="1"/>
          <w:numId w:val="34"/>
        </w:numPr>
        <w:spacing w:after="200" w:line="276" w:lineRule="auto"/>
        <w:rPr>
          <w:b/>
          <w:i/>
          <w:color w:val="1F497D"/>
        </w:rPr>
      </w:pPr>
      <w:r>
        <w:rPr>
          <w:rFonts w:ascii="Perpetua" w:hAnsi="Perpetua"/>
          <w:b/>
          <w:i/>
          <w:color w:val="1F497D"/>
        </w:rPr>
        <w:t>“I didn’t want to go back to my mom and I was sent back. Not even after a month, I was removed with a 5150 and had to go to psych ward and I was back in my group home and when I was back home, I made things worse for myself. I was self-harming. I was disrespectful to teachers and didn’t even settle and unpack and I was back into the system.”</w:t>
      </w:r>
    </w:p>
    <w:p w:rsidR="000B1863" w:rsidRDefault="000B1863">
      <w:pPr>
        <w:pStyle w:val="ColorfulList-Accent11"/>
        <w:spacing w:after="200" w:line="276" w:lineRule="auto"/>
        <w:ind w:left="1440"/>
        <w:rPr>
          <w:b/>
          <w:i/>
          <w:color w:val="1F497D"/>
        </w:rPr>
      </w:pPr>
    </w:p>
    <w:p w:rsidR="000B1863" w:rsidRDefault="00D86A11">
      <w:pPr>
        <w:pStyle w:val="ColorfulList-Accent11"/>
        <w:numPr>
          <w:ilvl w:val="0"/>
          <w:numId w:val="33"/>
        </w:numPr>
        <w:spacing w:after="200" w:line="276" w:lineRule="auto"/>
      </w:pPr>
      <w:r>
        <w:rPr>
          <w:rFonts w:ascii="Perpetua" w:eastAsia="Perpetua" w:hAnsi="Perpetua"/>
          <w:color w:val="000000"/>
          <w:sz w:val="22"/>
        </w:rPr>
        <w:t>The social workers who took healthy flexibility in policies/guidelines in order to help maintain family stability seemed to have a positive impact on participants</w:t>
      </w:r>
    </w:p>
    <w:p w:rsidR="000B1863" w:rsidRDefault="00D86A11">
      <w:pPr>
        <w:pStyle w:val="ColorfulList-Accent11"/>
        <w:numPr>
          <w:ilvl w:val="1"/>
          <w:numId w:val="34"/>
        </w:numPr>
        <w:spacing w:after="200" w:line="276" w:lineRule="auto"/>
        <w:rPr>
          <w:b/>
          <w:i/>
          <w:color w:val="1F497D"/>
        </w:rPr>
      </w:pPr>
      <w:r>
        <w:rPr>
          <w:rFonts w:ascii="Perpetua" w:hAnsi="Perpetua"/>
          <w:b/>
          <w:i/>
          <w:color w:val="1F497D"/>
        </w:rPr>
        <w:t>“Many of my workers treated us [the family] like their own, made it feel like we were more connected with each other. Rather than being scared when the social worker came to my house, they played with us.”</w:t>
      </w:r>
    </w:p>
    <w:p w:rsidR="000B1863" w:rsidRDefault="000B1863">
      <w:pPr>
        <w:pStyle w:val="ColorfulList-Accent11"/>
        <w:spacing w:after="200" w:line="276" w:lineRule="auto"/>
        <w:ind w:left="1440"/>
        <w:rPr>
          <w:b/>
          <w:i/>
          <w:color w:val="1F497D"/>
        </w:rPr>
      </w:pPr>
    </w:p>
    <w:p w:rsidR="000B1863" w:rsidRDefault="00D86A11">
      <w:pPr>
        <w:pStyle w:val="ColorfulList-Accent11"/>
        <w:numPr>
          <w:ilvl w:val="0"/>
          <w:numId w:val="33"/>
        </w:numPr>
        <w:spacing w:after="200" w:line="276" w:lineRule="auto"/>
      </w:pPr>
      <w:r>
        <w:rPr>
          <w:rFonts w:ascii="Perpetua" w:eastAsia="Perpetua" w:hAnsi="Perpetua"/>
          <w:color w:val="000000"/>
          <w:sz w:val="22"/>
        </w:rPr>
        <w:t>Youth appreciated being included in placement decision conversations (TDMS/Family Meetings) but noted they did not always feel comfortable openly talking about their placements when certain people were brought to the table. At the same time, some youth felt they were not listened too when they vocalized their concern.</w:t>
      </w:r>
    </w:p>
    <w:p w:rsidR="000B1863" w:rsidRDefault="000B1863">
      <w:pPr>
        <w:pStyle w:val="ColorfulList-Accent11"/>
        <w:spacing w:after="200" w:line="276" w:lineRule="auto"/>
        <w:ind w:left="0"/>
        <w:rPr>
          <w:spacing w:val="20"/>
          <w:sz w:val="24"/>
        </w:rPr>
      </w:pPr>
    </w:p>
    <w:p w:rsidR="000B1863" w:rsidRDefault="00D86A11">
      <w:pPr>
        <w:pStyle w:val="ColorfulList-Accent11"/>
        <w:numPr>
          <w:ilvl w:val="0"/>
          <w:numId w:val="33"/>
        </w:numPr>
        <w:spacing w:after="200" w:line="276" w:lineRule="auto"/>
      </w:pPr>
      <w:r>
        <w:rPr>
          <w:rFonts w:ascii="Perpetua" w:eastAsia="Perpetua" w:hAnsi="Perpetua"/>
          <w:color w:val="000000"/>
          <w:sz w:val="22"/>
        </w:rPr>
        <w:t>The resources offered to youth in the system were helpful, some of these resources included: counseling/therapy, substance abuse treatment, Breaking Cycles instead of traditional probation, and youth empowerment groups</w:t>
      </w:r>
    </w:p>
    <w:p w:rsidR="000B1863" w:rsidRDefault="00D86A11">
      <w:pPr>
        <w:pStyle w:val="ColorfulList-Accent11"/>
        <w:numPr>
          <w:ilvl w:val="1"/>
          <w:numId w:val="34"/>
        </w:numPr>
        <w:spacing w:after="200" w:line="276" w:lineRule="auto"/>
      </w:pPr>
      <w:r>
        <w:rPr>
          <w:rFonts w:ascii="Perpetua" w:eastAsia="Perpetua" w:hAnsi="Perpetua"/>
          <w:color w:val="000000"/>
          <w:sz w:val="22"/>
        </w:rPr>
        <w:t xml:space="preserve">Youth indicated they had access to a large array of services. However, there was no follow-up to ask them about the effectiveness of the services or how they were working for them </w:t>
      </w:r>
    </w:p>
    <w:p w:rsidR="000B1863" w:rsidRDefault="00D86A11">
      <w:pPr>
        <w:pStyle w:val="ColorfulList-Accent11"/>
        <w:numPr>
          <w:ilvl w:val="1"/>
          <w:numId w:val="34"/>
        </w:numPr>
        <w:spacing w:after="200" w:line="276" w:lineRule="auto"/>
      </w:pPr>
      <w:r>
        <w:rPr>
          <w:rFonts w:ascii="Perpetua" w:eastAsia="Perpetua" w:hAnsi="Perpetua"/>
          <w:color w:val="000000"/>
          <w:sz w:val="22"/>
        </w:rPr>
        <w:t>There was a concern/misunderstanding regarding confidentiality between youth, community resources, and CWS staff. A participant noted they would be referred to resources and CWS would obtain information they believed to be confidential (between the youth and the provider) to inform their case; thus, negatively impacting the trust they had for CWS</w:t>
      </w:r>
    </w:p>
    <w:p w:rsidR="000B1863" w:rsidRDefault="000B1863">
      <w:pPr>
        <w:pStyle w:val="ColorfulList-Accent11"/>
        <w:spacing w:after="200" w:line="276" w:lineRule="auto"/>
        <w:ind w:left="1080"/>
        <w:rPr>
          <w:spacing w:val="20"/>
          <w:sz w:val="24"/>
        </w:rPr>
      </w:pPr>
    </w:p>
    <w:p w:rsidR="000B1863" w:rsidRDefault="00D86A11">
      <w:pPr>
        <w:pStyle w:val="ColorfulList-Accent11"/>
        <w:numPr>
          <w:ilvl w:val="0"/>
          <w:numId w:val="35"/>
        </w:numPr>
        <w:spacing w:after="200" w:line="276" w:lineRule="auto"/>
      </w:pPr>
      <w:r>
        <w:rPr>
          <w:rFonts w:ascii="Perpetua" w:eastAsia="Perpetua" w:hAnsi="Perpetua"/>
          <w:color w:val="000000"/>
          <w:sz w:val="22"/>
        </w:rPr>
        <w:t>Participants agreed the “body checks” are uncomfortable, violating and they did not always feel they were clearly told why pictures of their bodies were being taken</w:t>
      </w:r>
    </w:p>
    <w:p w:rsidR="000B1863" w:rsidRDefault="000B1863">
      <w:pPr>
        <w:pStyle w:val="ColorfulList-Accent11"/>
        <w:spacing w:after="200" w:line="276" w:lineRule="auto"/>
        <w:rPr>
          <w:spacing w:val="20"/>
          <w:sz w:val="24"/>
        </w:rPr>
      </w:pPr>
    </w:p>
    <w:p w:rsidR="000B1863" w:rsidRDefault="00D86A11">
      <w:pPr>
        <w:pStyle w:val="ColorfulList-Accent11"/>
        <w:numPr>
          <w:ilvl w:val="0"/>
          <w:numId w:val="35"/>
        </w:numPr>
        <w:spacing w:after="200" w:line="276" w:lineRule="auto"/>
      </w:pPr>
      <w:r>
        <w:rPr>
          <w:rFonts w:ascii="Perpetua" w:eastAsia="Perpetua" w:hAnsi="Perpetua"/>
          <w:color w:val="000000"/>
          <w:sz w:val="22"/>
        </w:rPr>
        <w:t>Concerns expressed (entire family present) with the way the Gang Suppression Unit enters a home and is not considerate of other family members present</w:t>
      </w:r>
    </w:p>
    <w:p w:rsidR="000B1863" w:rsidRDefault="00D86A11">
      <w:pPr>
        <w:pStyle w:val="ColorfulList-Accent11"/>
        <w:numPr>
          <w:ilvl w:val="1"/>
          <w:numId w:val="34"/>
        </w:numPr>
        <w:spacing w:after="200" w:line="276" w:lineRule="auto"/>
      </w:pPr>
      <w:r>
        <w:rPr>
          <w:rFonts w:ascii="Perpetua" w:eastAsia="Perpetua" w:hAnsi="Perpetua"/>
          <w:color w:val="000000"/>
          <w:sz w:val="22"/>
        </w:rPr>
        <w:t>Family shared GSU will enter the home for an older sibling and will arrest both the siblings with a juvenile justice background in front of younger siblings causing the younger siblings to break down and cry</w:t>
      </w:r>
    </w:p>
    <w:p w:rsidR="000B1863" w:rsidRDefault="00D86A11">
      <w:pPr>
        <w:pStyle w:val="ColorfulList-Accent11"/>
        <w:numPr>
          <w:ilvl w:val="0"/>
          <w:numId w:val="36"/>
        </w:numPr>
        <w:spacing w:after="200" w:line="276" w:lineRule="auto"/>
      </w:pPr>
      <w:r>
        <w:rPr>
          <w:rFonts w:ascii="Perpetua" w:eastAsia="Perpetua" w:hAnsi="Perpetua"/>
          <w:color w:val="000000"/>
          <w:sz w:val="22"/>
        </w:rPr>
        <w:t>Youth noted that when living in group homes the kids that “act out” received more services and mentioned the staff was not always the most helpful, approachable nor appropriate to deal with their needs</w:t>
      </w:r>
    </w:p>
    <w:p w:rsidR="000B1863" w:rsidRDefault="00D86A11">
      <w:pPr>
        <w:pStyle w:val="ColorfulList-Accent11"/>
        <w:numPr>
          <w:ilvl w:val="1"/>
          <w:numId w:val="34"/>
        </w:numPr>
        <w:spacing w:after="200" w:line="276" w:lineRule="auto"/>
        <w:rPr>
          <w:b/>
          <w:i/>
          <w:color w:val="1F497D"/>
        </w:rPr>
      </w:pPr>
      <w:r>
        <w:rPr>
          <w:rFonts w:ascii="Perpetua" w:hAnsi="Perpetua"/>
          <w:b/>
          <w:i/>
          <w:color w:val="1F497D"/>
        </w:rPr>
        <w:lastRenderedPageBreak/>
        <w:t>“The kids acting out are the ones getting help and the things they need. I learned to act out and I got all the resources and they look at you and say “you’re an at risk kid” and it hurts.”</w:t>
      </w:r>
    </w:p>
    <w:p w:rsidR="000B1863" w:rsidRDefault="000B1863">
      <w:pPr>
        <w:pStyle w:val="ColorfulList-Accent11"/>
        <w:spacing w:after="200" w:line="276" w:lineRule="auto"/>
        <w:ind w:left="1440"/>
        <w:rPr>
          <w:b/>
          <w:i/>
          <w:color w:val="1F497D"/>
        </w:rPr>
      </w:pPr>
    </w:p>
    <w:p w:rsidR="000B1863" w:rsidRDefault="00D86A11">
      <w:pPr>
        <w:pStyle w:val="ColorfulList-Accent11"/>
        <w:numPr>
          <w:ilvl w:val="1"/>
          <w:numId w:val="34"/>
        </w:numPr>
        <w:spacing w:after="200" w:line="276" w:lineRule="auto"/>
        <w:rPr>
          <w:b/>
          <w:i/>
          <w:color w:val="1F497D"/>
        </w:rPr>
      </w:pPr>
      <w:r>
        <w:rPr>
          <w:rFonts w:ascii="Perpetua" w:hAnsi="Perpetua"/>
          <w:b/>
          <w:i/>
          <w:color w:val="1F497D"/>
        </w:rPr>
        <w:t>“I feel like the group home staff are unfit to work there I can say they made It harder for me and they would eat my food and I didn’t get many visits and when I got food I didn’t want them to eat it. “</w:t>
      </w:r>
    </w:p>
    <w:p w:rsidR="00D86A11" w:rsidRDefault="00D86A11" w:rsidP="00D86A11">
      <w:pPr>
        <w:pStyle w:val="Heading2"/>
        <w:rPr>
          <w:rFonts w:ascii="Perpetua" w:hAnsi="Perpetua"/>
          <w:color w:val="auto"/>
        </w:rPr>
      </w:pPr>
      <w:r>
        <w:rPr>
          <w:rFonts w:ascii="Perpetua" w:hAnsi="Perpetua"/>
          <w:color w:val="auto"/>
        </w:rPr>
        <w:t>Recommendations</w:t>
      </w:r>
    </w:p>
    <w:p w:rsidR="000B1863" w:rsidRDefault="00D86A11">
      <w:pPr>
        <w:pStyle w:val="ColorfulList-Accent11"/>
        <w:numPr>
          <w:ilvl w:val="0"/>
          <w:numId w:val="36"/>
        </w:numPr>
        <w:spacing w:after="200" w:line="276" w:lineRule="auto"/>
      </w:pPr>
      <w:r>
        <w:rPr>
          <w:rFonts w:ascii="Perpetua" w:eastAsia="Perpetua" w:hAnsi="Perpetua"/>
          <w:color w:val="000000"/>
          <w:sz w:val="22"/>
        </w:rPr>
        <w:t>Participants recommended training workers to detect distress in children, to ensure confidentiality when a child shares a situation they have experience and to give children a private space to open up about what is occurring at home</w:t>
      </w:r>
    </w:p>
    <w:p w:rsidR="000B1863" w:rsidRDefault="000B1863">
      <w:pPr>
        <w:pStyle w:val="ColorfulList-Accent11"/>
        <w:spacing w:after="200" w:line="276" w:lineRule="auto"/>
        <w:ind w:left="1080"/>
      </w:pPr>
    </w:p>
    <w:p w:rsidR="000B1863" w:rsidRDefault="00D86A11">
      <w:pPr>
        <w:pStyle w:val="ColorfulList-Accent11"/>
        <w:numPr>
          <w:ilvl w:val="0"/>
          <w:numId w:val="36"/>
        </w:numPr>
        <w:spacing w:after="200" w:line="276" w:lineRule="auto"/>
      </w:pPr>
      <w:r>
        <w:rPr>
          <w:rFonts w:ascii="Perpetua" w:eastAsia="Perpetua" w:hAnsi="Perpetua"/>
          <w:color w:val="000000"/>
          <w:sz w:val="22"/>
        </w:rPr>
        <w:t>Participants recommend a medical professional, rather than a social worker conduct body checks in a medical facility as opposed to conducting these checks at their home</w:t>
      </w:r>
    </w:p>
    <w:p w:rsidR="000B1863" w:rsidRDefault="00D86A11">
      <w:pPr>
        <w:pStyle w:val="ColorfulList-Accent11"/>
        <w:numPr>
          <w:ilvl w:val="1"/>
          <w:numId w:val="34"/>
        </w:numPr>
        <w:spacing w:after="200" w:line="276" w:lineRule="auto"/>
      </w:pPr>
      <w:r>
        <w:rPr>
          <w:rFonts w:ascii="Perpetua" w:eastAsia="Perpetua" w:hAnsi="Perpetua"/>
          <w:color w:val="000000"/>
          <w:sz w:val="22"/>
        </w:rPr>
        <w:t>Participants also noted workers need to be more mindful about the cause behind a scrape/bruise and to not assume it was parent violence</w:t>
      </w:r>
    </w:p>
    <w:p w:rsidR="000B1863" w:rsidRDefault="000B1863">
      <w:pPr>
        <w:pStyle w:val="ColorfulList-Accent11"/>
        <w:spacing w:after="200" w:line="276" w:lineRule="auto"/>
      </w:pPr>
    </w:p>
    <w:p w:rsidR="000B1863" w:rsidRDefault="00D86A11">
      <w:pPr>
        <w:pStyle w:val="ColorfulList-Accent11"/>
        <w:numPr>
          <w:ilvl w:val="0"/>
          <w:numId w:val="37"/>
        </w:numPr>
        <w:spacing w:after="200" w:line="276" w:lineRule="auto"/>
      </w:pPr>
      <w:r>
        <w:rPr>
          <w:rFonts w:ascii="Perpetua" w:eastAsia="Perpetua" w:hAnsi="Perpetua"/>
          <w:color w:val="000000"/>
          <w:sz w:val="22"/>
        </w:rPr>
        <w:t>Participants expressed there is a need for front end services to be offered to families before a child has to enter the foster care system (i.e., drug treatment for families struggling with substance abuse) as well as services to be provided for the parents prior to reunification</w:t>
      </w:r>
    </w:p>
    <w:p w:rsidR="000B1863" w:rsidRDefault="000B1863">
      <w:pPr>
        <w:pStyle w:val="ColorfulList-Accent11"/>
        <w:spacing w:after="200" w:line="276" w:lineRule="auto"/>
      </w:pPr>
    </w:p>
    <w:p w:rsidR="000B1863" w:rsidRDefault="00D86A11">
      <w:pPr>
        <w:pStyle w:val="ColorfulList-Accent11"/>
        <w:numPr>
          <w:ilvl w:val="0"/>
          <w:numId w:val="37"/>
        </w:numPr>
        <w:spacing w:after="200" w:line="276" w:lineRule="auto"/>
      </w:pPr>
      <w:r>
        <w:rPr>
          <w:rFonts w:ascii="Perpetua" w:eastAsia="Perpetua" w:hAnsi="Perpetua"/>
          <w:color w:val="000000"/>
          <w:sz w:val="22"/>
        </w:rPr>
        <w:t>Provide transportation support through a CBO or other non-profit that will allow youth transitioning to independence to have reliable transportation</w:t>
      </w:r>
    </w:p>
    <w:p w:rsidR="000B1863" w:rsidRDefault="00D86A11">
      <w:pPr>
        <w:pStyle w:val="ColorfulList-Accent11"/>
        <w:numPr>
          <w:ilvl w:val="1"/>
          <w:numId w:val="34"/>
        </w:numPr>
        <w:spacing w:after="200" w:line="276" w:lineRule="auto"/>
      </w:pPr>
      <w:r>
        <w:rPr>
          <w:rFonts w:ascii="Perpetua" w:eastAsia="Perpetua" w:hAnsi="Perpetua"/>
          <w:color w:val="000000"/>
          <w:sz w:val="22"/>
        </w:rPr>
        <w:t>Example was shared of bikes being given from the Probation department as a means of transportation</w:t>
      </w:r>
    </w:p>
    <w:p w:rsidR="000B1863" w:rsidRDefault="000B1863">
      <w:pPr>
        <w:pStyle w:val="ColorfulList-Accent11"/>
        <w:spacing w:after="200" w:line="276" w:lineRule="auto"/>
        <w:ind w:left="1440"/>
      </w:pPr>
    </w:p>
    <w:p w:rsidR="000B1863" w:rsidRDefault="00D86A11">
      <w:pPr>
        <w:pStyle w:val="ColorfulList-Accent11"/>
        <w:numPr>
          <w:ilvl w:val="0"/>
          <w:numId w:val="37"/>
        </w:numPr>
        <w:spacing w:after="200" w:line="276" w:lineRule="auto"/>
      </w:pPr>
      <w:r>
        <w:rPr>
          <w:rFonts w:ascii="Perpetua" w:eastAsia="Perpetua" w:hAnsi="Perpetua"/>
          <w:color w:val="000000"/>
          <w:sz w:val="22"/>
        </w:rPr>
        <w:t>Provide more education services for both youth and family about what is going on and what they can expect to happen as they go through removal and reunification</w:t>
      </w:r>
    </w:p>
    <w:p w:rsidR="000B1863" w:rsidRDefault="000B1863">
      <w:pPr>
        <w:pStyle w:val="ColorfulList-Accent11"/>
        <w:spacing w:after="200" w:line="276" w:lineRule="auto"/>
      </w:pPr>
    </w:p>
    <w:p w:rsidR="000B1863" w:rsidRDefault="00D86A11">
      <w:pPr>
        <w:pStyle w:val="ColorfulList-Accent11"/>
        <w:numPr>
          <w:ilvl w:val="0"/>
          <w:numId w:val="37"/>
        </w:numPr>
        <w:spacing w:after="200" w:line="276" w:lineRule="auto"/>
      </w:pPr>
      <w:r>
        <w:rPr>
          <w:rFonts w:ascii="Perpetua" w:eastAsia="Perpetua" w:hAnsi="Perpetua"/>
          <w:color w:val="000000"/>
          <w:sz w:val="22"/>
        </w:rPr>
        <w:t>Participants expressed the desire to be connected to peer support groups during the different stages of their time in the system. As well as to have more people visit them and spend time with them while they are in group home “mandatory visits” as it gets lonely.</w:t>
      </w:r>
    </w:p>
    <w:p w:rsidR="000B1863" w:rsidRDefault="00D86A11">
      <w:pPr>
        <w:pStyle w:val="ColorfulList-Accent11"/>
        <w:numPr>
          <w:ilvl w:val="1"/>
          <w:numId w:val="34"/>
        </w:numPr>
        <w:spacing w:after="200" w:line="276" w:lineRule="auto"/>
        <w:rPr>
          <w:b/>
          <w:i/>
          <w:color w:val="1F497D"/>
        </w:rPr>
      </w:pPr>
      <w:r>
        <w:rPr>
          <w:rFonts w:ascii="Perpetua" w:hAnsi="Perpetua"/>
          <w:b/>
          <w:i/>
          <w:color w:val="1F497D"/>
        </w:rPr>
        <w:t>“They should connect you to other peers that you can relate too and talk to but if there’s a program to get the kids having fun and friendly this is where they can really learn, how personal is lunch with someone you don’t need”</w:t>
      </w:r>
    </w:p>
    <w:p w:rsidR="000B1863" w:rsidRDefault="000B1863">
      <w:pPr>
        <w:pStyle w:val="ColorfulList-Accent11"/>
        <w:spacing w:after="200" w:line="276" w:lineRule="auto"/>
        <w:ind w:left="1440"/>
        <w:rPr>
          <w:b/>
          <w:i/>
          <w:color w:val="1F497D"/>
        </w:rPr>
      </w:pPr>
    </w:p>
    <w:p w:rsidR="000B1863" w:rsidRDefault="00D86A11">
      <w:pPr>
        <w:pStyle w:val="ColorfulList-Accent11"/>
        <w:numPr>
          <w:ilvl w:val="0"/>
          <w:numId w:val="37"/>
        </w:numPr>
        <w:spacing w:after="200" w:line="276" w:lineRule="auto"/>
      </w:pPr>
      <w:r>
        <w:rPr>
          <w:rFonts w:ascii="Perpetua" w:eastAsia="Perpetua" w:hAnsi="Perpetua"/>
          <w:color w:val="000000"/>
          <w:sz w:val="22"/>
        </w:rPr>
        <w:t>Youth were concerned with the process and follow-up with families after reunification. They expressed a stricter process for reunifying biological parents with children was needed, including a method to evaluate the stability of the parent on an ongoing basis</w:t>
      </w:r>
    </w:p>
    <w:p w:rsidR="000B1863" w:rsidRDefault="00D86A11">
      <w:pPr>
        <w:pStyle w:val="ColorfulList-Accent11"/>
        <w:numPr>
          <w:ilvl w:val="1"/>
          <w:numId w:val="37"/>
        </w:numPr>
        <w:spacing w:after="200" w:line="276" w:lineRule="auto"/>
      </w:pPr>
      <w:r>
        <w:rPr>
          <w:rFonts w:ascii="Perpetua" w:eastAsia="Perpetua" w:hAnsi="Perpetua"/>
          <w:color w:val="000000"/>
          <w:sz w:val="22"/>
        </w:rPr>
        <w:t>Random visits just show up and see if they are home</w:t>
      </w:r>
    </w:p>
    <w:p w:rsidR="000B1863" w:rsidRDefault="00D86A11">
      <w:pPr>
        <w:pStyle w:val="ColorfulList-Accent11"/>
        <w:numPr>
          <w:ilvl w:val="1"/>
          <w:numId w:val="37"/>
        </w:numPr>
        <w:spacing w:after="200" w:line="276" w:lineRule="auto"/>
      </w:pPr>
      <w:r>
        <w:rPr>
          <w:rFonts w:ascii="Perpetua" w:eastAsia="Perpetua" w:hAnsi="Perpetua"/>
          <w:color w:val="000000"/>
          <w:sz w:val="22"/>
        </w:rPr>
        <w:t>Drug tests should be mandatory for going back, every month do a drug test instead of placement right back</w:t>
      </w:r>
    </w:p>
    <w:p w:rsidR="000B1863" w:rsidRDefault="00D86A11">
      <w:pPr>
        <w:pStyle w:val="ColorfulList-Accent11"/>
        <w:numPr>
          <w:ilvl w:val="1"/>
          <w:numId w:val="37"/>
        </w:numPr>
        <w:spacing w:after="200" w:line="276" w:lineRule="auto"/>
      </w:pPr>
      <w:r>
        <w:rPr>
          <w:rFonts w:ascii="Perpetua" w:eastAsia="Perpetua" w:hAnsi="Perpetua"/>
          <w:color w:val="000000"/>
          <w:sz w:val="22"/>
        </w:rPr>
        <w:t>Why not educate the parents, why not force them to educate themselves on the repercussions that happen to you and your children when they are removed from your home. You need to go beyond pass drug tests and educate them</w:t>
      </w:r>
    </w:p>
    <w:p w:rsidR="000B1863" w:rsidRDefault="00D86A11">
      <w:pPr>
        <w:pStyle w:val="ColorfulList-Accent11"/>
        <w:numPr>
          <w:ilvl w:val="2"/>
          <w:numId w:val="34"/>
        </w:numPr>
        <w:spacing w:after="200" w:line="276" w:lineRule="auto"/>
      </w:pPr>
      <w:r>
        <w:rPr>
          <w:rFonts w:ascii="Perpetua" w:hAnsi="Perpetua"/>
          <w:b/>
          <w:i/>
          <w:color w:val="1F497D"/>
        </w:rPr>
        <w:lastRenderedPageBreak/>
        <w:t>“Parent evaluation is needed; written evaluation [a checklist] and the SW can look and say well you aren’t doing this [what is outlined in the evaluation] so you’re lying and aren’t on the right track”</w:t>
      </w:r>
    </w:p>
    <w:p w:rsidR="000B1863" w:rsidRDefault="000B1863">
      <w:pPr>
        <w:pStyle w:val="ColorfulList-Accent11"/>
        <w:spacing w:after="200" w:line="276" w:lineRule="auto"/>
        <w:ind w:left="2160"/>
      </w:pPr>
    </w:p>
    <w:p w:rsidR="000B1863" w:rsidRDefault="00D86A11">
      <w:pPr>
        <w:pStyle w:val="ColorfulList-Accent11"/>
        <w:numPr>
          <w:ilvl w:val="0"/>
          <w:numId w:val="37"/>
        </w:numPr>
        <w:spacing w:after="200" w:line="276" w:lineRule="auto"/>
      </w:pPr>
      <w:r>
        <w:rPr>
          <w:rFonts w:ascii="Perpetua" w:eastAsia="Perpetua" w:hAnsi="Perpetua"/>
          <w:color w:val="000000"/>
          <w:sz w:val="22"/>
        </w:rPr>
        <w:t>Youth strongly advocated for peer support groups or mentorship programs and more in-depth basic skills training (e.g., resumes, cleaning your bathroom, dressing yourself a certain way).</w:t>
      </w:r>
    </w:p>
    <w:p w:rsidR="000B1863" w:rsidRDefault="00D86A11">
      <w:pPr>
        <w:pStyle w:val="ColorfulList-Accent11"/>
        <w:numPr>
          <w:ilvl w:val="1"/>
          <w:numId w:val="34"/>
        </w:numPr>
        <w:spacing w:after="200" w:line="276" w:lineRule="auto"/>
        <w:rPr>
          <w:b/>
          <w:i/>
          <w:color w:val="1F497D"/>
        </w:rPr>
      </w:pPr>
      <w:r>
        <w:rPr>
          <w:rFonts w:ascii="Perpetua" w:hAnsi="Perpetua"/>
          <w:b/>
          <w:i/>
          <w:color w:val="1F497D"/>
        </w:rPr>
        <w:t>“Before you enter [ a group home] you go through an interview to see if you fit and I think there has to be a youth that has been in the group home before explain to you what you will go through.”</w:t>
      </w:r>
    </w:p>
    <w:p w:rsidR="00D86A11" w:rsidRDefault="00D86A11" w:rsidP="00D86A11">
      <w:pPr>
        <w:pStyle w:val="Heading1"/>
        <w:rPr>
          <w:rFonts w:ascii="Perpetua" w:hAnsi="Perpetua"/>
          <w:color w:val="F6872B"/>
          <w:sz w:val="24"/>
        </w:rPr>
      </w:pPr>
      <w:r>
        <w:rPr>
          <w:rFonts w:ascii="Perpetua" w:hAnsi="Perpetua"/>
          <w:color w:val="F6872B"/>
          <w:sz w:val="24"/>
        </w:rPr>
        <w:t>Parent Roundtable</w:t>
      </w:r>
    </w:p>
    <w:p w:rsidR="00D86A11" w:rsidRDefault="00D86A11" w:rsidP="00D86A11">
      <w:pPr>
        <w:pStyle w:val="Heading2"/>
        <w:rPr>
          <w:rFonts w:ascii="Perpetua" w:hAnsi="Perpetua"/>
          <w:color w:val="auto"/>
        </w:rPr>
      </w:pPr>
      <w:r>
        <w:rPr>
          <w:rFonts w:ascii="Perpetua" w:hAnsi="Perpetua"/>
          <w:color w:val="auto"/>
        </w:rPr>
        <w:t>Impressions</w:t>
      </w:r>
    </w:p>
    <w:p w:rsidR="000B1863" w:rsidRDefault="00D86A11">
      <w:pPr>
        <w:pStyle w:val="ColorfulList-Accent11"/>
        <w:numPr>
          <w:ilvl w:val="0"/>
          <w:numId w:val="37"/>
        </w:numPr>
        <w:spacing w:after="200" w:line="276" w:lineRule="auto"/>
      </w:pPr>
      <w:r>
        <w:rPr>
          <w:rFonts w:ascii="Perpetua" w:eastAsia="Perpetua" w:hAnsi="Perpetua"/>
          <w:color w:val="000000"/>
          <w:sz w:val="22"/>
        </w:rPr>
        <w:t>Focus Group participants experiences were complex (multigenerational involvement with CWS/Probation), were served by multiple agencies (e.g., Behavioral Health, Probation, CWS CalWorks, etc.), faced many socio-cultural challenges and experienced barriers (personal and by providers) in accessing and following through services/requirements</w:t>
      </w:r>
    </w:p>
    <w:p w:rsidR="000B1863" w:rsidRDefault="00D86A11">
      <w:pPr>
        <w:pStyle w:val="ColorfulList-Accent11"/>
        <w:numPr>
          <w:ilvl w:val="1"/>
          <w:numId w:val="37"/>
        </w:numPr>
        <w:spacing w:after="200" w:line="276" w:lineRule="auto"/>
      </w:pPr>
      <w:r>
        <w:rPr>
          <w:rFonts w:ascii="Perpetua" w:eastAsia="Perpetua" w:hAnsi="Perpetua"/>
          <w:color w:val="000000"/>
          <w:sz w:val="22"/>
        </w:rPr>
        <w:t>The complexity of the cases require more coordinated services to address issues beyond what led to CWS or Probation involvement</w:t>
      </w:r>
    </w:p>
    <w:p w:rsidR="000B1863" w:rsidRDefault="000B1863">
      <w:pPr>
        <w:pStyle w:val="ColorfulList-Accent11"/>
        <w:spacing w:after="200" w:line="276" w:lineRule="auto"/>
        <w:ind w:left="1440"/>
        <w:rPr>
          <w:spacing w:val="20"/>
          <w:sz w:val="24"/>
        </w:rPr>
      </w:pPr>
    </w:p>
    <w:p w:rsidR="000B1863" w:rsidRDefault="00D86A11">
      <w:pPr>
        <w:pStyle w:val="ColorfulList-Accent11"/>
        <w:numPr>
          <w:ilvl w:val="0"/>
          <w:numId w:val="37"/>
        </w:numPr>
        <w:spacing w:after="200" w:line="276" w:lineRule="auto"/>
      </w:pPr>
      <w:r>
        <w:rPr>
          <w:rFonts w:ascii="Perpetua" w:eastAsia="Perpetua" w:hAnsi="Perpetua"/>
          <w:color w:val="000000"/>
          <w:sz w:val="22"/>
        </w:rPr>
        <w:t>Participants identified challenges connecting to resources in the community due to:</w:t>
      </w:r>
    </w:p>
    <w:p w:rsidR="000B1863" w:rsidRDefault="00D86A11">
      <w:pPr>
        <w:pStyle w:val="ColorfulList-Accent11"/>
        <w:numPr>
          <w:ilvl w:val="1"/>
          <w:numId w:val="37"/>
        </w:numPr>
        <w:spacing w:after="200" w:line="276" w:lineRule="auto"/>
      </w:pPr>
      <w:r>
        <w:rPr>
          <w:rFonts w:ascii="Perpetua" w:eastAsia="Perpetua" w:hAnsi="Perpetua"/>
          <w:color w:val="000000"/>
          <w:sz w:val="22"/>
        </w:rPr>
        <w:t>Perceived lack of knowledge by SW or Probation staff assigned to their case about their issues/needs and the corresponding community services</w:t>
      </w:r>
    </w:p>
    <w:p w:rsidR="000B1863" w:rsidRDefault="00D86A11">
      <w:pPr>
        <w:pStyle w:val="ColorfulList-Accent11"/>
        <w:numPr>
          <w:ilvl w:val="1"/>
          <w:numId w:val="37"/>
        </w:numPr>
        <w:spacing w:after="200" w:line="276" w:lineRule="auto"/>
      </w:pPr>
      <w:r>
        <w:rPr>
          <w:rFonts w:ascii="Perpetua" w:eastAsia="Perpetua" w:hAnsi="Perpetua"/>
          <w:color w:val="000000"/>
          <w:sz w:val="22"/>
        </w:rPr>
        <w:t xml:space="preserve">Perceived poor coordination of case plans and services and poor communication between participants and providers </w:t>
      </w:r>
    </w:p>
    <w:p w:rsidR="000B1863" w:rsidRDefault="00D86A11">
      <w:pPr>
        <w:pStyle w:val="ColorfulList-Accent11"/>
        <w:numPr>
          <w:ilvl w:val="1"/>
          <w:numId w:val="37"/>
        </w:numPr>
        <w:spacing w:after="200" w:line="276" w:lineRule="auto"/>
      </w:pPr>
      <w:r>
        <w:rPr>
          <w:rFonts w:ascii="Perpetua" w:eastAsia="Perpetua" w:hAnsi="Perpetua"/>
          <w:color w:val="000000"/>
          <w:sz w:val="22"/>
        </w:rPr>
        <w:t xml:space="preserve">Feeling that participants had to “jump through hoops” to receive the services they needed and complete the CWS/Probation requirements </w:t>
      </w:r>
    </w:p>
    <w:p w:rsidR="000B1863" w:rsidRDefault="00D86A11">
      <w:pPr>
        <w:pStyle w:val="ColorfulList-Accent11"/>
        <w:numPr>
          <w:ilvl w:val="2"/>
          <w:numId w:val="37"/>
        </w:numPr>
        <w:spacing w:after="200" w:line="276" w:lineRule="auto"/>
      </w:pPr>
      <w:r>
        <w:rPr>
          <w:rFonts w:ascii="Perpetua" w:eastAsia="Perpetua" w:hAnsi="Perpetua"/>
          <w:color w:val="000000"/>
          <w:sz w:val="22"/>
        </w:rPr>
        <w:t>This includes challenges when regional centers try and connect people with developmental disabilities to appropriate services</w:t>
      </w:r>
    </w:p>
    <w:p w:rsidR="000B1863" w:rsidRDefault="00D86A11">
      <w:pPr>
        <w:pStyle w:val="ColorfulList-Accent11"/>
        <w:numPr>
          <w:ilvl w:val="1"/>
          <w:numId w:val="37"/>
        </w:numPr>
        <w:spacing w:after="200" w:line="276" w:lineRule="auto"/>
      </w:pPr>
      <w:r>
        <w:rPr>
          <w:rFonts w:ascii="Perpetua" w:eastAsia="Perpetua" w:hAnsi="Perpetua"/>
          <w:color w:val="000000"/>
          <w:sz w:val="22"/>
        </w:rPr>
        <w:t>Perceived poor accountability of providers to provide accessible and timely services (due to waitlists, wrong contact information, etc.)</w:t>
      </w:r>
    </w:p>
    <w:p w:rsidR="000B1863" w:rsidRDefault="00D86A11">
      <w:pPr>
        <w:pStyle w:val="ColorfulList-Accent11"/>
        <w:numPr>
          <w:ilvl w:val="2"/>
          <w:numId w:val="37"/>
        </w:numPr>
        <w:spacing w:after="200" w:line="276" w:lineRule="auto"/>
      </w:pPr>
      <w:r>
        <w:rPr>
          <w:rFonts w:ascii="Perpetua" w:eastAsia="Perpetua" w:hAnsi="Perpetua"/>
          <w:color w:val="000000"/>
          <w:sz w:val="22"/>
        </w:rPr>
        <w:t xml:space="preserve">SW/Probation Staff lost documents, did not keep track of conversations with family members; thus, making participants feel as though they needed to have “evidence” to ensure services, resources, and supports were provided </w:t>
      </w:r>
    </w:p>
    <w:p w:rsidR="000B1863" w:rsidRDefault="00D86A11">
      <w:pPr>
        <w:pStyle w:val="ColorfulList-Accent11"/>
        <w:numPr>
          <w:ilvl w:val="1"/>
          <w:numId w:val="37"/>
        </w:numPr>
        <w:spacing w:after="200" w:line="276" w:lineRule="auto"/>
      </w:pPr>
      <w:r>
        <w:rPr>
          <w:rFonts w:ascii="Perpetua" w:eastAsia="Perpetua" w:hAnsi="Perpetua"/>
          <w:color w:val="000000"/>
          <w:sz w:val="22"/>
        </w:rPr>
        <w:t>A difficulty navigating and coordinating service for an out-of-county placement that is in the process of being transferred to San Diego County was raised as a challenge. In particular, when having a child who requires extensive services (e.g., mental health issues)</w:t>
      </w:r>
    </w:p>
    <w:p w:rsidR="000B1863" w:rsidRDefault="000B1863">
      <w:pPr>
        <w:pStyle w:val="ColorfulList-Accent11"/>
        <w:spacing w:after="200" w:line="276" w:lineRule="auto"/>
      </w:pPr>
    </w:p>
    <w:p w:rsidR="000B1863" w:rsidRDefault="00D86A11">
      <w:pPr>
        <w:pStyle w:val="ColorfulList-Accent11"/>
        <w:numPr>
          <w:ilvl w:val="0"/>
          <w:numId w:val="37"/>
        </w:numPr>
        <w:spacing w:after="200" w:line="276" w:lineRule="auto"/>
      </w:pPr>
      <w:r>
        <w:rPr>
          <w:rFonts w:ascii="Perpetua" w:eastAsia="Perpetua" w:hAnsi="Perpetua"/>
          <w:color w:val="000000"/>
          <w:sz w:val="22"/>
        </w:rPr>
        <w:t>Participants identified SW and Probation staff with less years of experience as having more difficult time handling their caseloads; thus, resulting in lapse in communication and follow-up</w:t>
      </w:r>
    </w:p>
    <w:p w:rsidR="000B1863" w:rsidRDefault="000B1863">
      <w:pPr>
        <w:pStyle w:val="ColorfulList-Accent11"/>
        <w:spacing w:after="200" w:line="276" w:lineRule="auto"/>
      </w:pPr>
    </w:p>
    <w:p w:rsidR="000B1863" w:rsidRDefault="00D86A11">
      <w:pPr>
        <w:pStyle w:val="ColorfulList-Accent11"/>
        <w:numPr>
          <w:ilvl w:val="0"/>
          <w:numId w:val="37"/>
        </w:numPr>
        <w:spacing w:after="200" w:line="276" w:lineRule="auto"/>
      </w:pPr>
      <w:r>
        <w:rPr>
          <w:rFonts w:ascii="Perpetua" w:eastAsia="Perpetua" w:hAnsi="Perpetua"/>
          <w:color w:val="000000"/>
          <w:sz w:val="22"/>
        </w:rPr>
        <w:t>Challenges with communication and follow-up was a concern for parents who have had both a positive and negative experience</w:t>
      </w:r>
    </w:p>
    <w:p w:rsidR="000B1863" w:rsidRDefault="00D86A11">
      <w:pPr>
        <w:pStyle w:val="ColorfulList-Accent11"/>
        <w:numPr>
          <w:ilvl w:val="1"/>
          <w:numId w:val="37"/>
        </w:numPr>
        <w:spacing w:after="200" w:line="276" w:lineRule="auto"/>
      </w:pPr>
      <w:r>
        <w:rPr>
          <w:rFonts w:ascii="Perpetua" w:eastAsia="Perpetua" w:hAnsi="Perpetua"/>
          <w:color w:val="000000"/>
          <w:sz w:val="22"/>
        </w:rPr>
        <w:t xml:space="preserve">Participants experience challenges being able to connect/contact  CWS/Probation staff as well as CBO’s related to their case and services required/referred to </w:t>
      </w:r>
    </w:p>
    <w:p w:rsidR="000B1863" w:rsidRDefault="000B1863">
      <w:pPr>
        <w:pStyle w:val="ColorfulList-Accent11"/>
        <w:spacing w:after="200" w:line="276" w:lineRule="auto"/>
        <w:ind w:left="1440"/>
        <w:rPr>
          <w:spacing w:val="20"/>
          <w:sz w:val="24"/>
        </w:rPr>
      </w:pPr>
    </w:p>
    <w:p w:rsidR="000B1863" w:rsidRDefault="00D86A11">
      <w:pPr>
        <w:pStyle w:val="ColorfulList-Accent11"/>
        <w:numPr>
          <w:ilvl w:val="0"/>
          <w:numId w:val="37"/>
        </w:numPr>
        <w:spacing w:after="200" w:line="276" w:lineRule="auto"/>
        <w:rPr>
          <w:b/>
        </w:rPr>
      </w:pPr>
      <w:r>
        <w:rPr>
          <w:rFonts w:ascii="Perpetua" w:eastAsia="Perpetua" w:hAnsi="Perpetua"/>
          <w:b/>
          <w:color w:val="000000"/>
          <w:sz w:val="22"/>
        </w:rPr>
        <w:lastRenderedPageBreak/>
        <w:t>Participants who reported positive experiences with CWS/Probation described it as a combination of own awareness of their role in addressing the issue, readiness to take action, and  responsive, supportive, communicative, and caring staff</w:t>
      </w:r>
    </w:p>
    <w:p w:rsidR="000B1863" w:rsidRDefault="000B1863">
      <w:pPr>
        <w:pStyle w:val="ColorfulList-Accent11"/>
        <w:spacing w:after="200" w:line="276" w:lineRule="auto"/>
      </w:pPr>
    </w:p>
    <w:p w:rsidR="000B1863" w:rsidRDefault="00D86A11">
      <w:pPr>
        <w:pStyle w:val="ColorfulList-Accent11"/>
        <w:numPr>
          <w:ilvl w:val="0"/>
          <w:numId w:val="37"/>
        </w:numPr>
        <w:spacing w:after="200" w:line="276" w:lineRule="auto"/>
      </w:pPr>
      <w:r>
        <w:rPr>
          <w:rFonts w:ascii="Perpetua" w:eastAsia="Perpetua" w:hAnsi="Perpetua"/>
          <w:color w:val="000000"/>
          <w:sz w:val="22"/>
        </w:rPr>
        <w:t>Participants identified specific groups they found to be useful:</w:t>
      </w:r>
    </w:p>
    <w:p w:rsidR="000B1863" w:rsidRDefault="00D86A11">
      <w:pPr>
        <w:pStyle w:val="ColorfulList-Accent11"/>
        <w:numPr>
          <w:ilvl w:val="1"/>
          <w:numId w:val="37"/>
        </w:numPr>
        <w:spacing w:after="200" w:line="276" w:lineRule="auto"/>
      </w:pPr>
      <w:r>
        <w:rPr>
          <w:rFonts w:ascii="Perpetua" w:eastAsia="Perpetua" w:hAnsi="Perpetua"/>
          <w:color w:val="000000"/>
          <w:sz w:val="22"/>
        </w:rPr>
        <w:t>Incredible Families; Family Forward; Project KEEP; Parent Partners; SARMS; Section 8 Vouchers</w:t>
      </w:r>
    </w:p>
    <w:p w:rsidR="00D86A11" w:rsidRDefault="00D86A11" w:rsidP="00D86A11">
      <w:pPr>
        <w:pStyle w:val="Heading2"/>
        <w:rPr>
          <w:rFonts w:ascii="Perpetua" w:hAnsi="Perpetua"/>
          <w:color w:val="auto"/>
        </w:rPr>
      </w:pPr>
      <w:r>
        <w:rPr>
          <w:rFonts w:ascii="Perpetua" w:hAnsi="Perpetua"/>
          <w:color w:val="auto"/>
        </w:rPr>
        <w:t>Recommendations from Participants</w:t>
      </w:r>
    </w:p>
    <w:p w:rsidR="000B1863" w:rsidRDefault="00D86A11">
      <w:pPr>
        <w:pStyle w:val="ColorfulList-Accent11"/>
        <w:numPr>
          <w:ilvl w:val="0"/>
          <w:numId w:val="37"/>
        </w:numPr>
        <w:spacing w:after="200" w:line="276" w:lineRule="auto"/>
      </w:pPr>
      <w:r>
        <w:rPr>
          <w:rFonts w:ascii="Perpetua" w:eastAsia="Perpetua" w:hAnsi="Perpetua"/>
          <w:color w:val="000000"/>
          <w:sz w:val="22"/>
        </w:rPr>
        <w:t>Increase training for CWS and Probation staff to ensure they are aware of the resources that are available to qualifying families</w:t>
      </w:r>
    </w:p>
    <w:p w:rsidR="000B1863" w:rsidRDefault="000B1863">
      <w:pPr>
        <w:pStyle w:val="ColorfulList-Accent11"/>
        <w:spacing w:after="200" w:line="276" w:lineRule="auto"/>
      </w:pPr>
    </w:p>
    <w:p w:rsidR="000B1863" w:rsidRDefault="00D86A11">
      <w:pPr>
        <w:pStyle w:val="ColorfulList-Accent11"/>
        <w:numPr>
          <w:ilvl w:val="0"/>
          <w:numId w:val="37"/>
        </w:numPr>
        <w:spacing w:after="200" w:line="276" w:lineRule="auto"/>
      </w:pPr>
      <w:r>
        <w:rPr>
          <w:rFonts w:ascii="Perpetua" w:eastAsia="Perpetua" w:hAnsi="Perpetua"/>
          <w:color w:val="000000"/>
          <w:sz w:val="22"/>
        </w:rPr>
        <w:t>Participants desired after care services to ensure they have the sufficient supports so as to not reentry/reoffend</w:t>
      </w:r>
    </w:p>
    <w:p w:rsidR="000B1863" w:rsidRDefault="00D86A11">
      <w:pPr>
        <w:pStyle w:val="ColorfulList-Accent11"/>
        <w:numPr>
          <w:ilvl w:val="1"/>
          <w:numId w:val="37"/>
        </w:numPr>
        <w:spacing w:after="200" w:line="276" w:lineRule="auto"/>
      </w:pPr>
      <w:r>
        <w:rPr>
          <w:rFonts w:ascii="Perpetua" w:eastAsia="Perpetua" w:hAnsi="Perpetua"/>
          <w:color w:val="000000"/>
          <w:sz w:val="22"/>
        </w:rPr>
        <w:t>Access to resources after a case is traditionally “closed”</w:t>
      </w:r>
    </w:p>
    <w:p w:rsidR="000B1863" w:rsidRDefault="00D86A11">
      <w:pPr>
        <w:pStyle w:val="ColorfulList-Accent11"/>
        <w:numPr>
          <w:ilvl w:val="1"/>
          <w:numId w:val="37"/>
        </w:numPr>
        <w:spacing w:after="200" w:line="276" w:lineRule="auto"/>
      </w:pPr>
      <w:r>
        <w:rPr>
          <w:rFonts w:ascii="Perpetua" w:eastAsia="Perpetua" w:hAnsi="Perpetua"/>
          <w:color w:val="000000"/>
          <w:sz w:val="22"/>
        </w:rPr>
        <w:t>CWS should give the option to parents to stay connected for an extended period of time</w:t>
      </w:r>
    </w:p>
    <w:p w:rsidR="000B1863" w:rsidRDefault="00D86A11">
      <w:pPr>
        <w:pStyle w:val="ColorfulList-Accent11"/>
        <w:numPr>
          <w:ilvl w:val="1"/>
          <w:numId w:val="37"/>
        </w:numPr>
        <w:spacing w:after="200" w:line="276" w:lineRule="auto"/>
      </w:pPr>
      <w:r>
        <w:rPr>
          <w:rFonts w:ascii="Perpetua" w:eastAsia="Perpetua" w:hAnsi="Perpetua"/>
          <w:color w:val="000000"/>
          <w:sz w:val="22"/>
        </w:rPr>
        <w:t>Parent centered services to allow them to enroll in school, find jobs, receive substance abuse treatment, parenting classes, and other services</w:t>
      </w:r>
    </w:p>
    <w:p w:rsidR="000B1863" w:rsidRDefault="000B1863">
      <w:pPr>
        <w:pStyle w:val="ColorfulList-Accent11"/>
        <w:spacing w:after="200" w:line="276" w:lineRule="auto"/>
        <w:ind w:left="1440"/>
      </w:pPr>
    </w:p>
    <w:p w:rsidR="000B1863" w:rsidRDefault="00D86A11">
      <w:pPr>
        <w:pStyle w:val="ColorfulList-Accent11"/>
        <w:numPr>
          <w:ilvl w:val="0"/>
          <w:numId w:val="37"/>
        </w:numPr>
        <w:spacing w:after="200" w:line="276" w:lineRule="auto"/>
      </w:pPr>
      <w:r>
        <w:rPr>
          <w:rFonts w:ascii="Perpetua" w:eastAsia="Perpetua" w:hAnsi="Perpetua"/>
          <w:color w:val="000000"/>
          <w:sz w:val="22"/>
        </w:rPr>
        <w:t>Increase availability of peer led services within community setting to serve as navigation hubs</w:t>
      </w:r>
    </w:p>
    <w:p w:rsidR="000B1863" w:rsidRDefault="00D86A11">
      <w:pPr>
        <w:pStyle w:val="ColorfulList-Accent11"/>
        <w:numPr>
          <w:ilvl w:val="1"/>
          <w:numId w:val="37"/>
        </w:numPr>
        <w:spacing w:after="200" w:line="276" w:lineRule="auto"/>
      </w:pPr>
      <w:r>
        <w:rPr>
          <w:rFonts w:ascii="Perpetua" w:eastAsia="Perpetua" w:hAnsi="Perpetua"/>
          <w:color w:val="000000"/>
          <w:sz w:val="22"/>
        </w:rPr>
        <w:t>A Community Partner that will serve as a liaison to County services</w:t>
      </w:r>
    </w:p>
    <w:p w:rsidR="000B1863" w:rsidRDefault="00D86A11">
      <w:pPr>
        <w:pStyle w:val="ColorfulList-Accent11"/>
        <w:numPr>
          <w:ilvl w:val="1"/>
          <w:numId w:val="37"/>
        </w:numPr>
        <w:spacing w:after="200" w:line="276" w:lineRule="auto"/>
      </w:pPr>
      <w:r>
        <w:rPr>
          <w:rFonts w:ascii="Perpetua" w:eastAsia="Perpetua" w:hAnsi="Perpetua"/>
          <w:color w:val="000000"/>
          <w:sz w:val="22"/>
        </w:rPr>
        <w:t>A “system navigator” to help parents understand where they need to go for services and information when dealing with multiple agency involved placements</w:t>
      </w:r>
    </w:p>
    <w:p w:rsidR="000B1863" w:rsidRDefault="00D86A11">
      <w:pPr>
        <w:pStyle w:val="ColorfulList-Accent11"/>
        <w:numPr>
          <w:ilvl w:val="2"/>
          <w:numId w:val="34"/>
        </w:numPr>
        <w:spacing w:after="200" w:line="276" w:lineRule="auto"/>
        <w:rPr>
          <w:b/>
          <w:i/>
          <w:color w:val="1F497D"/>
        </w:rPr>
      </w:pPr>
      <w:r>
        <w:rPr>
          <w:rFonts w:ascii="Perpetua" w:hAnsi="Perpetua"/>
          <w:b/>
          <w:i/>
          <w:color w:val="1F497D"/>
        </w:rPr>
        <w:t>“..Just like a go to place where you feel comfortable knowing that you can get the help and there's people that actually care”</w:t>
      </w:r>
    </w:p>
    <w:p w:rsidR="000B1863" w:rsidRDefault="000B1863">
      <w:pPr>
        <w:pStyle w:val="ColorfulList-Accent11"/>
        <w:spacing w:after="200" w:line="276" w:lineRule="auto"/>
        <w:ind w:left="2160"/>
        <w:rPr>
          <w:b/>
          <w:spacing w:val="20"/>
          <w:sz w:val="24"/>
        </w:rPr>
      </w:pPr>
    </w:p>
    <w:p w:rsidR="000B1863" w:rsidRDefault="00D86A11">
      <w:pPr>
        <w:pStyle w:val="ColorfulList-Accent11"/>
        <w:numPr>
          <w:ilvl w:val="0"/>
          <w:numId w:val="37"/>
        </w:numPr>
        <w:spacing w:after="200" w:line="276" w:lineRule="auto"/>
      </w:pPr>
      <w:r>
        <w:rPr>
          <w:rFonts w:ascii="Perpetua" w:eastAsia="Perpetua" w:hAnsi="Perpetua"/>
          <w:color w:val="000000"/>
          <w:sz w:val="22"/>
        </w:rPr>
        <w:t>Provide more support services for the parents and caregivers to work towards stability in placement</w:t>
      </w:r>
    </w:p>
    <w:p w:rsidR="000B1863" w:rsidRDefault="00D86A11">
      <w:pPr>
        <w:pStyle w:val="ColorfulList-Accent11"/>
        <w:numPr>
          <w:ilvl w:val="1"/>
          <w:numId w:val="37"/>
        </w:numPr>
        <w:spacing w:after="200" w:line="276" w:lineRule="auto"/>
      </w:pPr>
      <w:r>
        <w:rPr>
          <w:rFonts w:ascii="Perpetua" w:eastAsia="Perpetua" w:hAnsi="Perpetua"/>
          <w:color w:val="000000"/>
          <w:sz w:val="22"/>
        </w:rPr>
        <w:t>Parent shared success story with housing services and other supportive services that allowed her to be have her own place and provide the stability she needed to handle her substance abuse and achieve reunification</w:t>
      </w:r>
    </w:p>
    <w:p w:rsidR="000B1863" w:rsidRDefault="00D86A11">
      <w:pPr>
        <w:pStyle w:val="ColorfulList-Accent11"/>
        <w:numPr>
          <w:ilvl w:val="2"/>
          <w:numId w:val="34"/>
        </w:numPr>
        <w:spacing w:after="200" w:line="276" w:lineRule="auto"/>
        <w:rPr>
          <w:b/>
          <w:i/>
          <w:color w:val="1F497D"/>
        </w:rPr>
      </w:pPr>
      <w:r>
        <w:rPr>
          <w:rFonts w:ascii="Perpetua" w:hAnsi="Perpetua"/>
          <w:b/>
          <w:i/>
          <w:color w:val="1F497D"/>
        </w:rPr>
        <w:t>“there could be that piece that give the power to the parent because they probably often times feel powerless, I know we all feel powerless, and so that's just empowering that individual just a little bit more”</w:t>
      </w:r>
    </w:p>
    <w:p w:rsidR="00D86A11" w:rsidRDefault="00D86A11" w:rsidP="00D86A11"/>
    <w:p w:rsidR="00D86A11" w:rsidRDefault="00D86A11" w:rsidP="00D86A11">
      <w:pPr>
        <w:spacing w:after="200"/>
      </w:pPr>
    </w:p>
    <w:p w:rsidR="00D86A11" w:rsidRPr="00255982" w:rsidRDefault="00D86A11" w:rsidP="00D86A11">
      <w:pPr>
        <w:spacing w:after="200"/>
        <w:rPr>
          <w:rFonts w:ascii="Calibri" w:hAnsi="Calibri"/>
        </w:rPr>
      </w:pPr>
      <w:r>
        <w:rPr>
          <w:rFonts w:ascii="Calibri" w:hAnsi="Calibri"/>
        </w:rPr>
        <w:br w:type="page"/>
      </w:r>
    </w:p>
    <w:sectPr w:rsidR="00D86A11" w:rsidRPr="00255982" w:rsidSect="00D86A11">
      <w:headerReference w:type="even" r:id="rId175"/>
      <w:headerReference w:type="default" r:id="rId176"/>
      <w:footerReference w:type="even" r:id="rId177"/>
      <w:footerReference w:type="default" r:id="rId178"/>
      <w:footerReference w:type="first" r:id="rId179"/>
      <w:pgSz w:w="12240" w:h="15840" w:code="1"/>
      <w:pgMar w:top="810" w:right="1440" w:bottom="1440" w:left="1440" w:header="720" w:footer="720" w:gutter="0"/>
      <w:pgBorders w:offsetFrom="page">
        <w:left w:val="single" w:sz="2" w:space="24" w:color="FFFFFF"/>
        <w:right w:val="single" w:sz="2" w:space="24" w:color="FFFFFF"/>
      </w:pgBorders>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5CB" w:rsidRDefault="006415CB">
      <w:pPr>
        <w:spacing w:after="0" w:line="240" w:lineRule="auto"/>
      </w:pPr>
      <w:r>
        <w:separator/>
      </w:r>
    </w:p>
  </w:endnote>
  <w:endnote w:type="continuationSeparator" w:id="0">
    <w:p w:rsidR="006415CB" w:rsidRDefault="006415CB">
      <w:pPr>
        <w:spacing w:after="0" w:line="240" w:lineRule="auto"/>
      </w:pPr>
      <w:r>
        <w:continuationSeparator/>
      </w:r>
    </w:p>
  </w:endnote>
  <w:endnote w:id="1">
    <w:p w:rsidR="009103E6" w:rsidRPr="00154EAA" w:rsidRDefault="009103E6" w:rsidP="00D86A11">
      <w:pPr>
        <w:pStyle w:val="Heading2"/>
        <w:rPr>
          <w:color w:val="013161"/>
        </w:rPr>
      </w:pPr>
      <w:r w:rsidRPr="00154EAA">
        <w:rPr>
          <w:color w:val="013161"/>
        </w:rPr>
        <w:t xml:space="preserve">Appendix </w:t>
      </w:r>
      <w:r>
        <w:rPr>
          <w:color w:val="013161"/>
        </w:rPr>
        <w:t>M</w:t>
      </w:r>
      <w:r w:rsidRPr="00154EAA">
        <w:rPr>
          <w:color w:val="013161"/>
        </w:rPr>
        <w:t>: References</w:t>
      </w:r>
    </w:p>
    <w:p w:rsidR="009103E6" w:rsidRDefault="009103E6" w:rsidP="00D86A11">
      <w:pPr>
        <w:pStyle w:val="EndnoteText"/>
      </w:pPr>
    </w:p>
    <w:p w:rsidR="009103E6" w:rsidRPr="006D7471" w:rsidRDefault="009103E6" w:rsidP="00D86A11">
      <w:pPr>
        <w:pStyle w:val="EndnoteText"/>
        <w:rPr>
          <w:rFonts w:ascii="Calibri" w:hAnsi="Calibri"/>
        </w:rPr>
      </w:pPr>
      <w:r w:rsidRPr="006D7471">
        <w:rPr>
          <w:rStyle w:val="EndnoteReference"/>
          <w:rFonts w:ascii="Calibri" w:hAnsi="Calibri"/>
        </w:rPr>
        <w:endnoteRef/>
      </w:r>
      <w:r w:rsidRPr="006D7471">
        <w:rPr>
          <w:rFonts w:ascii="Calibri" w:hAnsi="Calibri"/>
        </w:rPr>
        <w:t xml:space="preserve"> United States Census Bureau.  </w:t>
      </w:r>
    </w:p>
    <w:p w:rsidR="009103E6" w:rsidRPr="006D7471" w:rsidRDefault="006415CB" w:rsidP="00D86A11">
      <w:pPr>
        <w:pStyle w:val="EndnoteText"/>
        <w:rPr>
          <w:rFonts w:ascii="Calibri" w:hAnsi="Calibri"/>
        </w:rPr>
      </w:pPr>
      <w:hyperlink r:id="rId1" w:history="1">
        <w:r w:rsidR="009103E6" w:rsidRPr="006D7471">
          <w:rPr>
            <w:rStyle w:val="Hyperlink"/>
            <w:rFonts w:ascii="Calibri" w:eastAsia="Perpetua" w:hAnsi="Calibri"/>
          </w:rPr>
          <w:t>http://www.census.gov/quickfacts/table/PST045215/06073,00</w:t>
        </w:r>
      </w:hyperlink>
      <w:r w:rsidR="009103E6" w:rsidRPr="006D7471">
        <w:rPr>
          <w:rFonts w:ascii="Calibri" w:hAnsi="Calibri"/>
        </w:rPr>
        <w:t xml:space="preserve"> </w:t>
      </w:r>
    </w:p>
    <w:p w:rsidR="009103E6" w:rsidRPr="006D7471" w:rsidRDefault="009103E6" w:rsidP="00D86A11">
      <w:pPr>
        <w:pStyle w:val="EndnoteText"/>
        <w:rPr>
          <w:rFonts w:ascii="Calibri" w:hAnsi="Calibri"/>
        </w:rPr>
      </w:pPr>
    </w:p>
  </w:endnote>
  <w:endnote w:id="2">
    <w:p w:rsidR="009103E6" w:rsidRPr="006D7471" w:rsidRDefault="009103E6" w:rsidP="00D86A11">
      <w:pPr>
        <w:pStyle w:val="EndnoteText"/>
        <w:rPr>
          <w:rStyle w:val="Hyperlink"/>
          <w:rFonts w:ascii="Calibri" w:eastAsia="Perpetua" w:hAnsi="Calibri"/>
          <w:b/>
        </w:rPr>
      </w:pPr>
      <w:r w:rsidRPr="006D7471">
        <w:rPr>
          <w:rStyle w:val="EndnoteReference"/>
          <w:rFonts w:ascii="Calibri" w:hAnsi="Calibri"/>
        </w:rPr>
        <w:endnoteRef/>
      </w:r>
      <w:r w:rsidRPr="006D7471">
        <w:rPr>
          <w:rFonts w:ascii="Calibri" w:hAnsi="Calibri"/>
        </w:rPr>
        <w:t xml:space="preserve"> United States Census Bureau. American Community Survey 2010-14 </w:t>
      </w:r>
      <w:hyperlink r:id="rId2" w:history="1">
        <w:r w:rsidRPr="006D7471">
          <w:rPr>
            <w:rStyle w:val="Hyperlink"/>
            <w:rFonts w:ascii="Calibri" w:eastAsia="Perpetua" w:hAnsi="Calibri"/>
          </w:rPr>
          <w:t>http://factfinder.census.gov/faces/tableservices/jsf/pages/productview.xhtml?pid=ACS_14_5YR_S1501&amp;prodType=table</w:t>
        </w:r>
      </w:hyperlink>
    </w:p>
    <w:p w:rsidR="009103E6" w:rsidRPr="006D7471" w:rsidRDefault="009103E6" w:rsidP="00D86A11">
      <w:pPr>
        <w:pStyle w:val="EndnoteText"/>
        <w:rPr>
          <w:rFonts w:ascii="Calibri" w:hAnsi="Calibri"/>
        </w:rPr>
      </w:pPr>
    </w:p>
  </w:endnote>
  <w:endnote w:id="3">
    <w:p w:rsidR="009103E6" w:rsidRDefault="009103E6" w:rsidP="00D86A11">
      <w:pPr>
        <w:pStyle w:val="EndnoteText"/>
      </w:pPr>
      <w:r>
        <w:rPr>
          <w:rStyle w:val="EndnoteReference"/>
        </w:rPr>
        <w:endnoteRef/>
      </w:r>
      <w:r w:rsidRPr="00303945">
        <w:rPr>
          <w:rFonts w:ascii="Calibri" w:hAnsi="Calibri"/>
        </w:rPr>
        <w:t xml:space="preserve"> U. S. Bureau of Labor Statistics (USBLS), San Diego Area Economic Summary, June 29, 2016, </w:t>
      </w:r>
      <w:hyperlink r:id="rId3" w:history="1">
        <w:r w:rsidRPr="00303945">
          <w:rPr>
            <w:rFonts w:ascii="Calibri" w:hAnsi="Calibri"/>
          </w:rPr>
          <w:t>www.bls.gov</w:t>
        </w:r>
      </w:hyperlink>
      <w:r w:rsidRPr="00303945">
        <w:rPr>
          <w:rFonts w:ascii="Calibri" w:hAnsi="Calibri"/>
        </w:rPr>
        <w:t xml:space="preserve">; and USBLS News Release June 29, 2011, </w:t>
      </w:r>
      <w:hyperlink r:id="rId4" w:history="1">
        <w:r w:rsidRPr="00303945">
          <w:rPr>
            <w:rFonts w:ascii="Calibri" w:hAnsi="Calibri"/>
          </w:rPr>
          <w:t>http://www.bls.gov/news.release/archives/metro_06292011.pdf</w:t>
        </w:r>
      </w:hyperlink>
      <w:r>
        <w:rPr>
          <w:rFonts w:ascii="Calibri" w:hAnsi="Calibri"/>
        </w:rPr>
        <w:t xml:space="preserve">. </w:t>
      </w:r>
    </w:p>
    <w:p w:rsidR="009103E6" w:rsidRDefault="009103E6" w:rsidP="00D86A11">
      <w:pPr>
        <w:pStyle w:val="EndnoteText"/>
      </w:pPr>
    </w:p>
  </w:endnote>
  <w:endnote w:id="4">
    <w:p w:rsidR="009103E6" w:rsidRPr="006D7471" w:rsidRDefault="009103E6" w:rsidP="00D86A11">
      <w:pPr>
        <w:pStyle w:val="EndnoteText"/>
        <w:rPr>
          <w:rFonts w:ascii="Calibri" w:hAnsi="Calibri"/>
        </w:rPr>
      </w:pPr>
      <w:r w:rsidRPr="006D7471">
        <w:rPr>
          <w:rStyle w:val="EndnoteReference"/>
          <w:rFonts w:ascii="Calibri" w:hAnsi="Calibri"/>
        </w:rPr>
        <w:endnoteRef/>
      </w:r>
      <w:r w:rsidRPr="006D7471">
        <w:rPr>
          <w:rFonts w:ascii="Calibri" w:hAnsi="Calibri"/>
        </w:rPr>
        <w:t xml:space="preserve"> United States Census Bureau. American Community Survey 2010-14 </w:t>
      </w:r>
      <w:hyperlink r:id="rId5" w:history="1">
        <w:r w:rsidRPr="006D7471">
          <w:rPr>
            <w:rStyle w:val="Hyperlink"/>
            <w:rFonts w:ascii="Calibri" w:eastAsia="Perpetua" w:hAnsi="Calibri"/>
          </w:rPr>
          <w:t>http://factfinder.census.gov/faces/tableservices/jsf/pages/productview.xhtml?pid=ACS_14_5YR_S1901&amp;prodType=table</w:t>
        </w:r>
      </w:hyperlink>
      <w:r w:rsidRPr="006D7471">
        <w:rPr>
          <w:rFonts w:ascii="Calibri" w:hAnsi="Calibri"/>
        </w:rPr>
        <w:t xml:space="preserve"> </w:t>
      </w:r>
    </w:p>
    <w:p w:rsidR="009103E6" w:rsidRPr="006D7471" w:rsidRDefault="009103E6" w:rsidP="00D86A11">
      <w:pPr>
        <w:pStyle w:val="EndnoteText"/>
        <w:rPr>
          <w:rFonts w:ascii="Calibri" w:hAnsi="Calibri"/>
        </w:rPr>
      </w:pPr>
    </w:p>
  </w:endnote>
  <w:endnote w:id="5">
    <w:p w:rsidR="009103E6" w:rsidRDefault="009103E6" w:rsidP="00D86A11">
      <w:pPr>
        <w:pStyle w:val="EndnoteText"/>
      </w:pPr>
      <w:r>
        <w:rPr>
          <w:rStyle w:val="EndnoteReference"/>
        </w:rPr>
        <w:endnoteRef/>
      </w:r>
      <w:r>
        <w:t xml:space="preserve"> </w:t>
      </w:r>
      <w:r w:rsidRPr="00303945">
        <w:rPr>
          <w:rFonts w:ascii="Calibri" w:hAnsi="Calibri"/>
        </w:rPr>
        <w:t>National University System Institute for Policy Research. Policy Brief: Concentrated Poverty in San Diego County.</w:t>
      </w:r>
      <w:r>
        <w:t xml:space="preserve"> </w:t>
      </w:r>
      <w:hyperlink r:id="rId6" w:history="1">
        <w:r w:rsidRPr="00E518D3">
          <w:rPr>
            <w:rStyle w:val="Hyperlink"/>
          </w:rPr>
          <w:t>http://www.nusinstitute.org/assets/resources/pageResources/NUSIPR_Concentrated_Poverty_Brief.pdf</w:t>
        </w:r>
      </w:hyperlink>
      <w:r>
        <w:t xml:space="preserve">. </w:t>
      </w:r>
    </w:p>
    <w:p w:rsidR="009103E6" w:rsidRDefault="009103E6">
      <w:pPr>
        <w:pStyle w:val="EndnoteText"/>
      </w:pPr>
    </w:p>
  </w:endnote>
  <w:endnote w:id="6">
    <w:p w:rsidR="009103E6" w:rsidRPr="006D7471" w:rsidRDefault="009103E6" w:rsidP="00D86A11">
      <w:pPr>
        <w:pStyle w:val="EndnoteText"/>
        <w:rPr>
          <w:rFonts w:ascii="Calibri" w:hAnsi="Calibri"/>
        </w:rPr>
      </w:pPr>
      <w:r w:rsidRPr="006D7471">
        <w:rPr>
          <w:rStyle w:val="EndnoteReference"/>
          <w:rFonts w:ascii="Calibri" w:hAnsi="Calibri"/>
        </w:rPr>
        <w:endnoteRef/>
      </w:r>
      <w:r w:rsidRPr="006D7471">
        <w:rPr>
          <w:rFonts w:ascii="Calibri" w:hAnsi="Calibri"/>
        </w:rPr>
        <w:t xml:space="preserve"> United States Census Bureau. American Community Survey 2008-10 </w:t>
      </w:r>
      <w:hyperlink r:id="rId7" w:history="1">
        <w:r w:rsidRPr="006D7471">
          <w:rPr>
            <w:rStyle w:val="Hyperlink"/>
            <w:rFonts w:ascii="Calibri" w:eastAsia="Perpetua" w:hAnsi="Calibri"/>
          </w:rPr>
          <w:t>http://factfinder.census.gov/faces/tableservices/jsf/pages/productview.xhtml?pid=ACS_10_3YR_S1701&amp;prodType=table</w:t>
        </w:r>
      </w:hyperlink>
      <w:r w:rsidRPr="006D7471">
        <w:rPr>
          <w:rFonts w:ascii="Calibri" w:hAnsi="Calibri"/>
        </w:rPr>
        <w:t xml:space="preserve"> </w:t>
      </w:r>
    </w:p>
    <w:p w:rsidR="009103E6" w:rsidRPr="006D7471" w:rsidRDefault="009103E6" w:rsidP="00D86A11">
      <w:pPr>
        <w:pStyle w:val="EndnoteText"/>
        <w:rPr>
          <w:rFonts w:ascii="Calibri" w:hAnsi="Calibri"/>
        </w:rPr>
      </w:pPr>
    </w:p>
  </w:endnote>
  <w:endnote w:id="7">
    <w:p w:rsidR="009103E6" w:rsidRPr="006D7471" w:rsidRDefault="009103E6" w:rsidP="00D86A11">
      <w:pPr>
        <w:pStyle w:val="EndnoteText"/>
        <w:rPr>
          <w:rFonts w:ascii="Calibri" w:hAnsi="Calibri"/>
        </w:rPr>
      </w:pPr>
      <w:r w:rsidRPr="006D7471">
        <w:rPr>
          <w:rStyle w:val="EndnoteReference"/>
          <w:rFonts w:ascii="Calibri" w:hAnsi="Calibri"/>
        </w:rPr>
        <w:endnoteRef/>
      </w:r>
      <w:r w:rsidRPr="006D7471">
        <w:rPr>
          <w:rFonts w:ascii="Calibri" w:hAnsi="Calibri"/>
        </w:rPr>
        <w:t xml:space="preserve"> United States Census Bureau. American Community Survey 2010-14 </w:t>
      </w:r>
      <w:hyperlink r:id="rId8" w:history="1">
        <w:r w:rsidRPr="00D64927">
          <w:rPr>
            <w:rStyle w:val="Hyperlink"/>
          </w:rPr>
          <w:t>http://factfinder.census.gov/faces/tableservices/jsf/pages/productview.xhtml?pid=ACS_14_5YR_S1701&amp;prodType=table</w:t>
        </w:r>
      </w:hyperlink>
      <w:r>
        <w:t xml:space="preserve"> </w:t>
      </w:r>
    </w:p>
    <w:p w:rsidR="009103E6" w:rsidRPr="006D7471" w:rsidRDefault="009103E6" w:rsidP="00D86A11">
      <w:pPr>
        <w:pStyle w:val="EndnoteText"/>
        <w:rPr>
          <w:rFonts w:ascii="Calibri" w:hAnsi="Calibri"/>
        </w:rPr>
      </w:pPr>
    </w:p>
  </w:endnote>
  <w:endnote w:id="8">
    <w:p w:rsidR="009103E6" w:rsidRDefault="009103E6" w:rsidP="00D86A11">
      <w:pPr>
        <w:spacing w:after="0" w:line="240" w:lineRule="auto"/>
      </w:pPr>
      <w:r>
        <w:rPr>
          <w:rStyle w:val="EndnoteReference"/>
        </w:rPr>
        <w:endnoteRef/>
      </w:r>
      <w:r>
        <w:t xml:space="preserve"> </w:t>
      </w:r>
      <w:r w:rsidRPr="00E65290">
        <w:rPr>
          <w:rFonts w:ascii="Calibri" w:eastAsia="Times New Roman" w:hAnsi="Calibri"/>
          <w:color w:val="auto"/>
          <w:sz w:val="20"/>
          <w:lang w:eastAsia="zh-TW"/>
        </w:rPr>
        <w:t xml:space="preserve">County of San Diego, Health &amp; Human Services Agency, Public Health Services, Community Health Statistics Unit. (2016). Identifying Health Disparities to Achieve Health Equity in San Diego County: Socioeconomic Status. </w:t>
      </w:r>
      <w:hyperlink r:id="rId9" w:history="1">
        <w:r w:rsidRPr="00E65290">
          <w:rPr>
            <w:rFonts w:ascii="Calibri" w:eastAsia="Times New Roman" w:hAnsi="Calibri"/>
            <w:color w:val="auto"/>
            <w:sz w:val="20"/>
            <w:lang w:eastAsia="zh-TW"/>
          </w:rPr>
          <w:t>http://www.sandiegocounty.gov/content/dam/sdc/hhsa/programs/phs/CHS/healthequity/_HE_SES_FINAL.pdf</w:t>
        </w:r>
      </w:hyperlink>
      <w:r>
        <w:rPr>
          <w:rFonts w:ascii="Calibri" w:eastAsia="Times New Roman" w:hAnsi="Calibri"/>
          <w:color w:val="auto"/>
          <w:sz w:val="20"/>
          <w:lang w:eastAsia="zh-TW"/>
        </w:rPr>
        <w:t xml:space="preserve">. </w:t>
      </w:r>
    </w:p>
    <w:p w:rsidR="009103E6" w:rsidRDefault="009103E6">
      <w:pPr>
        <w:pStyle w:val="EndnoteText"/>
      </w:pPr>
    </w:p>
  </w:endnote>
  <w:endnote w:id="9">
    <w:p w:rsidR="009103E6" w:rsidRDefault="009103E6">
      <w:pPr>
        <w:pStyle w:val="EndnoteText"/>
      </w:pPr>
      <w:r>
        <w:rPr>
          <w:rStyle w:val="EndnoteReference"/>
        </w:rPr>
        <w:endnoteRef/>
      </w:r>
      <w:r>
        <w:t xml:space="preserve"> </w:t>
      </w:r>
      <w:r w:rsidRPr="00E94F79">
        <w:rPr>
          <w:rFonts w:ascii="Calibri" w:eastAsia="Perpetua" w:hAnsi="Calibri"/>
          <w:color w:val="000000"/>
          <w:lang w:eastAsia="en-US"/>
        </w:rPr>
        <w:t>California Housing Partnership (May 2016). Confronting San Diego County’s Rent and Poverty Crisis: A Call for Reinvestment in Affordable Homes.</w:t>
      </w:r>
    </w:p>
  </w:endnote>
  <w:endnote w:id="10">
    <w:p w:rsidR="009103E6" w:rsidRDefault="009103E6">
      <w:pPr>
        <w:pStyle w:val="EndnoteText"/>
      </w:pPr>
      <w:r>
        <w:rPr>
          <w:rStyle w:val="EndnoteReference"/>
        </w:rPr>
        <w:endnoteRef/>
      </w:r>
      <w:r>
        <w:t xml:space="preserve"> </w:t>
      </w:r>
      <w:r>
        <w:rPr>
          <w:rFonts w:ascii="Calibri" w:hAnsi="Calibri"/>
          <w:b/>
        </w:rPr>
        <w:t>Molnar, P</w:t>
      </w:r>
      <w:r w:rsidRPr="00AF4686">
        <w:rPr>
          <w:rFonts w:ascii="Calibri" w:hAnsi="Calibri"/>
          <w:b/>
        </w:rPr>
        <w:t xml:space="preserve">. </w:t>
      </w:r>
      <w:r>
        <w:rPr>
          <w:rFonts w:ascii="Calibri" w:hAnsi="Calibri"/>
          <w:b/>
        </w:rPr>
        <w:t xml:space="preserve">(April 18, 2016). </w:t>
      </w:r>
      <w:r w:rsidRPr="00AF4686">
        <w:rPr>
          <w:rFonts w:ascii="Calibri" w:hAnsi="Calibri"/>
          <w:b/>
        </w:rPr>
        <w:t xml:space="preserve">SD home price: Highest in nearly 9 years. </w:t>
      </w:r>
      <w:r w:rsidRPr="00364C06">
        <w:rPr>
          <w:rFonts w:ascii="Calibri" w:hAnsi="Calibri"/>
          <w:b/>
          <w:i/>
        </w:rPr>
        <w:t xml:space="preserve">San Diego Union-Tribune. </w:t>
      </w:r>
      <w:hyperlink r:id="rId10" w:history="1">
        <w:r w:rsidRPr="00AA2B5C">
          <w:rPr>
            <w:rStyle w:val="Hyperlink"/>
            <w:rFonts w:ascii="Calibri" w:hAnsi="Calibri" w:cs="Arial"/>
            <w:b/>
            <w:bCs/>
          </w:rPr>
          <w:t>http://www.sandiegouniontribune.com/news/2016/apr/18/march-home-prices-core-logic/</w:t>
        </w:r>
      </w:hyperlink>
      <w:r>
        <w:rPr>
          <w:rFonts w:ascii="Calibri" w:hAnsi="Calibri" w:cs="Arial"/>
          <w:b/>
          <w:bCs/>
          <w:color w:val="222222"/>
        </w:rPr>
        <w:t>.</w:t>
      </w:r>
    </w:p>
  </w:endnote>
  <w:endnote w:id="11">
    <w:p w:rsidR="009103E6" w:rsidRPr="006D7471" w:rsidRDefault="009103E6" w:rsidP="00D86A11">
      <w:pPr>
        <w:pStyle w:val="EndnoteText"/>
        <w:rPr>
          <w:rFonts w:ascii="Calibri" w:hAnsi="Calibri"/>
        </w:rPr>
      </w:pPr>
      <w:r w:rsidRPr="006D7471">
        <w:rPr>
          <w:rStyle w:val="EndnoteReference"/>
          <w:rFonts w:ascii="Calibri" w:hAnsi="Calibri"/>
        </w:rPr>
        <w:endnoteRef/>
      </w:r>
      <w:r w:rsidRPr="006D7471">
        <w:rPr>
          <w:rFonts w:ascii="Calibri" w:hAnsi="Calibri"/>
        </w:rPr>
        <w:t xml:space="preserve">  Regi</w:t>
      </w:r>
      <w:r>
        <w:rPr>
          <w:rFonts w:ascii="Calibri" w:hAnsi="Calibri"/>
        </w:rPr>
        <w:t xml:space="preserve">onal Task Force on the Homeless. </w:t>
      </w:r>
      <w:r w:rsidRPr="000351FA">
        <w:rPr>
          <w:rFonts w:ascii="Calibri" w:hAnsi="Calibri"/>
        </w:rPr>
        <w:t>2016 Point-in-Time Count: Comprehensive Report</w:t>
      </w:r>
      <w:r>
        <w:rPr>
          <w:rFonts w:ascii="Calibri" w:hAnsi="Calibri"/>
        </w:rPr>
        <w:t xml:space="preserve">; and, </w:t>
      </w:r>
      <w:r w:rsidRPr="000351FA">
        <w:rPr>
          <w:rFonts w:ascii="Calibri" w:hAnsi="Calibri"/>
        </w:rPr>
        <w:t>2014 Point-In-Time Count: General Homeless Profile</w:t>
      </w:r>
      <w:r>
        <w:rPr>
          <w:rFonts w:ascii="Calibri" w:hAnsi="Calibri"/>
        </w:rPr>
        <w:t xml:space="preserve">. </w:t>
      </w:r>
      <w:hyperlink r:id="rId11" w:history="1">
        <w:r w:rsidRPr="00AA2B5C">
          <w:rPr>
            <w:rStyle w:val="Hyperlink"/>
          </w:rPr>
          <w:t>http://www.rtfhsd.org/publications/</w:t>
        </w:r>
      </w:hyperlink>
      <w:hyperlink r:id="rId12" w:history="1">
        <w:r w:rsidRPr="00AA2B5C">
          <w:rPr>
            <w:rStyle w:val="Hyperlink"/>
          </w:rPr>
          <w:t>http://www.rtfhsd.org/publications/</w:t>
        </w:r>
      </w:hyperlink>
      <w:hyperlink r:id="rId13" w:history="1">
        <w:r w:rsidRPr="00AA2B5C">
          <w:rPr>
            <w:rStyle w:val="Hyperlink"/>
          </w:rPr>
          <w:t>http://www.rtfhsd.org/publications/</w:t>
        </w:r>
      </w:hyperlink>
      <w:r>
        <w:t>.</w:t>
      </w:r>
    </w:p>
    <w:p w:rsidR="009103E6" w:rsidRPr="006D7471" w:rsidRDefault="009103E6" w:rsidP="00D86A11">
      <w:pPr>
        <w:pStyle w:val="EndnoteText"/>
        <w:rPr>
          <w:rFonts w:ascii="Calibri" w:hAnsi="Calibri"/>
        </w:rPr>
      </w:pPr>
    </w:p>
  </w:endnote>
  <w:endnote w:id="12">
    <w:p w:rsidR="009103E6" w:rsidRPr="00BA4839" w:rsidRDefault="009103E6" w:rsidP="00D86A11">
      <w:pPr>
        <w:pStyle w:val="EndnoteText"/>
        <w:rPr>
          <w:rFonts w:ascii="Calibri" w:hAnsi="Calibri"/>
        </w:rPr>
      </w:pPr>
      <w:r w:rsidRPr="006D7471">
        <w:rPr>
          <w:rStyle w:val="EndnoteReference"/>
          <w:rFonts w:ascii="Calibri" w:hAnsi="Calibri"/>
          <w:sz w:val="22"/>
          <w:szCs w:val="22"/>
        </w:rPr>
        <w:endnoteRef/>
      </w:r>
      <w:r w:rsidRPr="006D7471">
        <w:rPr>
          <w:rFonts w:ascii="Calibri" w:hAnsi="Calibri"/>
          <w:sz w:val="22"/>
          <w:szCs w:val="22"/>
        </w:rPr>
        <w:t xml:space="preserve"> </w:t>
      </w:r>
      <w:r w:rsidRPr="00BA4839">
        <w:rPr>
          <w:rFonts w:ascii="Calibri" w:hAnsi="Calibri"/>
        </w:rPr>
        <w:t xml:space="preserve">San Diego Association of Governments (SANDAG), Tribal Governments Project. </w:t>
      </w:r>
    </w:p>
    <w:p w:rsidR="009103E6" w:rsidRPr="00BA4839" w:rsidRDefault="006415CB" w:rsidP="00D86A11">
      <w:pPr>
        <w:pStyle w:val="EndnoteText"/>
        <w:ind w:firstLine="720"/>
        <w:rPr>
          <w:rFonts w:ascii="Calibri" w:hAnsi="Calibri"/>
        </w:rPr>
      </w:pPr>
      <w:hyperlink r:id="rId14" w:history="1">
        <w:r w:rsidR="009103E6" w:rsidRPr="00BA4839">
          <w:t>http://www.sandag.org/?subclassid=105&amp;fuseaction=home.subclasshome</w:t>
        </w:r>
      </w:hyperlink>
    </w:p>
    <w:p w:rsidR="009103E6" w:rsidRPr="006D7471" w:rsidRDefault="009103E6" w:rsidP="00D86A11">
      <w:pPr>
        <w:pStyle w:val="EndnoteText"/>
        <w:rPr>
          <w:rFonts w:ascii="Calibri" w:hAnsi="Calibri"/>
          <w:sz w:val="22"/>
          <w:szCs w:val="22"/>
        </w:rPr>
      </w:pPr>
    </w:p>
  </w:endnote>
  <w:endnote w:id="13">
    <w:p w:rsidR="009103E6" w:rsidRPr="006D7471" w:rsidRDefault="009103E6" w:rsidP="00D86A11">
      <w:pPr>
        <w:pStyle w:val="EndnoteText"/>
        <w:rPr>
          <w:rFonts w:ascii="Calibri" w:hAnsi="Calibri"/>
        </w:rPr>
      </w:pPr>
      <w:r w:rsidRPr="006D7471">
        <w:rPr>
          <w:rStyle w:val="EndnoteReference"/>
          <w:rFonts w:ascii="Calibri" w:hAnsi="Calibri"/>
        </w:rPr>
        <w:endnoteRef/>
      </w:r>
      <w:r w:rsidRPr="006D7471">
        <w:rPr>
          <w:rFonts w:ascii="Calibri" w:hAnsi="Calibri"/>
        </w:rPr>
        <w:t xml:space="preserve"> </w:t>
      </w:r>
      <w:r w:rsidRPr="00BA4839">
        <w:rPr>
          <w:rFonts w:ascii="Calibri" w:hAnsi="Calibri"/>
        </w:rPr>
        <w:t xml:space="preserve">Kidsdata.org, Lucille Packard Foundation for Children’s Health. </w:t>
      </w:r>
      <w:hyperlink r:id="rId15" w:history="1">
        <w:r w:rsidRPr="00BA4839">
          <w:t>www.kidsdata.org</w:t>
        </w:r>
      </w:hyperlink>
      <w:r w:rsidRPr="00BA4839">
        <w:rPr>
          <w:rFonts w:ascii="Calibri" w:hAnsi="Calibri"/>
        </w:rPr>
        <w:t xml:space="preserve">. </w:t>
      </w:r>
    </w:p>
    <w:p w:rsidR="009103E6" w:rsidRPr="006D7471" w:rsidRDefault="009103E6" w:rsidP="00D86A11">
      <w:pPr>
        <w:pStyle w:val="EndnoteText"/>
        <w:rPr>
          <w:rFonts w:ascii="Calibri" w:hAnsi="Calibri"/>
        </w:rPr>
      </w:pPr>
    </w:p>
  </w:endnote>
  <w:endnote w:id="14">
    <w:p w:rsidR="009103E6" w:rsidRPr="006D7471" w:rsidRDefault="009103E6" w:rsidP="00D86A11">
      <w:pPr>
        <w:pStyle w:val="EndnoteText"/>
        <w:rPr>
          <w:rFonts w:ascii="Calibri" w:hAnsi="Calibri"/>
        </w:rPr>
      </w:pPr>
      <w:r w:rsidRPr="006D7471">
        <w:rPr>
          <w:rStyle w:val="EndnoteReference"/>
          <w:rFonts w:ascii="Calibri" w:hAnsi="Calibri"/>
        </w:rPr>
        <w:endnoteRef/>
      </w:r>
      <w:r w:rsidRPr="006D7471">
        <w:rPr>
          <w:rFonts w:ascii="Calibri" w:hAnsi="Calibri"/>
        </w:rPr>
        <w:t xml:space="preserve">  California Department of Education Data Reporting Office. 2014-2015 </w:t>
      </w:r>
      <w:hyperlink r:id="rId16" w:history="1">
        <w:r w:rsidRPr="006D7471">
          <w:rPr>
            <w:rStyle w:val="Hyperlink"/>
            <w:rFonts w:ascii="Calibri" w:eastAsia="Perpetua" w:hAnsi="Calibri"/>
          </w:rPr>
          <w:t>http://data1.cde.ca.gov/dataquest/cohortmulti/CohortMultiYear.aspx?agglevel=O&amp;cdscode=37000000000000</w:t>
        </w:r>
      </w:hyperlink>
      <w:r w:rsidRPr="006D7471">
        <w:rPr>
          <w:rFonts w:ascii="Calibri" w:hAnsi="Calibri"/>
        </w:rPr>
        <w:t xml:space="preserve"> </w:t>
      </w:r>
    </w:p>
    <w:p w:rsidR="009103E6" w:rsidRPr="006D7471" w:rsidRDefault="009103E6" w:rsidP="00D86A11">
      <w:pPr>
        <w:pStyle w:val="EndnoteText"/>
        <w:ind w:firstLine="720"/>
        <w:rPr>
          <w:rFonts w:ascii="Calibri" w:hAnsi="Calibri"/>
        </w:rPr>
      </w:pPr>
    </w:p>
    <w:p w:rsidR="009103E6" w:rsidRPr="006D7471" w:rsidRDefault="009103E6" w:rsidP="00D86A11">
      <w:pPr>
        <w:pStyle w:val="EndnoteText"/>
        <w:rPr>
          <w:rFonts w:ascii="Calibri" w:hAnsi="Calibri"/>
        </w:rPr>
      </w:pPr>
    </w:p>
  </w:endnote>
  <w:endnote w:id="15">
    <w:p w:rsidR="009103E6" w:rsidRPr="006D7471" w:rsidRDefault="009103E6" w:rsidP="00D86A11">
      <w:pPr>
        <w:pStyle w:val="EndnoteText"/>
        <w:rPr>
          <w:rFonts w:ascii="Calibri" w:hAnsi="Calibri"/>
        </w:rPr>
      </w:pPr>
      <w:r w:rsidRPr="006D7471">
        <w:rPr>
          <w:rStyle w:val="EndnoteReference"/>
          <w:rFonts w:ascii="Calibri" w:hAnsi="Calibri"/>
        </w:rPr>
        <w:endnoteRef/>
      </w:r>
      <w:r w:rsidRPr="006D7471">
        <w:rPr>
          <w:rFonts w:ascii="Calibri" w:hAnsi="Calibri"/>
        </w:rPr>
        <w:t xml:space="preserve"> </w:t>
      </w:r>
      <w:hyperlink r:id="rId17" w:anchor="ind=&amp;say=674,675&amp;cat=37" w:history="1">
        <w:r w:rsidRPr="006D7471">
          <w:rPr>
            <w:rStyle w:val="Hyperlink"/>
            <w:rFonts w:ascii="Calibri" w:eastAsia="Perpetua" w:hAnsi="Calibri"/>
          </w:rPr>
          <w:t>http://www.kidsdata.org/region/368/san-diego-county/results#ind=&amp;say=674,675&amp;cat=37</w:t>
        </w:r>
      </w:hyperlink>
      <w:r w:rsidRPr="006D7471">
        <w:rPr>
          <w:rFonts w:ascii="Calibri" w:hAnsi="Calibri"/>
        </w:rPr>
        <w:t xml:space="preserve"> </w:t>
      </w:r>
    </w:p>
    <w:p w:rsidR="009103E6" w:rsidRPr="006D7471" w:rsidRDefault="009103E6" w:rsidP="00D86A11">
      <w:pPr>
        <w:pStyle w:val="EndnoteText"/>
        <w:rPr>
          <w:rFonts w:ascii="Calibri" w:hAnsi="Calibri"/>
          <w:color w:val="0000FF"/>
          <w:u w:val="single"/>
        </w:rPr>
      </w:pPr>
    </w:p>
  </w:endnote>
  <w:endnote w:id="16">
    <w:p w:rsidR="009103E6" w:rsidRDefault="009103E6" w:rsidP="00D86A11">
      <w:pPr>
        <w:pStyle w:val="EndnoteText"/>
        <w:rPr>
          <w:rFonts w:ascii="Calibri" w:hAnsi="Calibri"/>
          <w:sz w:val="22"/>
          <w:szCs w:val="22"/>
        </w:rPr>
      </w:pPr>
      <w:r w:rsidRPr="006D7471">
        <w:rPr>
          <w:rStyle w:val="EndnoteReference"/>
          <w:rFonts w:ascii="Calibri" w:hAnsi="Calibri"/>
        </w:rPr>
        <w:endnoteRef/>
      </w:r>
      <w:r w:rsidRPr="006D7471">
        <w:rPr>
          <w:rFonts w:ascii="Calibri" w:hAnsi="Calibri"/>
        </w:rPr>
        <w:t xml:space="preserve"> </w:t>
      </w:r>
      <w:r w:rsidRPr="00BA4839">
        <w:rPr>
          <w:rFonts w:ascii="Calibri" w:hAnsi="Calibri"/>
        </w:rPr>
        <w:t xml:space="preserve">Lucille Packard Foundation for Children’s Health. Kidsdata.org. </w:t>
      </w:r>
      <w:hyperlink r:id="rId18" w:history="1">
        <w:r w:rsidRPr="00BA4839">
          <w:t>www.kidsdata.org</w:t>
        </w:r>
      </w:hyperlink>
      <w:r w:rsidRPr="00BA4839">
        <w:rPr>
          <w:rFonts w:ascii="Calibri" w:hAnsi="Calibri"/>
        </w:rPr>
        <w:t>.</w:t>
      </w:r>
    </w:p>
    <w:p w:rsidR="009103E6" w:rsidRPr="006D7471" w:rsidRDefault="009103E6" w:rsidP="00D86A11">
      <w:pPr>
        <w:pStyle w:val="EndnoteText"/>
        <w:rPr>
          <w:rFonts w:ascii="Calibri" w:hAnsi="Calibri"/>
          <w:color w:val="0000FF"/>
          <w:u w:val="single"/>
        </w:rPr>
      </w:pPr>
    </w:p>
  </w:endnote>
  <w:endnote w:id="17">
    <w:p w:rsidR="009103E6" w:rsidRPr="006D7471" w:rsidRDefault="009103E6" w:rsidP="00D86A11">
      <w:pPr>
        <w:pStyle w:val="EndnoteText"/>
        <w:rPr>
          <w:rFonts w:ascii="Calibri" w:hAnsi="Calibri"/>
        </w:rPr>
      </w:pPr>
      <w:r w:rsidRPr="006D7471">
        <w:rPr>
          <w:rStyle w:val="EndnoteReference"/>
          <w:rFonts w:ascii="Calibri" w:hAnsi="Calibri"/>
        </w:rPr>
        <w:endnoteRef/>
      </w:r>
      <w:r w:rsidRPr="006D7471">
        <w:rPr>
          <w:rFonts w:ascii="Calibri" w:hAnsi="Calibri"/>
        </w:rPr>
        <w:t xml:space="preserve"> </w:t>
      </w:r>
      <w:hyperlink r:id="rId19" w:anchor="1/child-and-youth-safety" w:history="1">
        <w:r w:rsidRPr="006D7471">
          <w:rPr>
            <w:rStyle w:val="Hyperlink"/>
            <w:rFonts w:ascii="Calibri" w:eastAsia="Perpetua" w:hAnsi="Calibri"/>
          </w:rPr>
          <w:t>http://www.kidsdata.org/region/368/san-diego-county/summary#1/child-and-youth-safety</w:t>
        </w:r>
      </w:hyperlink>
      <w:r w:rsidRPr="006D7471">
        <w:rPr>
          <w:rFonts w:ascii="Calibri" w:hAnsi="Calibri"/>
        </w:rPr>
        <w:t xml:space="preserve"> </w:t>
      </w:r>
    </w:p>
    <w:p w:rsidR="009103E6" w:rsidRPr="006D7471" w:rsidRDefault="009103E6" w:rsidP="00D86A11">
      <w:pPr>
        <w:pStyle w:val="EndnoteText"/>
        <w:rPr>
          <w:rFonts w:ascii="Calibri" w:hAnsi="Calibri"/>
          <w:color w:val="0000FF"/>
          <w:u w:val="single"/>
        </w:rPr>
      </w:pPr>
    </w:p>
  </w:endnote>
  <w:endnote w:id="18">
    <w:p w:rsidR="009103E6" w:rsidRPr="006D7471" w:rsidRDefault="009103E6" w:rsidP="00D86A11">
      <w:pPr>
        <w:pStyle w:val="EndnoteText"/>
        <w:rPr>
          <w:rFonts w:ascii="Calibri" w:hAnsi="Calibri"/>
          <w:color w:val="0000FF"/>
          <w:u w:val="single"/>
        </w:rPr>
      </w:pPr>
      <w:r w:rsidRPr="006D7471">
        <w:rPr>
          <w:rStyle w:val="EndnoteReference"/>
          <w:rFonts w:ascii="Calibri" w:hAnsi="Calibri"/>
        </w:rPr>
        <w:endnoteRef/>
      </w:r>
      <w:r w:rsidRPr="006D7471">
        <w:rPr>
          <w:rFonts w:ascii="Calibri" w:hAnsi="Calibri"/>
        </w:rPr>
        <w:t xml:space="preserve">  </w:t>
      </w:r>
      <w:hyperlink r:id="rId20" w:anchor="ind=&amp;say=&amp;cat=44" w:history="1">
        <w:r w:rsidRPr="006D7471">
          <w:rPr>
            <w:rStyle w:val="Hyperlink"/>
            <w:rFonts w:ascii="Calibri" w:eastAsia="Perpetua" w:hAnsi="Calibri"/>
          </w:rPr>
          <w:t>http://www.kidsdata.org/region/368/san-diego-county/results#ind=&amp;say=&amp;cat=44</w:t>
        </w:r>
      </w:hyperlink>
    </w:p>
    <w:p w:rsidR="009103E6" w:rsidRPr="006D7471" w:rsidRDefault="009103E6" w:rsidP="00D86A11">
      <w:pPr>
        <w:pStyle w:val="EndnoteText"/>
        <w:rPr>
          <w:rFonts w:ascii="Calibri" w:hAnsi="Calibri"/>
        </w:rPr>
      </w:pPr>
    </w:p>
  </w:endnote>
  <w:endnote w:id="19">
    <w:p w:rsidR="009103E6" w:rsidRDefault="009103E6">
      <w:pPr>
        <w:pStyle w:val="EndnoteText"/>
      </w:pPr>
      <w:r>
        <w:rPr>
          <w:rStyle w:val="EndnoteReference"/>
        </w:rPr>
        <w:endnoteRef/>
      </w:r>
      <w:r>
        <w:t xml:space="preserve"> Waldfogel, J. et. al. (Fall 2010). </w:t>
      </w:r>
      <w:r w:rsidRPr="00364C06">
        <w:rPr>
          <w:rFonts w:ascii="Calibri" w:hAnsi="Calibri"/>
        </w:rPr>
        <w:t>Fragile Families</w:t>
      </w:r>
      <w:r>
        <w:rPr>
          <w:rFonts w:ascii="Calibri" w:hAnsi="Calibri"/>
        </w:rPr>
        <w:t xml:space="preserve"> and Child Well-Being</w:t>
      </w:r>
      <w:r>
        <w:rPr>
          <w:rFonts w:ascii="Calibri" w:hAnsi="Calibri"/>
          <w:i/>
        </w:rPr>
        <w:t>.</w:t>
      </w:r>
      <w:r w:rsidRPr="00152E5D">
        <w:rPr>
          <w:rFonts w:ascii="Calibri" w:hAnsi="Calibri"/>
        </w:rPr>
        <w:t> </w:t>
      </w:r>
      <w:r w:rsidRPr="00364C06">
        <w:rPr>
          <w:i/>
        </w:rPr>
        <w:t>The Future of Children</w:t>
      </w:r>
      <w:r>
        <w:t xml:space="preserve">. </w:t>
      </w:r>
      <w:r w:rsidRPr="00152E5D">
        <w:rPr>
          <w:rFonts w:ascii="Calibri" w:hAnsi="Calibri"/>
        </w:rPr>
        <w:t>Volume 20</w:t>
      </w:r>
      <w:r>
        <w:rPr>
          <w:rFonts w:ascii="Calibri" w:hAnsi="Calibri"/>
        </w:rPr>
        <w:t xml:space="preserve"> (2). </w:t>
      </w:r>
      <w:hyperlink r:id="rId21" w:history="1">
        <w:r w:rsidRPr="000719AE">
          <w:rPr>
            <w:rStyle w:val="Hyperlink"/>
          </w:rPr>
          <w:t>http://www.futureofchildren.org/publications/journals/article/index.xml?journalid=73&amp;articleid=532&amp;sectionid=3661</w:t>
        </w:r>
      </w:hyperlink>
      <w:r>
        <w:t>.</w:t>
      </w:r>
    </w:p>
  </w:endnote>
  <w:endnote w:id="20">
    <w:p w:rsidR="009103E6" w:rsidRPr="006D7471" w:rsidRDefault="009103E6" w:rsidP="00D86A11">
      <w:pPr>
        <w:pStyle w:val="EndnoteText"/>
        <w:rPr>
          <w:rFonts w:ascii="Calibri" w:hAnsi="Calibri"/>
        </w:rPr>
      </w:pPr>
      <w:r w:rsidRPr="006D7471">
        <w:rPr>
          <w:rStyle w:val="EndnoteReference"/>
          <w:rFonts w:ascii="Calibri" w:hAnsi="Calibri"/>
        </w:rPr>
        <w:endnoteRef/>
      </w:r>
      <w:r w:rsidRPr="006D7471">
        <w:rPr>
          <w:rFonts w:ascii="Calibri" w:hAnsi="Calibri"/>
        </w:rPr>
        <w:t xml:space="preserve"> United States Census Bureau. American Community Survey 2010-14 </w:t>
      </w:r>
      <w:hyperlink r:id="rId22" w:history="1">
        <w:r w:rsidRPr="006D7471">
          <w:rPr>
            <w:rStyle w:val="Hyperlink"/>
            <w:rFonts w:ascii="Calibri" w:eastAsia="Perpetua" w:hAnsi="Calibri"/>
          </w:rPr>
          <w:t>http://factfinder.census.gov/faces/tableservices/jsf/pages/productview.xhtml?pid=ACS_14_5YR_S1101&amp;prodType=table</w:t>
        </w:r>
      </w:hyperlink>
    </w:p>
    <w:p w:rsidR="009103E6" w:rsidRPr="006D7471" w:rsidRDefault="009103E6" w:rsidP="00D86A11">
      <w:pPr>
        <w:pStyle w:val="EndnoteText"/>
        <w:rPr>
          <w:rFonts w:ascii="Calibri" w:hAnsi="Calibri"/>
        </w:rPr>
      </w:pPr>
    </w:p>
    <w:p w:rsidR="009103E6" w:rsidRPr="006D7471" w:rsidRDefault="009103E6" w:rsidP="00D86A11">
      <w:pPr>
        <w:pStyle w:val="EndnoteText"/>
        <w:rPr>
          <w:rFonts w:ascii="Calibri" w:hAnsi="Calibri"/>
        </w:rPr>
      </w:pPr>
    </w:p>
  </w:endnote>
  <w:endnote w:id="21">
    <w:p w:rsidR="009103E6" w:rsidRPr="006D7471" w:rsidRDefault="009103E6" w:rsidP="00D86A11">
      <w:pPr>
        <w:pStyle w:val="EndnoteText"/>
        <w:rPr>
          <w:rFonts w:ascii="Calibri" w:hAnsi="Calibri"/>
        </w:rPr>
      </w:pPr>
      <w:r w:rsidRPr="006D7471">
        <w:rPr>
          <w:rStyle w:val="EndnoteReference"/>
          <w:rFonts w:ascii="Calibri" w:hAnsi="Calibri"/>
        </w:rPr>
        <w:endnoteRef/>
      </w:r>
      <w:r w:rsidRPr="006D7471">
        <w:rPr>
          <w:rFonts w:ascii="Calibri" w:hAnsi="Calibri"/>
        </w:rPr>
        <w:t xml:space="preserve"> United States Census Bureau. American Community Survey 2010-14 </w:t>
      </w:r>
      <w:hyperlink r:id="rId23" w:history="1">
        <w:r w:rsidRPr="006D7471">
          <w:rPr>
            <w:rStyle w:val="Hyperlink"/>
            <w:rFonts w:ascii="Calibri" w:eastAsia="Perpetua" w:hAnsi="Calibri"/>
          </w:rPr>
          <w:t>http://factfinder.census.gov/faces/tableservices/jsf/pages/productview.xhtml?pid=ACS_14_5YR_S1101&amp;prodType=table</w:t>
        </w:r>
      </w:hyperlink>
    </w:p>
    <w:p w:rsidR="009103E6" w:rsidRPr="006D7471" w:rsidRDefault="009103E6" w:rsidP="00D86A11">
      <w:pPr>
        <w:pStyle w:val="EndnoteText"/>
        <w:rPr>
          <w:rFonts w:ascii="Calibri" w:hAnsi="Calibri"/>
        </w:rPr>
      </w:pPr>
    </w:p>
    <w:p w:rsidR="009103E6" w:rsidRPr="006D7471" w:rsidRDefault="009103E6" w:rsidP="00D86A11">
      <w:pPr>
        <w:pStyle w:val="EndnoteText"/>
        <w:rPr>
          <w:rFonts w:ascii="Calibri" w:hAnsi="Calibri"/>
        </w:rPr>
      </w:pPr>
    </w:p>
  </w:endnote>
  <w:endnote w:id="22">
    <w:p w:rsidR="009103E6" w:rsidRPr="00024942" w:rsidRDefault="009103E6" w:rsidP="00D86A11">
      <w:pPr>
        <w:rPr>
          <w:rFonts w:ascii="Calibri" w:hAnsi="Calibri" w:cs="Helvetica"/>
          <w:i/>
          <w:iCs/>
          <w:color w:val="666666"/>
          <w:sz w:val="20"/>
          <w:lang w:val="es-MX"/>
        </w:rPr>
      </w:pPr>
      <w:r>
        <w:rPr>
          <w:rStyle w:val="EndnoteReference"/>
        </w:rPr>
        <w:endnoteRef/>
      </w:r>
      <w:r>
        <w:t xml:space="preserve"> </w:t>
      </w:r>
      <w:r w:rsidRPr="00D45673">
        <w:rPr>
          <w:rFonts w:ascii="Calibri" w:hAnsi="Calibri"/>
          <w:sz w:val="20"/>
        </w:rPr>
        <w:t xml:space="preserve">Lemlin, W. (February 26, 2016). Rent Uncontrolled: Dramatic rent hikes are pushing renters out of San Diego. </w:t>
      </w:r>
      <w:r w:rsidRPr="00024942">
        <w:rPr>
          <w:rFonts w:ascii="Calibri" w:hAnsi="Calibri"/>
          <w:sz w:val="20"/>
          <w:lang w:val="es-MX"/>
        </w:rPr>
        <w:t xml:space="preserve">San Diego Magazine. </w:t>
      </w:r>
      <w:hyperlink r:id="rId24" w:history="1">
        <w:r w:rsidRPr="00024942">
          <w:rPr>
            <w:rStyle w:val="Hyperlink"/>
            <w:rFonts w:ascii="Calibri" w:hAnsi="Calibri" w:cs="Helvetica"/>
            <w:i/>
            <w:iCs/>
            <w:sz w:val="20"/>
            <w:lang w:val="es-MX"/>
          </w:rPr>
          <w:t>http://www.sandiegomagazine.com/San-Diego-Magazine/March-2016/San-Diegos-Next-Hot-Neighborhoods/Rent-Uncontrolled/</w:t>
        </w:r>
      </w:hyperlink>
    </w:p>
    <w:p w:rsidR="009103E6" w:rsidRPr="00AF3521" w:rsidRDefault="009103E6">
      <w:pPr>
        <w:pStyle w:val="EndnoteText"/>
        <w:rPr>
          <w:lang w:val="es-MX"/>
        </w:rPr>
      </w:pPr>
    </w:p>
  </w:endnote>
  <w:endnote w:id="23">
    <w:p w:rsidR="009103E6" w:rsidRPr="00024942" w:rsidRDefault="009103E6" w:rsidP="00FA4E22">
      <w:pPr>
        <w:pStyle w:val="EndnoteText"/>
        <w:rPr>
          <w:rFonts w:ascii="Calibri" w:hAnsi="Calibri"/>
          <w:lang w:val="es-MX"/>
        </w:rPr>
      </w:pPr>
    </w:p>
    <w:p w:rsidR="009103E6" w:rsidRPr="006D7471" w:rsidRDefault="009103E6" w:rsidP="00FA4E22">
      <w:pPr>
        <w:pStyle w:val="EndnoteText"/>
        <w:rPr>
          <w:rFonts w:ascii="Calibri" w:hAnsi="Calibri"/>
        </w:rPr>
      </w:pPr>
      <w:r w:rsidRPr="006D7471">
        <w:rPr>
          <w:rStyle w:val="EndnoteReference"/>
          <w:rFonts w:ascii="Calibri" w:hAnsi="Calibri"/>
        </w:rPr>
        <w:endnoteRef/>
      </w:r>
      <w:r w:rsidRPr="006D7471">
        <w:rPr>
          <w:rFonts w:ascii="Calibri" w:hAnsi="Calibri"/>
        </w:rPr>
        <w:t xml:space="preserve"> </w:t>
      </w:r>
      <w:r>
        <w:rPr>
          <w:rFonts w:ascii="Calibri" w:hAnsi="Calibri"/>
        </w:rPr>
        <w:t xml:space="preserve">County Health Rankings and Roadmaps. Robert Wood Johnson Foundation. </w:t>
      </w:r>
      <w:hyperlink r:id="rId25" w:history="1">
        <w:r w:rsidRPr="000719AE">
          <w:rPr>
            <w:rStyle w:val="Hyperlink"/>
            <w:rFonts w:ascii="Calibri" w:hAnsi="Calibri"/>
          </w:rPr>
          <w:t>http://www.countyhealthrankings.org/app/california/2016/rankings/san-diego/county/outcomes/overall/snapshot</w:t>
        </w:r>
      </w:hyperlink>
      <w:r>
        <w:rPr>
          <w:rFonts w:ascii="Calibri" w:hAnsi="Calibri"/>
        </w:rPr>
        <w:t xml:space="preserve">. </w:t>
      </w:r>
    </w:p>
    <w:p w:rsidR="009103E6" w:rsidRPr="006D7471" w:rsidRDefault="009103E6" w:rsidP="00FA4E22">
      <w:pPr>
        <w:pStyle w:val="EndnoteText"/>
        <w:rPr>
          <w:rFonts w:ascii="Calibri" w:hAnsi="Calibri"/>
        </w:rPr>
      </w:pPr>
    </w:p>
    <w:p w:rsidR="009103E6" w:rsidRPr="006D7471" w:rsidRDefault="009103E6" w:rsidP="00FA4E22">
      <w:pPr>
        <w:pStyle w:val="EndnoteText"/>
        <w:rPr>
          <w:rFonts w:ascii="Calibri" w:hAnsi="Calibri"/>
        </w:rPr>
      </w:pPr>
    </w:p>
  </w:endnote>
  <w:endnote w:id="24">
    <w:p w:rsidR="009103E6" w:rsidRDefault="009103E6" w:rsidP="00D86A11">
      <w:pPr>
        <w:pStyle w:val="EndnoteText"/>
      </w:pPr>
      <w:r>
        <w:rPr>
          <w:rStyle w:val="EndnoteReference"/>
        </w:rPr>
        <w:endnoteRef/>
      </w:r>
      <w:r>
        <w:t xml:space="preserve"> </w:t>
      </w:r>
      <w:r w:rsidRPr="00BA4839">
        <w:rPr>
          <w:rFonts w:ascii="Calibri" w:hAnsi="Calibri"/>
        </w:rPr>
        <w:t xml:space="preserve">County of San Diego (2015). 2015 Methamphetamine Strike Force Report Card. </w:t>
      </w:r>
      <w:hyperlink r:id="rId26" w:history="1">
        <w:r w:rsidRPr="00BA4839">
          <w:rPr>
            <w:rFonts w:ascii="Calibri" w:hAnsi="Calibri"/>
          </w:rPr>
          <w:t>https://www.justice.gov/usao-sdca/file/796391/download</w:t>
        </w:r>
      </w:hyperlink>
      <w:r w:rsidRPr="00BA4839">
        <w:rPr>
          <w:rFonts w:ascii="Calibri" w:hAnsi="Calibri"/>
        </w:rPr>
        <w:t xml:space="preserve">. </w:t>
      </w:r>
    </w:p>
    <w:p w:rsidR="009103E6" w:rsidRDefault="009103E6" w:rsidP="00D86A11">
      <w:pPr>
        <w:pStyle w:val="EndnoteText"/>
      </w:pPr>
    </w:p>
  </w:endnote>
  <w:endnote w:id="25">
    <w:p w:rsidR="009103E6" w:rsidRPr="006D7471" w:rsidRDefault="009103E6" w:rsidP="00D86A11">
      <w:pPr>
        <w:pStyle w:val="EndnoteText"/>
        <w:rPr>
          <w:rFonts w:ascii="Calibri" w:hAnsi="Calibri"/>
        </w:rPr>
      </w:pPr>
      <w:r w:rsidRPr="006D7471">
        <w:rPr>
          <w:rStyle w:val="EndnoteReference"/>
          <w:rFonts w:ascii="Calibri" w:hAnsi="Calibri"/>
        </w:rPr>
        <w:endnoteRef/>
      </w:r>
      <w:r w:rsidRPr="006D7471">
        <w:rPr>
          <w:rFonts w:ascii="Calibri" w:hAnsi="Calibri"/>
        </w:rPr>
        <w:t xml:space="preserve"> 2014 data: </w:t>
      </w:r>
      <w:r w:rsidR="00265A2F" w:rsidRPr="006D7471">
        <w:rPr>
          <w:rFonts w:ascii="Calibri" w:hAnsi="Calibri"/>
        </w:rPr>
        <w:fldChar w:fldCharType="begin"/>
      </w:r>
      <w:r w:rsidRPr="006D7471">
        <w:rPr>
          <w:rFonts w:ascii="Calibri" w:hAnsi="Calibri"/>
        </w:rPr>
        <w:instrText xml:space="preserve"> HYPERLINK "http://www.sandiegocounty.gov/content/dam/sdc/me/docs/SDME_Annual_Report_2014.pdf </w:instrText>
      </w:r>
    </w:p>
    <w:p w:rsidR="009103E6" w:rsidRPr="006D7471" w:rsidRDefault="009103E6" w:rsidP="00D86A11">
      <w:pPr>
        <w:pStyle w:val="EndnoteText"/>
        <w:rPr>
          <w:rStyle w:val="Hyperlink"/>
          <w:rFonts w:ascii="Calibri" w:eastAsia="Perpetua" w:hAnsi="Calibri"/>
        </w:rPr>
      </w:pPr>
      <w:r w:rsidRPr="006D7471">
        <w:rPr>
          <w:rFonts w:ascii="Calibri" w:hAnsi="Calibri"/>
        </w:rPr>
        <w:instrText xml:space="preserve">2011" </w:instrText>
      </w:r>
      <w:r w:rsidR="00265A2F" w:rsidRPr="006D7471">
        <w:rPr>
          <w:rFonts w:ascii="Calibri" w:hAnsi="Calibri"/>
        </w:rPr>
        <w:fldChar w:fldCharType="separate"/>
      </w:r>
      <w:r w:rsidRPr="006D7471">
        <w:rPr>
          <w:rStyle w:val="Hyperlink"/>
          <w:rFonts w:ascii="Calibri" w:eastAsia="Perpetua" w:hAnsi="Calibri"/>
        </w:rPr>
        <w:t xml:space="preserve">http://www.sandiegocounty.gov/content/dam/sdc/me/docs/SDME_Annual_Report_2014.pdf </w:t>
      </w:r>
    </w:p>
    <w:p w:rsidR="009103E6" w:rsidRPr="006D7471" w:rsidRDefault="009103E6" w:rsidP="00D86A11">
      <w:pPr>
        <w:pStyle w:val="EndnoteText"/>
        <w:rPr>
          <w:rFonts w:ascii="Calibri" w:hAnsi="Calibri"/>
        </w:rPr>
      </w:pPr>
      <w:r w:rsidRPr="006D7471">
        <w:rPr>
          <w:rStyle w:val="Hyperlink"/>
          <w:rFonts w:ascii="Calibri" w:eastAsia="Perpetua" w:hAnsi="Calibri"/>
        </w:rPr>
        <w:t>2011</w:t>
      </w:r>
      <w:r w:rsidR="00265A2F" w:rsidRPr="006D7471">
        <w:rPr>
          <w:rFonts w:ascii="Calibri" w:hAnsi="Calibri"/>
        </w:rPr>
        <w:fldChar w:fldCharType="end"/>
      </w:r>
      <w:r w:rsidRPr="006D7471">
        <w:rPr>
          <w:rFonts w:ascii="Calibri" w:hAnsi="Calibri"/>
        </w:rPr>
        <w:t xml:space="preserve"> data:  </w:t>
      </w:r>
    </w:p>
    <w:p w:rsidR="009103E6" w:rsidRPr="006D7471" w:rsidRDefault="006415CB" w:rsidP="00D86A11">
      <w:pPr>
        <w:pStyle w:val="EndnoteText"/>
        <w:rPr>
          <w:rFonts w:ascii="Calibri" w:hAnsi="Calibri"/>
        </w:rPr>
      </w:pPr>
      <w:hyperlink r:id="rId27" w:history="1">
        <w:r w:rsidR="009103E6" w:rsidRPr="006D7471">
          <w:rPr>
            <w:rStyle w:val="Hyperlink"/>
            <w:rFonts w:ascii="Calibri" w:eastAsia="Perpetua" w:hAnsi="Calibri"/>
          </w:rPr>
          <w:t>http://www.sandiegocounty.gov/content/dam/sdc/me/docs/SDME_Annual_Report_2011.pdf</w:t>
        </w:r>
      </w:hyperlink>
      <w:r w:rsidR="009103E6" w:rsidRPr="006D7471">
        <w:rPr>
          <w:rFonts w:ascii="Calibri" w:hAnsi="Calibri"/>
        </w:rPr>
        <w:t xml:space="preserve"> </w:t>
      </w:r>
    </w:p>
    <w:p w:rsidR="009103E6" w:rsidRPr="006D7471" w:rsidRDefault="009103E6" w:rsidP="00D86A11">
      <w:pPr>
        <w:pStyle w:val="EndnoteText"/>
        <w:rPr>
          <w:rFonts w:ascii="Calibri" w:hAnsi="Calibri"/>
        </w:rPr>
      </w:pPr>
    </w:p>
  </w:endnote>
  <w:endnote w:id="26">
    <w:p w:rsidR="009103E6" w:rsidRPr="009A7F83" w:rsidRDefault="009103E6" w:rsidP="00D86A11">
      <w:pPr>
        <w:pStyle w:val="EndnoteText"/>
        <w:rPr>
          <w:rFonts w:ascii="Calibri" w:hAnsi="Calibri"/>
        </w:rPr>
      </w:pPr>
    </w:p>
    <w:p w:rsidR="009103E6" w:rsidRPr="009F5A2E" w:rsidRDefault="009103E6" w:rsidP="00D86A11">
      <w:pPr>
        <w:pStyle w:val="EndnoteText"/>
        <w:rPr>
          <w:rFonts w:ascii="Calibri" w:hAnsi="Calibri"/>
        </w:rPr>
      </w:pPr>
      <w:r w:rsidRPr="006D7471">
        <w:rPr>
          <w:rStyle w:val="EndnoteReference"/>
          <w:rFonts w:ascii="Calibri" w:hAnsi="Calibri"/>
        </w:rPr>
        <w:endnoteRef/>
      </w:r>
      <w:r w:rsidRPr="009F5A2E">
        <w:rPr>
          <w:rFonts w:ascii="Calibri" w:hAnsi="Calibri"/>
        </w:rPr>
        <w:t xml:space="preserve"> </w:t>
      </w:r>
      <w:hyperlink r:id="rId28" w:anchor="cat=12" w:history="1">
        <w:r w:rsidRPr="009F5A2E">
          <w:rPr>
            <w:rStyle w:val="Hyperlink"/>
            <w:rFonts w:ascii="Calibri" w:eastAsia="Perpetua" w:hAnsi="Calibri"/>
          </w:rPr>
          <w:t>http://www.kidsdata.org/region/368/san-diego-county/results#cat=12</w:t>
        </w:r>
      </w:hyperlink>
      <w:r w:rsidRPr="009F5A2E">
        <w:rPr>
          <w:rFonts w:ascii="Calibri" w:hAnsi="Calibri"/>
        </w:rPr>
        <w:t xml:space="preserve"> </w:t>
      </w:r>
    </w:p>
    <w:p w:rsidR="009103E6" w:rsidRPr="009F5A2E" w:rsidRDefault="009103E6" w:rsidP="00D86A11">
      <w:pPr>
        <w:pStyle w:val="EndnoteText"/>
        <w:rPr>
          <w:rFonts w:ascii="Calibri" w:hAnsi="Calibri"/>
        </w:rPr>
      </w:pPr>
    </w:p>
    <w:p w:rsidR="009103E6" w:rsidRPr="009F5A2E" w:rsidRDefault="009103E6" w:rsidP="00D86A11">
      <w:pPr>
        <w:pStyle w:val="EndnoteText"/>
        <w:rPr>
          <w:rFonts w:ascii="Calibri" w:hAnsi="Calibri"/>
        </w:rPr>
      </w:pPr>
    </w:p>
  </w:endnote>
  <w:endnote w:id="27">
    <w:p w:rsidR="009103E6" w:rsidRDefault="009103E6" w:rsidP="00D86A11">
      <w:pPr>
        <w:pStyle w:val="EndnoteText"/>
      </w:pPr>
      <w:r>
        <w:rPr>
          <w:rStyle w:val="EndnoteReference"/>
        </w:rPr>
        <w:endnoteRef/>
      </w:r>
      <w:r>
        <w:t xml:space="preserve"> </w:t>
      </w:r>
      <w:r w:rsidRPr="0063414C">
        <w:rPr>
          <w:rFonts w:ascii="Calibri" w:hAnsi="Calibri"/>
        </w:rPr>
        <w:t>County of San Diego.</w:t>
      </w:r>
      <w:r>
        <w:rPr>
          <w:rFonts w:ascii="Calibri" w:hAnsi="Calibri"/>
        </w:rPr>
        <w:t xml:space="preserve"> </w:t>
      </w:r>
      <w:r w:rsidRPr="0063414C">
        <w:rPr>
          <w:rFonts w:ascii="Calibri" w:hAnsi="Calibri"/>
        </w:rPr>
        <w:t xml:space="preserve">Live Well San Diego Data </w:t>
      </w:r>
      <w:r>
        <w:rPr>
          <w:rFonts w:ascii="Calibri" w:hAnsi="Calibri"/>
        </w:rPr>
        <w:t xml:space="preserve">Access </w:t>
      </w:r>
      <w:r w:rsidRPr="0063414C">
        <w:rPr>
          <w:rFonts w:ascii="Calibri" w:hAnsi="Calibri"/>
        </w:rPr>
        <w:t xml:space="preserve">Portal. </w:t>
      </w:r>
      <w:hyperlink r:id="rId29" w:history="1">
        <w:r w:rsidRPr="000719AE">
          <w:rPr>
            <w:rStyle w:val="Hyperlink"/>
            <w:rFonts w:ascii="Calibri" w:hAnsi="Calibri"/>
          </w:rPr>
          <w:t>http://www.livewellsd.org/content/livewell/home/data-results/indicators-dashboard-and-data-portal.html</w:t>
        </w:r>
      </w:hyperlink>
      <w:r>
        <w:rPr>
          <w:rFonts w:ascii="Calibri" w:hAnsi="Calibri"/>
        </w:rPr>
        <w:t xml:space="preserve">. </w:t>
      </w:r>
    </w:p>
  </w:endnote>
  <w:endnote w:id="28">
    <w:p w:rsidR="009103E6" w:rsidRDefault="009103E6">
      <w:pPr>
        <w:pStyle w:val="EndnoteText"/>
      </w:pPr>
      <w:r>
        <w:rPr>
          <w:rStyle w:val="EndnoteReference"/>
        </w:rPr>
        <w:endnoteRef/>
      </w:r>
      <w:r>
        <w:t xml:space="preserve"> </w:t>
      </w:r>
      <w:hyperlink r:id="rId30" w:history="1">
        <w:r w:rsidRPr="008F3E3B">
          <w:rPr>
            <w:rStyle w:val="Hyperlink"/>
            <w:rFonts w:ascii="Times New Roman" w:hAnsi="Times New Roman"/>
          </w:rPr>
          <w:t>http://californiahealthline.org/morning-breakout/brown-signs-bills-to-reduce-rx-use-among-foster-children/</w:t>
        </w:r>
      </w:hyperlink>
    </w:p>
    <w:p w:rsidR="009103E6" w:rsidRPr="006E4E7C" w:rsidRDefault="009103E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00000001" w:usb1="00000000" w:usb2="01000407" w:usb3="00000000" w:csb0="00020000" w:csb1="00000000"/>
  </w:font>
  <w:font w:name="Goudy Old Style">
    <w:panose1 w:val="0202050205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HGGothicM">
    <w:charset w:val="80"/>
    <w:family w:val="modern"/>
    <w:pitch w:val="fixed"/>
    <w:sig w:usb0="80000281" w:usb1="28C76CF8" w:usb2="00000010" w:usb3="00000000" w:csb0="00020000" w:csb1="00000000"/>
  </w:font>
  <w:font w:name="Segoe UI">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3E6" w:rsidRDefault="00763E81">
    <w:pPr>
      <w:pStyle w:val="Footer"/>
    </w:pPr>
    <w:r>
      <w:rPr>
        <w:noProof/>
      </w:rPr>
      <mc:AlternateContent>
        <mc:Choice Requires="wps">
          <w:drawing>
            <wp:anchor distT="0" distB="0" distL="114300" distR="114300" simplePos="0" relativeHeight="251658240" behindDoc="0" locked="0" layoutInCell="0" allowOverlap="1">
              <wp:simplePos x="0" y="0"/>
              <wp:positionH relativeFrom="page">
                <wp:posOffset>7080250</wp:posOffset>
              </wp:positionH>
              <wp:positionV relativeFrom="page">
                <wp:posOffset>9258300</wp:posOffset>
              </wp:positionV>
              <wp:extent cx="520700" cy="520700"/>
              <wp:effectExtent l="0" t="0" r="0" b="0"/>
              <wp:wrapNone/>
              <wp:docPr id="3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6F6F74"/>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9103E6" w:rsidRDefault="00265A2F">
                          <w:pPr>
                            <w:pStyle w:val="MediumGrid21"/>
                            <w:jc w:val="center"/>
                            <w:rPr>
                              <w:color w:val="FFFFFF"/>
                              <w:sz w:val="40"/>
                              <w:szCs w:val="40"/>
                            </w:rPr>
                          </w:pPr>
                          <w:r w:rsidRPr="00002D1D">
                            <w:fldChar w:fldCharType="begin"/>
                          </w:r>
                          <w:r w:rsidR="009103E6">
                            <w:instrText xml:space="preserve"> PAGE  \* Arabic  \* MERGEFORMAT </w:instrText>
                          </w:r>
                          <w:r w:rsidRPr="00002D1D">
                            <w:fldChar w:fldCharType="separate"/>
                          </w:r>
                          <w:r w:rsidR="0016529B" w:rsidRPr="0016529B">
                            <w:rPr>
                              <w:noProof/>
                              <w:color w:val="FFFFFF"/>
                              <w:sz w:val="40"/>
                              <w:szCs w:val="40"/>
                            </w:rPr>
                            <w:t>198</w:t>
                          </w:r>
                          <w:r w:rsidRPr="00002D1D">
                            <w:rPr>
                              <w:noProof/>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79" style="position:absolute;margin-left:557.5pt;margin-top:729pt;width:41pt;height:4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" o:allowincell="f" fillcolor="#6f6f74" stroked="f">
              <v:textbox inset="0,0,0,0">
                <w:txbxContent>
                  <w:p w:rsidR="009103E6" w:rsidRDefault="00265A2F">
                    <w:pPr>
                      <w:pStyle w:val="MediumGrid21"/>
                      <w:jc w:val="center"/>
                      <w:rPr>
                        <w:color w:val="FFFFFF"/>
                        <w:sz w:val="40"/>
                        <w:szCs w:val="40"/>
                      </w:rPr>
                    </w:pPr>
                    <w:r w:rsidRPr="00002D1D">
                      <w:fldChar w:fldCharType="begin"/>
                    </w:r>
                    <w:r w:rsidR="009103E6">
                      <w:instrText xml:space="preserve"> PAGE  \* Arabic  \* MERGEFORMAT </w:instrText>
                    </w:r>
                    <w:r w:rsidRPr="00002D1D">
                      <w:fldChar w:fldCharType="separate"/>
                    </w:r>
                    <w:r w:rsidR="0016529B" w:rsidRPr="0016529B">
                      <w:rPr>
                        <w:noProof/>
                        <w:color w:val="FFFFFF"/>
                        <w:sz w:val="40"/>
                        <w:szCs w:val="40"/>
                      </w:rPr>
                      <w:t>198</w:t>
                    </w:r>
                    <w:r w:rsidRPr="00002D1D">
                      <w:rPr>
                        <w:noProof/>
                        <w:color w:val="FFFFFF"/>
                        <w:sz w:val="40"/>
                        <w:szCs w:val="40"/>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3E6" w:rsidRDefault="00763E81" w:rsidP="00D86A11">
    <w:pPr>
      <w:pStyle w:val="Footer"/>
      <w:jc w:val="right"/>
      <w:rPr>
        <w:sz w:val="2"/>
        <w:szCs w:val="2"/>
      </w:rPr>
    </w:pPr>
    <w:r>
      <w:rPr>
        <w:noProof/>
      </w:rPr>
      <mc:AlternateContent>
        <mc:Choice Requires="wps">
          <w:drawing>
            <wp:anchor distT="0" distB="0" distL="114300" distR="114300" simplePos="0" relativeHeight="251656192" behindDoc="0" locked="0" layoutInCell="0" allowOverlap="1">
              <wp:simplePos x="0" y="0"/>
              <wp:positionH relativeFrom="page">
                <wp:posOffset>187960</wp:posOffset>
              </wp:positionH>
              <wp:positionV relativeFrom="page">
                <wp:posOffset>9261475</wp:posOffset>
              </wp:positionV>
              <wp:extent cx="520700" cy="520700"/>
              <wp:effectExtent l="0" t="0" r="0" b="0"/>
              <wp:wrapNone/>
              <wp:docPr id="37"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rgbClr val="6F6F74"/>
                      </a:solidFill>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txbx>
                      <w:txbxContent>
                        <w:p w:rsidR="009103E6" w:rsidRDefault="00265A2F">
                          <w:pPr>
                            <w:pStyle w:val="MediumGrid21"/>
                            <w:jc w:val="center"/>
                            <w:rPr>
                              <w:color w:val="FFFFFF"/>
                              <w:sz w:val="40"/>
                              <w:szCs w:val="40"/>
                            </w:rPr>
                          </w:pPr>
                          <w:r w:rsidRPr="00002D1D">
                            <w:fldChar w:fldCharType="begin"/>
                          </w:r>
                          <w:r w:rsidR="009103E6">
                            <w:instrText xml:space="preserve"> PAGE  \* Arabic  \* MERGEFORMAT </w:instrText>
                          </w:r>
                          <w:r w:rsidRPr="00002D1D">
                            <w:fldChar w:fldCharType="separate"/>
                          </w:r>
                          <w:r w:rsidR="0016529B" w:rsidRPr="0016529B">
                            <w:rPr>
                              <w:noProof/>
                              <w:color w:val="FFFFFF"/>
                              <w:sz w:val="40"/>
                              <w:szCs w:val="40"/>
                            </w:rPr>
                            <w:t>9</w:t>
                          </w:r>
                          <w:r w:rsidRPr="00002D1D">
                            <w:rPr>
                              <w:noProof/>
                              <w:color w:val="FFFFFF"/>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80" style="position:absolute;left:0;text-align:left;margin-left:14.8pt;margin-top:729.25pt;width:41pt;height:4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" o:allowincell="f" fillcolor="#6f6f74" stroked="f">
              <v:textbox inset="0,0,0,0">
                <w:txbxContent>
                  <w:p w:rsidR="009103E6" w:rsidRDefault="00265A2F">
                    <w:pPr>
                      <w:pStyle w:val="MediumGrid21"/>
                      <w:jc w:val="center"/>
                      <w:rPr>
                        <w:color w:val="FFFFFF"/>
                        <w:sz w:val="40"/>
                        <w:szCs w:val="40"/>
                      </w:rPr>
                    </w:pPr>
                    <w:r w:rsidRPr="00002D1D">
                      <w:fldChar w:fldCharType="begin"/>
                    </w:r>
                    <w:r w:rsidR="009103E6">
                      <w:instrText xml:space="preserve"> PAGE  \* Arabic  \* MERGEFORMAT </w:instrText>
                    </w:r>
                    <w:r w:rsidRPr="00002D1D">
                      <w:fldChar w:fldCharType="separate"/>
                    </w:r>
                    <w:r w:rsidR="0016529B" w:rsidRPr="0016529B">
                      <w:rPr>
                        <w:noProof/>
                        <w:color w:val="FFFFFF"/>
                        <w:sz w:val="40"/>
                        <w:szCs w:val="40"/>
                      </w:rPr>
                      <w:t>9</w:t>
                    </w:r>
                    <w:r w:rsidRPr="00002D1D">
                      <w:rPr>
                        <w:noProof/>
                        <w:color w:val="FFFFFF"/>
                        <w:sz w:val="40"/>
                        <w:szCs w:val="40"/>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3E6" w:rsidRPr="00951D07" w:rsidRDefault="009103E6">
    <w:pPr>
      <w:pStyle w:val="Footer"/>
    </w:pPr>
    <w:r>
      <w:t>Rev. 12/20</w:t>
    </w:r>
    <w:r w:rsidRPr="00951D07">
      <w:t>13</w:t>
    </w:r>
    <w:r w:rsidRPr="00951D07">
      <w:tab/>
    </w:r>
    <w:r w:rsidRPr="00951D07">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5CB" w:rsidRDefault="006415CB">
      <w:pPr>
        <w:spacing w:after="0" w:line="240" w:lineRule="auto"/>
      </w:pPr>
      <w:r>
        <w:separator/>
      </w:r>
    </w:p>
  </w:footnote>
  <w:footnote w:type="continuationSeparator" w:id="0">
    <w:p w:rsidR="006415CB" w:rsidRDefault="006415CB">
      <w:pPr>
        <w:spacing w:after="0" w:line="240" w:lineRule="auto"/>
      </w:pPr>
      <w:r>
        <w:continuationSeparator/>
      </w:r>
    </w:p>
  </w:footnote>
  <w:footnote w:id="1">
    <w:p w:rsidR="009103E6" w:rsidRPr="00901918" w:rsidRDefault="009103E6">
      <w:pPr>
        <w:pStyle w:val="FootnoteText"/>
      </w:pPr>
      <w:r>
        <w:rPr>
          <w:rStyle w:val="FootnoteReference"/>
        </w:rPr>
        <w:footnoteRef/>
      </w:r>
      <w:r>
        <w:t xml:space="preserve"> </w:t>
      </w:r>
      <w:r w:rsidRPr="00901918">
        <w:t>Unintentional injuries include homicide, assault, suicide, and self-inflicted injuries.</w:t>
      </w:r>
    </w:p>
  </w:footnote>
  <w:footnote w:id="2">
    <w:p w:rsidR="009103E6" w:rsidRPr="00BF18DB" w:rsidRDefault="009103E6" w:rsidP="00D86A11">
      <w:pPr>
        <w:pStyle w:val="FootnoteText"/>
      </w:pPr>
      <w:r>
        <w:rPr>
          <w:rStyle w:val="FootnoteReference"/>
        </w:rPr>
        <w:footnoteRef/>
      </w:r>
      <w:r w:rsidRPr="00BF18DB">
        <w:t>The higher 2016 numbers are due, in part, to the implementation of a dedicated youth survey in 2015 that was improved upon for the 2016 count. The sheltered count of unaccompanied youth in 2015 was 29 and the count of unsheltered youth was 30. The 2015 report noted that 43% of these youth had been in the foster care system and that 43% had a mental illness.</w:t>
      </w:r>
    </w:p>
  </w:footnote>
  <w:footnote w:id="3">
    <w:p w:rsidR="009103E6" w:rsidRPr="00DF4596" w:rsidRDefault="009103E6">
      <w:pPr>
        <w:pStyle w:val="FootnoteText"/>
      </w:pPr>
      <w:r>
        <w:rPr>
          <w:rStyle w:val="FootnoteReference"/>
        </w:rPr>
        <w:footnoteRef/>
      </w:r>
      <w:r>
        <w:t xml:space="preserve"> </w:t>
      </w:r>
      <w:r w:rsidRPr="00DF4596">
        <w:t>2013 data are provided as 2014 data are not yet available.</w:t>
      </w:r>
    </w:p>
  </w:footnote>
  <w:footnote w:id="4">
    <w:p w:rsidR="009103E6" w:rsidRPr="00035FA9" w:rsidRDefault="009103E6" w:rsidP="00FA4E22">
      <w:pPr>
        <w:pStyle w:val="FootnoteText"/>
      </w:pPr>
      <w:r>
        <w:rPr>
          <w:rStyle w:val="FootnoteReference"/>
        </w:rPr>
        <w:footnoteRef/>
      </w:r>
      <w:r>
        <w:t xml:space="preserve"> </w:t>
      </w:r>
      <w:r w:rsidRPr="00035FA9">
        <w:t>2013 data are provided as 2014 data are not yet available.</w:t>
      </w:r>
    </w:p>
  </w:footnote>
  <w:footnote w:id="5">
    <w:p w:rsidR="009103E6" w:rsidRPr="006F11F8" w:rsidRDefault="009103E6">
      <w:pPr>
        <w:pStyle w:val="FootnoteText"/>
      </w:pPr>
      <w:r>
        <w:rPr>
          <w:rStyle w:val="FootnoteReference"/>
        </w:rPr>
        <w:footnoteRef/>
      </w:r>
      <w:r>
        <w:t xml:space="preserve"> </w:t>
      </w:r>
      <w:r w:rsidRPr="006F11F8">
        <w:t>Data were not provided for this age category in the 2011 report.</w:t>
      </w:r>
    </w:p>
  </w:footnote>
  <w:footnote w:id="6">
    <w:p w:rsidR="009103E6" w:rsidRPr="0092501B" w:rsidRDefault="009103E6">
      <w:pPr>
        <w:pStyle w:val="FootnoteText"/>
      </w:pPr>
      <w:r>
        <w:rPr>
          <w:rStyle w:val="FootnoteReference"/>
        </w:rPr>
        <w:footnoteRef/>
      </w:r>
      <w:r>
        <w:t xml:space="preserve"> See Page 47 for description of SET and SOP.</w:t>
      </w:r>
    </w:p>
  </w:footnote>
  <w:footnote w:id="7">
    <w:p w:rsidR="009103E6" w:rsidRPr="00111004" w:rsidRDefault="009103E6">
      <w:pPr>
        <w:pStyle w:val="FootnoteText"/>
      </w:pPr>
      <w:r>
        <w:rPr>
          <w:rStyle w:val="FootnoteReference"/>
        </w:rPr>
        <w:footnoteRef/>
      </w:r>
      <w:r>
        <w:t xml:space="preserve"> Analysis of trend for race and age not included due to small sample size. </w:t>
      </w:r>
    </w:p>
  </w:footnote>
  <w:footnote w:id="8">
    <w:p w:rsidR="009103E6" w:rsidRDefault="009103E6" w:rsidP="00D86A11">
      <w:pPr>
        <w:pStyle w:val="FootnoteText"/>
        <w:rPr>
          <w:rFonts w:ascii="Perpetua" w:hAnsi="Perpetua"/>
        </w:rPr>
      </w:pPr>
      <w:r>
        <w:rPr>
          <w:rStyle w:val="FootnoteReference"/>
          <w:rFonts w:ascii="Perpetua" w:hAnsi="Perpetua"/>
        </w:rPr>
        <w:footnoteRef/>
      </w:r>
      <w:r>
        <w:rPr>
          <w:rFonts w:ascii="Perpetua" w:hAnsi="Perpetua"/>
        </w:rPr>
        <w:t xml:space="preserve"> </w:t>
      </w:r>
      <w:r>
        <w:rPr>
          <w:rStyle w:val="FootnoteReference"/>
          <w:rFonts w:ascii="Perpetua" w:hAnsi="Perpetua"/>
        </w:rPr>
        <w:footnoteRef/>
      </w:r>
      <w:r>
        <w:rPr>
          <w:rFonts w:ascii="Perpetua" w:hAnsi="Perpetua"/>
        </w:rPr>
        <w:t xml:space="preserve"> An addition 11 individuals opened the survey link and completed only the first question of the survey. These 11 individuals were excluded from this summary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3E6" w:rsidRDefault="00763E81">
    <w:pPr>
      <w:pStyle w:val="Header"/>
    </w:pPr>
    <w:r>
      <w:rPr>
        <w:noProof/>
      </w:rPr>
      <mc:AlternateContent>
        <mc:Choice Requires="wps">
          <w:drawing>
            <wp:anchor distT="0" distB="0" distL="114300" distR="114300" simplePos="0" relativeHeight="251659264" behindDoc="0" locked="0" layoutInCell="0" allowOverlap="1">
              <wp:simplePos x="0" y="0"/>
              <wp:positionH relativeFrom="page">
                <wp:posOffset>7153275</wp:posOffset>
              </wp:positionH>
              <wp:positionV relativeFrom="page">
                <wp:posOffset>914400</wp:posOffset>
              </wp:positionV>
              <wp:extent cx="398145" cy="8229600"/>
              <wp:effectExtent l="0" t="0" r="0" b="0"/>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9103E6" w:rsidRDefault="009103E6">
                          <w:pPr>
                            <w:pStyle w:val="MediumGrid21"/>
                            <w:rPr>
                              <w:rFonts w:ascii="Franklin Gothic Book" w:eastAsia="HGGothicM" w:hAnsi="Franklin Gothic Book" w:cs="Tahoma"/>
                              <w:sz w:val="20"/>
                            </w:rPr>
                          </w:pPr>
                          <w:r w:rsidRPr="00002D1D">
                            <w:rPr>
                              <w:rFonts w:ascii="Franklin Gothic Book" w:eastAsia="HGGothicM" w:hAnsi="Franklin Gothic Book" w:cs="Tahoma"/>
                              <w:sz w:val="20"/>
                            </w:rPr>
                            <w:t xml:space="preserve">California - Child and Family Services Review  </w:t>
                          </w:r>
                        </w:p>
                      </w:txbxContent>
                    </wps:txbx>
                    <wps:bodyPr rot="0" vert="vert270" wrap="square" lIns="91440" tIns="45720" rIns="109728" bIns="13716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80" style="position:absolute;margin-left:563.25pt;margin-top:1in;width:31.35pt;height:9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" o:allowincell="f" filled="f" stroked="f">
              <v:textbox style="layout-flow:vertical;mso-layout-flow-alt:bottom-to-top" inset=",,8.64pt,10.8pt">
                <w:txbxContent>
                  <w:p w:rsidR="009103E6" w:rsidRDefault="009103E6">
                    <w:pPr>
                      <w:pStyle w:val="MediumGrid21"/>
                      <w:rPr>
                        <w:rFonts w:ascii="Franklin Gothic Book" w:eastAsia="HGGothicM" w:hAnsi="Franklin Gothic Book" w:cs="Tahoma"/>
                        <w:sz w:val="20"/>
                      </w:rPr>
                    </w:pPr>
                    <w:r w:rsidRPr="00002D1D">
                      <w:rPr>
                        <w:rFonts w:ascii="Franklin Gothic Book" w:eastAsia="HGGothicM" w:hAnsi="Franklin Gothic Book" w:cs="Tahoma"/>
                        <w:sz w:val="20"/>
                      </w:rPr>
                      <w:t xml:space="preserve">California - Child and Family Services Review  </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03E6" w:rsidRDefault="00763E81">
    <w:pPr>
      <w:pStyle w:val="Header"/>
    </w:pPr>
    <w:r>
      <w:rPr>
        <w:noProof/>
      </w:rPr>
      <mc:AlternateContent>
        <mc:Choice Requires="wps">
          <w:drawing>
            <wp:anchor distT="0" distB="0" distL="114300" distR="114300" simplePos="0" relativeHeight="251657216" behindDoc="0" locked="0" layoutInCell="0" allowOverlap="1">
              <wp:simplePos x="0" y="0"/>
              <wp:positionH relativeFrom="page">
                <wp:posOffset>254635</wp:posOffset>
              </wp:positionH>
              <wp:positionV relativeFrom="page">
                <wp:posOffset>917575</wp:posOffset>
              </wp:positionV>
              <wp:extent cx="393065" cy="822960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822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9103E6" w:rsidRDefault="009103E6">
                          <w:pPr>
                            <w:pStyle w:val="MediumGrid21"/>
                            <w:rPr>
                              <w:rFonts w:ascii="Franklin Gothic Book" w:eastAsia="HGGothicM" w:hAnsi="Franklin Gothic Book" w:cs="Tahoma"/>
                              <w:sz w:val="20"/>
                            </w:rPr>
                          </w:pPr>
                          <w:r>
                            <w:rPr>
                              <w:rFonts w:ascii="Franklin Gothic Book" w:eastAsia="HGGothicM" w:hAnsi="Franklin Gothic Book" w:cs="Tahoma"/>
                              <w:sz w:val="20"/>
                            </w:rPr>
                            <w:t>C</w:t>
                          </w:r>
                          <w:r w:rsidRPr="00002D1D">
                            <w:rPr>
                              <w:rFonts w:ascii="Franklin Gothic Book" w:eastAsia="HGGothicM" w:hAnsi="Franklin Gothic Book" w:cs="Tahoma"/>
                              <w:sz w:val="20"/>
                            </w:rPr>
                            <w:t>alifornia - Ch</w:t>
                          </w:r>
                          <w:r>
                            <w:rPr>
                              <w:rFonts w:ascii="Franklin Gothic Book" w:eastAsia="HGGothicM" w:hAnsi="Franklin Gothic Book" w:cs="Tahoma"/>
                              <w:sz w:val="20"/>
                            </w:rPr>
                            <w:t>ild and Family Services Review</w:t>
                          </w:r>
                        </w:p>
                      </w:txbxContent>
                    </wps:txbx>
                    <wps:bodyPr rot="0" vert="vert270" wrap="square" lIns="91440" tIns="45720" rIns="109728" bIns="13716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4" o:spid="_x0000_s1081" style="position:absolute;margin-left:20.05pt;margin-top:72.25pt;width:30.95pt;height:9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" o:allowincell="f" filled="f" stroked="f">
              <v:textbox style="layout-flow:vertical;mso-layout-flow-alt:bottom-to-top" inset=",,8.64pt,10.8pt">
                <w:txbxContent>
                  <w:p w:rsidR="009103E6" w:rsidRDefault="009103E6">
                    <w:pPr>
                      <w:pStyle w:val="MediumGrid21"/>
                      <w:rPr>
                        <w:rFonts w:ascii="Franklin Gothic Book" w:eastAsia="HGGothicM" w:hAnsi="Franklin Gothic Book" w:cs="Tahoma"/>
                        <w:sz w:val="20"/>
                      </w:rPr>
                    </w:pPr>
                    <w:r>
                      <w:rPr>
                        <w:rFonts w:ascii="Franklin Gothic Book" w:eastAsia="HGGothicM" w:hAnsi="Franklin Gothic Book" w:cs="Tahoma"/>
                        <w:sz w:val="20"/>
                      </w:rPr>
                      <w:t>C</w:t>
                    </w:r>
                    <w:r w:rsidRPr="00002D1D">
                      <w:rPr>
                        <w:rFonts w:ascii="Franklin Gothic Book" w:eastAsia="HGGothicM" w:hAnsi="Franklin Gothic Book" w:cs="Tahoma"/>
                        <w:sz w:val="20"/>
                      </w:rPr>
                      <w:t>alifornia - Ch</w:t>
                    </w:r>
                    <w:r>
                      <w:rPr>
                        <w:rFonts w:ascii="Franklin Gothic Book" w:eastAsia="HGGothicM" w:hAnsi="Franklin Gothic Book" w:cs="Tahoma"/>
                        <w:sz w:val="20"/>
                      </w:rPr>
                      <w:t>ild and Family Services Review</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BEAE98"/>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BEAE98"/>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A8A8AB"/>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6F6F74"/>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535356"/>
      </w:rPr>
    </w:lvl>
  </w:abstractNum>
  <w:abstractNum w:abstractNumId="5" w15:restartNumberingAfterBreak="0">
    <w:nsid w:val="03B67CB7"/>
    <w:multiLevelType w:val="hybridMultilevel"/>
    <w:tmpl w:val="220EC33A"/>
    <w:lvl w:ilvl="0" w:tplc="6CDEF062">
      <w:start w:val="1"/>
      <w:numFmt w:val="bullet"/>
      <w:lvlText w:val=""/>
      <w:lvlJc w:val="left"/>
      <w:pPr>
        <w:ind w:left="720" w:hanging="360"/>
      </w:pPr>
      <w:rPr>
        <w:rFonts w:ascii="Wingdings" w:hAnsi="Wingdings" w:hint="default"/>
        <w:color w:val="943634"/>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DE12B9"/>
    <w:multiLevelType w:val="hybridMultilevel"/>
    <w:tmpl w:val="0B669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066CD9"/>
    <w:multiLevelType w:val="hybridMultilevel"/>
    <w:tmpl w:val="7934484E"/>
    <w:lvl w:ilvl="0" w:tplc="C606917C">
      <w:start w:val="1"/>
      <w:numFmt w:val="bullet"/>
      <w:lvlText w:val=""/>
      <w:lvlJc w:val="left"/>
      <w:pPr>
        <w:ind w:left="720" w:hanging="360"/>
      </w:pPr>
      <w:rPr>
        <w:rFonts w:ascii="Wingdings" w:hAnsi="Wingdings" w:hint="default"/>
        <w:color w:val="F6872B"/>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3840ED"/>
    <w:multiLevelType w:val="hybridMultilevel"/>
    <w:tmpl w:val="3690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14258"/>
    <w:multiLevelType w:val="hybridMultilevel"/>
    <w:tmpl w:val="0F0A6186"/>
    <w:lvl w:ilvl="0" w:tplc="BF2EC7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F96736"/>
    <w:multiLevelType w:val="hybridMultilevel"/>
    <w:tmpl w:val="54EEC358"/>
    <w:lvl w:ilvl="0" w:tplc="04090001">
      <w:start w:val="1"/>
      <w:numFmt w:val="bullet"/>
      <w:lvlText w:val=""/>
      <w:lvlJc w:val="left"/>
      <w:pPr>
        <w:tabs>
          <w:tab w:val="num" w:pos="360"/>
        </w:tabs>
        <w:ind w:left="360" w:hanging="360"/>
      </w:pPr>
      <w:rPr>
        <w:rFonts w:ascii="Symbol" w:hAnsi="Symbol" w:hint="default"/>
      </w:rPr>
    </w:lvl>
    <w:lvl w:ilvl="1" w:tplc="E72654FC">
      <w:start w:val="1"/>
      <w:numFmt w:val="upperLetter"/>
      <w:lvlText w:val="%2."/>
      <w:lvlJc w:val="left"/>
      <w:pPr>
        <w:tabs>
          <w:tab w:val="num" w:pos="720"/>
        </w:tabs>
        <w:ind w:left="720" w:hanging="360"/>
      </w:pPr>
      <w:rPr>
        <w:rFonts w:hint="default"/>
      </w:rPr>
    </w:lvl>
    <w:lvl w:ilvl="2" w:tplc="A9BC3246">
      <w:start w:val="1"/>
      <w:numFmt w:val="lowerLetter"/>
      <w:lvlText w:val="%3)"/>
      <w:lvlJc w:val="left"/>
      <w:pPr>
        <w:tabs>
          <w:tab w:val="num" w:pos="1620"/>
        </w:tabs>
        <w:ind w:left="1620" w:hanging="360"/>
      </w:pPr>
      <w:rPr>
        <w:rFonts w:hint="default"/>
      </w:r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1" w15:restartNumberingAfterBreak="0">
    <w:nsid w:val="3B6D1208"/>
    <w:multiLevelType w:val="hybridMultilevel"/>
    <w:tmpl w:val="228EF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382ECC"/>
    <w:multiLevelType w:val="hybridMultilevel"/>
    <w:tmpl w:val="8D52F138"/>
    <w:lvl w:ilvl="0" w:tplc="88162A50">
      <w:start w:val="1"/>
      <w:numFmt w:val="decimal"/>
      <w:lvlText w:val="%1."/>
      <w:lvlJc w:val="left"/>
      <w:pPr>
        <w:tabs>
          <w:tab w:val="num" w:pos="360"/>
        </w:tabs>
        <w:ind w:left="360" w:hanging="360"/>
      </w:pPr>
      <w:rPr>
        <w:rFonts w:hint="default"/>
        <w:b/>
      </w:rPr>
    </w:lvl>
    <w:lvl w:ilvl="1" w:tplc="CC845A96">
      <w:start w:val="1"/>
      <w:numFmt w:val="decimal"/>
      <w:lvlText w:val="%2."/>
      <w:lvlJc w:val="left"/>
      <w:pPr>
        <w:tabs>
          <w:tab w:val="num" w:pos="360"/>
        </w:tabs>
        <w:ind w:left="360" w:hanging="360"/>
      </w:pPr>
      <w:rPr>
        <w:rFonts w:hint="default"/>
      </w:rPr>
    </w:lvl>
    <w:lvl w:ilvl="2" w:tplc="2C6462EC">
      <w:start w:val="1"/>
      <w:numFmt w:val="lowerLetter"/>
      <w:lvlText w:val="%3."/>
      <w:lvlJc w:val="left"/>
      <w:pPr>
        <w:tabs>
          <w:tab w:val="num" w:pos="2340"/>
        </w:tabs>
        <w:ind w:left="2124" w:hanging="144"/>
      </w:pPr>
      <w:rPr>
        <w:rFonts w:hint="default"/>
        <w:b/>
        <w:i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2E623E8"/>
    <w:multiLevelType w:val="hybridMultilevel"/>
    <w:tmpl w:val="4E00A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7B1791"/>
    <w:multiLevelType w:val="multilevel"/>
    <w:tmpl w:val="8F62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3C674E"/>
    <w:multiLevelType w:val="hybridMultilevel"/>
    <w:tmpl w:val="EFCAAE52"/>
    <w:lvl w:ilvl="0" w:tplc="68C816A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7D3C8E"/>
    <w:multiLevelType w:val="hybridMultilevel"/>
    <w:tmpl w:val="AF8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A12FA9"/>
    <w:multiLevelType w:val="hybridMultilevel"/>
    <w:tmpl w:val="5CBAE4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4118C3"/>
    <w:multiLevelType w:val="multilevel"/>
    <w:tmpl w:val="2724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3757F0"/>
    <w:multiLevelType w:val="hybridMultilevel"/>
    <w:tmpl w:val="4FA6E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063ABC"/>
    <w:multiLevelType w:val="hybridMultilevel"/>
    <w:tmpl w:val="0D1C3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DB20E7"/>
    <w:multiLevelType w:val="hybridMultilevel"/>
    <w:tmpl w:val="0DBEA96C"/>
    <w:lvl w:ilvl="0" w:tplc="1C5E96D4">
      <w:start w:val="1"/>
      <w:numFmt w:val="decimal"/>
      <w:lvlText w:val="%1."/>
      <w:lvlJc w:val="left"/>
      <w:pPr>
        <w:ind w:left="360" w:hanging="360"/>
      </w:pPr>
      <w:rPr>
        <w:rFonts w:hint="default"/>
        <w:b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F106810"/>
    <w:multiLevelType w:val="hybridMultilevel"/>
    <w:tmpl w:val="06484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F17784F"/>
    <w:multiLevelType w:val="hybridMultilevel"/>
    <w:tmpl w:val="933AB93A"/>
    <w:lvl w:ilvl="0" w:tplc="BF2EC7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7E5CDF"/>
    <w:multiLevelType w:val="hybridMultilevel"/>
    <w:tmpl w:val="F97C8D70"/>
    <w:lvl w:ilvl="0" w:tplc="BF2EC7E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4C143EA"/>
    <w:multiLevelType w:val="hybridMultilevel"/>
    <w:tmpl w:val="66403B9A"/>
    <w:lvl w:ilvl="0" w:tplc="0409000F">
      <w:start w:val="1"/>
      <w:numFmt w:val="bullet"/>
      <w:lvlText w:val=""/>
      <w:lvlJc w:val="left"/>
      <w:pPr>
        <w:ind w:left="360" w:hanging="360"/>
      </w:pPr>
      <w:rPr>
        <w:rFonts w:ascii="Symbol" w:hAnsi="Symbol" w:hint="default"/>
        <w:color w:val="1F497D"/>
      </w:rPr>
    </w:lvl>
    <w:lvl w:ilvl="1" w:tplc="04090019" w:tentative="1">
      <w:start w:val="1"/>
      <w:numFmt w:val="bullet"/>
      <w:lvlText w:val="o"/>
      <w:lvlJc w:val="left"/>
      <w:pPr>
        <w:ind w:left="1080" w:hanging="360"/>
      </w:pPr>
      <w:rPr>
        <w:rFonts w:ascii="Courier New" w:hAnsi="Courier New" w:cs="Aria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Arial"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Arial" w:hint="default"/>
      </w:rPr>
    </w:lvl>
    <w:lvl w:ilvl="8" w:tplc="0409001B" w:tentative="1">
      <w:start w:val="1"/>
      <w:numFmt w:val="bullet"/>
      <w:lvlText w:val=""/>
      <w:lvlJc w:val="left"/>
      <w:pPr>
        <w:ind w:left="6120" w:hanging="360"/>
      </w:pPr>
      <w:rPr>
        <w:rFonts w:ascii="Wingdings" w:hAnsi="Wingdings" w:hint="default"/>
      </w:rPr>
    </w:lvl>
  </w:abstractNum>
  <w:abstractNum w:abstractNumId="26" w15:restartNumberingAfterBreak="0">
    <w:nsid w:val="54E87EB3"/>
    <w:multiLevelType w:val="hybridMultilevel"/>
    <w:tmpl w:val="9FC850DE"/>
    <w:lvl w:ilvl="0" w:tplc="C606917C">
      <w:start w:val="1"/>
      <w:numFmt w:val="bullet"/>
      <w:lvlText w:val=""/>
      <w:lvlJc w:val="left"/>
      <w:pPr>
        <w:ind w:left="720" w:hanging="360"/>
      </w:pPr>
      <w:rPr>
        <w:rFonts w:ascii="Wingdings" w:hAnsi="Wingdings" w:hint="default"/>
        <w:color w:val="F6872B"/>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6E5307"/>
    <w:multiLevelType w:val="hybridMultilevel"/>
    <w:tmpl w:val="030AE65E"/>
    <w:lvl w:ilvl="0" w:tplc="C606917C">
      <w:start w:val="1"/>
      <w:numFmt w:val="bullet"/>
      <w:lvlText w:val=""/>
      <w:lvlJc w:val="left"/>
      <w:pPr>
        <w:ind w:left="720" w:hanging="360"/>
      </w:pPr>
      <w:rPr>
        <w:rFonts w:ascii="Wingdings" w:hAnsi="Wingdings" w:hint="default"/>
        <w:color w:val="F6872B"/>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C2184E"/>
    <w:multiLevelType w:val="hybridMultilevel"/>
    <w:tmpl w:val="9968C9E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5BA47A28"/>
    <w:multiLevelType w:val="hybridMultilevel"/>
    <w:tmpl w:val="112C3CEC"/>
    <w:lvl w:ilvl="0" w:tplc="0409000F">
      <w:start w:val="1"/>
      <w:numFmt w:val="bullet"/>
      <w:lvlText w:val=""/>
      <w:lvlJc w:val="left"/>
      <w:pPr>
        <w:ind w:left="720" w:hanging="360"/>
      </w:pPr>
      <w:rPr>
        <w:rFonts w:ascii="Symbol" w:hAnsi="Symbol" w:hint="default"/>
        <w:color w:val="1F497D"/>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F631AB"/>
    <w:multiLevelType w:val="hybridMultilevel"/>
    <w:tmpl w:val="58E80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64375F"/>
    <w:multiLevelType w:val="hybridMultilevel"/>
    <w:tmpl w:val="F356B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C1C42FC"/>
    <w:multiLevelType w:val="hybridMultilevel"/>
    <w:tmpl w:val="77FA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745832"/>
    <w:multiLevelType w:val="hybridMultilevel"/>
    <w:tmpl w:val="8D9AC122"/>
    <w:lvl w:ilvl="0" w:tplc="0409000F">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160A89"/>
    <w:multiLevelType w:val="hybridMultilevel"/>
    <w:tmpl w:val="6344AC3A"/>
    <w:lvl w:ilvl="0" w:tplc="0409000F">
      <w:start w:val="1"/>
      <w:numFmt w:val="decimal"/>
      <w:lvlText w:val="%1."/>
      <w:lvlJc w:val="left"/>
      <w:pPr>
        <w:ind w:left="720" w:hanging="360"/>
      </w:pPr>
      <w:rPr>
        <w:rFonts w:hint="default"/>
      </w:rPr>
    </w:lvl>
    <w:lvl w:ilvl="1" w:tplc="0C52F47E">
      <w:start w:val="1"/>
      <w:numFmt w:val="upp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3E3C96"/>
    <w:multiLevelType w:val="hybridMultilevel"/>
    <w:tmpl w:val="BDBA2DE2"/>
    <w:lvl w:ilvl="0" w:tplc="2C88E2BA">
      <w:start w:val="2"/>
      <w:numFmt w:val="decimal"/>
      <w:lvlText w:val="%1."/>
      <w:lvlJc w:val="left"/>
      <w:pPr>
        <w:ind w:left="1080" w:hanging="720"/>
      </w:pPr>
      <w:rPr>
        <w:rFonts w:ascii="Perpetua" w:hAnsi="Perpetua" w:cs="Monotype Corsiva" w:hint="default"/>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F4230A"/>
    <w:multiLevelType w:val="hybridMultilevel"/>
    <w:tmpl w:val="E9749BC0"/>
    <w:lvl w:ilvl="0" w:tplc="BF2EC7E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2B3F73"/>
    <w:multiLevelType w:val="hybridMultilevel"/>
    <w:tmpl w:val="A3127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341A92"/>
    <w:multiLevelType w:val="hybridMultilevel"/>
    <w:tmpl w:val="158CE214"/>
    <w:lvl w:ilvl="0" w:tplc="2778A42E">
      <w:start w:val="1"/>
      <w:numFmt w:val="bullet"/>
      <w:lvlText w:val=""/>
      <w:lvlJc w:val="left"/>
      <w:pPr>
        <w:tabs>
          <w:tab w:val="num" w:pos="360"/>
        </w:tabs>
        <w:ind w:left="360" w:hanging="360"/>
      </w:pPr>
      <w:rPr>
        <w:rFonts w:ascii="Symbol" w:hAnsi="Symbol"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9" w15:restartNumberingAfterBreak="0">
    <w:nsid w:val="7A2A713A"/>
    <w:multiLevelType w:val="hybridMultilevel"/>
    <w:tmpl w:val="0E3426DC"/>
    <w:lvl w:ilvl="0" w:tplc="C606917C">
      <w:start w:val="1"/>
      <w:numFmt w:val="bullet"/>
      <w:lvlText w:val=""/>
      <w:lvlJc w:val="left"/>
      <w:pPr>
        <w:ind w:left="810" w:hanging="360"/>
      </w:pPr>
      <w:rPr>
        <w:rFonts w:ascii="Wingdings" w:hAnsi="Wingdings" w:hint="default"/>
        <w:color w:val="F6872B"/>
      </w:rPr>
    </w:lvl>
    <w:lvl w:ilvl="1" w:tplc="04090003" w:tentative="1">
      <w:start w:val="1"/>
      <w:numFmt w:val="bullet"/>
      <w:lvlText w:val="o"/>
      <w:lvlJc w:val="left"/>
      <w:pPr>
        <w:ind w:left="1530" w:hanging="360"/>
      </w:pPr>
      <w:rPr>
        <w:rFonts w:ascii="Courier New" w:hAnsi="Courier New" w:cs="Arial"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Arial"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Arial" w:hint="default"/>
      </w:rPr>
    </w:lvl>
    <w:lvl w:ilvl="8" w:tplc="04090005" w:tentative="1">
      <w:start w:val="1"/>
      <w:numFmt w:val="bullet"/>
      <w:lvlText w:val=""/>
      <w:lvlJc w:val="left"/>
      <w:pPr>
        <w:ind w:left="6570" w:hanging="360"/>
      </w:pPr>
      <w:rPr>
        <w:rFonts w:ascii="Wingdings" w:hAnsi="Wingdings" w:hint="default"/>
      </w:rPr>
    </w:lvl>
  </w:abstractNum>
  <w:abstractNum w:abstractNumId="40" w15:restartNumberingAfterBreak="0">
    <w:nsid w:val="7FC321C8"/>
    <w:multiLevelType w:val="hybridMultilevel"/>
    <w:tmpl w:val="AB380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9"/>
  </w:num>
  <w:num w:numId="7">
    <w:abstractNumId w:val="10"/>
  </w:num>
  <w:num w:numId="8">
    <w:abstractNumId w:val="38"/>
  </w:num>
  <w:num w:numId="9">
    <w:abstractNumId w:val="7"/>
  </w:num>
  <w:num w:numId="10">
    <w:abstractNumId w:val="39"/>
  </w:num>
  <w:num w:numId="11">
    <w:abstractNumId w:val="31"/>
  </w:num>
  <w:num w:numId="12">
    <w:abstractNumId w:val="29"/>
  </w:num>
  <w:num w:numId="13">
    <w:abstractNumId w:val="33"/>
  </w:num>
  <w:num w:numId="14">
    <w:abstractNumId w:val="37"/>
  </w:num>
  <w:num w:numId="15">
    <w:abstractNumId w:val="17"/>
  </w:num>
  <w:num w:numId="16">
    <w:abstractNumId w:val="26"/>
  </w:num>
  <w:num w:numId="17">
    <w:abstractNumId w:val="35"/>
  </w:num>
  <w:num w:numId="18">
    <w:abstractNumId w:val="27"/>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6"/>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13"/>
  </w:num>
  <w:num w:numId="25">
    <w:abstractNumId w:val="8"/>
  </w:num>
  <w:num w:numId="26">
    <w:abstractNumId w:val="32"/>
  </w:num>
  <w:num w:numId="27">
    <w:abstractNumId w:val="20"/>
  </w:num>
  <w:num w:numId="28">
    <w:abstractNumId w:val="30"/>
  </w:num>
  <w:num w:numId="29">
    <w:abstractNumId w:val="22"/>
  </w:num>
  <w:num w:numId="30">
    <w:abstractNumId w:val="25"/>
  </w:num>
  <w:num w:numId="31">
    <w:abstractNumId w:val="15"/>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5"/>
  </w:num>
  <w:num w:numId="35">
    <w:abstractNumId w:val="36"/>
  </w:num>
  <w:num w:numId="36">
    <w:abstractNumId w:val="24"/>
  </w:num>
  <w:num w:numId="37">
    <w:abstractNumId w:val="23"/>
  </w:num>
  <w:num w:numId="38">
    <w:abstractNumId w:val="16"/>
  </w:num>
  <w:num w:numId="39">
    <w:abstractNumId w:val="34"/>
  </w:num>
  <w:num w:numId="40">
    <w:abstractNumId w:val="11"/>
  </w:num>
  <w:num w:numId="41">
    <w:abstractNumId w:val="6"/>
  </w:num>
  <w:num w:numId="42">
    <w:abstractNumId w:val="14"/>
  </w:num>
  <w:num w:numId="43">
    <w:abstractNumId w:val="13"/>
  </w:num>
  <w:num w:numId="44">
    <w:abstractNumId w:val="8"/>
  </w:num>
  <w:num w:numId="45">
    <w:abstractNumId w:val="32"/>
  </w:num>
  <w:num w:numId="46">
    <w:abstractNumId w:val="20"/>
  </w:num>
  <w:num w:numId="47">
    <w:abstractNumId w:val="30"/>
  </w:num>
  <w:num w:numId="48">
    <w:abstractNumId w:val="22"/>
  </w:num>
  <w:num w:numId="49">
    <w:abstractNumId w:val="25"/>
  </w:num>
  <w:num w:numId="50">
    <w:abstractNumId w:val="15"/>
  </w:num>
  <w:num w:numId="51">
    <w:abstractNumId w:val="9"/>
  </w:num>
  <w:num w:numId="52">
    <w:abstractNumId w:val="5"/>
  </w:num>
  <w:num w:numId="53">
    <w:abstractNumId w:val="36"/>
  </w:num>
  <w:num w:numId="54">
    <w:abstractNumId w:val="24"/>
  </w:num>
  <w:num w:numId="55">
    <w:abstractNumId w:val="23"/>
  </w:num>
  <w:num w:numId="56">
    <w:abstractNumId w:val="18"/>
  </w:num>
  <w:num w:numId="5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attachedTemplate r:id="rId1"/>
  <w:documentProtection w:edit="readOnly" w:enforcement="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41C"/>
    <w:rsid w:val="00000FA2"/>
    <w:rsid w:val="00001FE8"/>
    <w:rsid w:val="00002091"/>
    <w:rsid w:val="00002247"/>
    <w:rsid w:val="0000292D"/>
    <w:rsid w:val="00002C38"/>
    <w:rsid w:val="00002D1D"/>
    <w:rsid w:val="000032F9"/>
    <w:rsid w:val="00003ED4"/>
    <w:rsid w:val="0000466C"/>
    <w:rsid w:val="00004D6B"/>
    <w:rsid w:val="000055D1"/>
    <w:rsid w:val="00006288"/>
    <w:rsid w:val="000069B9"/>
    <w:rsid w:val="00007328"/>
    <w:rsid w:val="00010805"/>
    <w:rsid w:val="0001084A"/>
    <w:rsid w:val="000111A7"/>
    <w:rsid w:val="000111FE"/>
    <w:rsid w:val="0001183E"/>
    <w:rsid w:val="000132F1"/>
    <w:rsid w:val="00015527"/>
    <w:rsid w:val="000159E9"/>
    <w:rsid w:val="00015EB4"/>
    <w:rsid w:val="000160EF"/>
    <w:rsid w:val="00016361"/>
    <w:rsid w:val="000204E4"/>
    <w:rsid w:val="00020C05"/>
    <w:rsid w:val="00021BC8"/>
    <w:rsid w:val="00021F47"/>
    <w:rsid w:val="00022FAA"/>
    <w:rsid w:val="000237A0"/>
    <w:rsid w:val="00026162"/>
    <w:rsid w:val="00026399"/>
    <w:rsid w:val="00026BEA"/>
    <w:rsid w:val="00027C3C"/>
    <w:rsid w:val="00030064"/>
    <w:rsid w:val="000312AE"/>
    <w:rsid w:val="00032657"/>
    <w:rsid w:val="00032B92"/>
    <w:rsid w:val="00032BD0"/>
    <w:rsid w:val="00032C8B"/>
    <w:rsid w:val="0003393E"/>
    <w:rsid w:val="00034C4B"/>
    <w:rsid w:val="00035C3C"/>
    <w:rsid w:val="00035FA9"/>
    <w:rsid w:val="00036D75"/>
    <w:rsid w:val="00037551"/>
    <w:rsid w:val="0003767B"/>
    <w:rsid w:val="000409B1"/>
    <w:rsid w:val="000410F7"/>
    <w:rsid w:val="00042295"/>
    <w:rsid w:val="0004419F"/>
    <w:rsid w:val="0004427F"/>
    <w:rsid w:val="0004482A"/>
    <w:rsid w:val="00044C6B"/>
    <w:rsid w:val="000455B0"/>
    <w:rsid w:val="00045DB7"/>
    <w:rsid w:val="00050112"/>
    <w:rsid w:val="000501B1"/>
    <w:rsid w:val="00050240"/>
    <w:rsid w:val="00050DA7"/>
    <w:rsid w:val="000512D2"/>
    <w:rsid w:val="00051DD5"/>
    <w:rsid w:val="00051E20"/>
    <w:rsid w:val="00053233"/>
    <w:rsid w:val="000536EB"/>
    <w:rsid w:val="00054141"/>
    <w:rsid w:val="0005528A"/>
    <w:rsid w:val="000553C2"/>
    <w:rsid w:val="000555A0"/>
    <w:rsid w:val="00055A87"/>
    <w:rsid w:val="00055A97"/>
    <w:rsid w:val="00057330"/>
    <w:rsid w:val="000602BA"/>
    <w:rsid w:val="00060552"/>
    <w:rsid w:val="000605BE"/>
    <w:rsid w:val="000613CC"/>
    <w:rsid w:val="00062DA2"/>
    <w:rsid w:val="00062F3D"/>
    <w:rsid w:val="00062F5D"/>
    <w:rsid w:val="000631EA"/>
    <w:rsid w:val="00063B02"/>
    <w:rsid w:val="000648FE"/>
    <w:rsid w:val="00065AAE"/>
    <w:rsid w:val="000712B8"/>
    <w:rsid w:val="00071EEB"/>
    <w:rsid w:val="00072864"/>
    <w:rsid w:val="00072A2E"/>
    <w:rsid w:val="00073ECD"/>
    <w:rsid w:val="000755A1"/>
    <w:rsid w:val="00075EA7"/>
    <w:rsid w:val="000773E4"/>
    <w:rsid w:val="000777C7"/>
    <w:rsid w:val="00080E40"/>
    <w:rsid w:val="00080FE2"/>
    <w:rsid w:val="0008168C"/>
    <w:rsid w:val="00081FD1"/>
    <w:rsid w:val="0008296B"/>
    <w:rsid w:val="00082CA5"/>
    <w:rsid w:val="00083B98"/>
    <w:rsid w:val="000869D8"/>
    <w:rsid w:val="000870F9"/>
    <w:rsid w:val="00090D8A"/>
    <w:rsid w:val="000912C0"/>
    <w:rsid w:val="000922E0"/>
    <w:rsid w:val="000933FE"/>
    <w:rsid w:val="00093488"/>
    <w:rsid w:val="00093AF3"/>
    <w:rsid w:val="00093D66"/>
    <w:rsid w:val="00094714"/>
    <w:rsid w:val="00094F07"/>
    <w:rsid w:val="0009546B"/>
    <w:rsid w:val="00095E25"/>
    <w:rsid w:val="00095EA4"/>
    <w:rsid w:val="000971D0"/>
    <w:rsid w:val="000979A4"/>
    <w:rsid w:val="00097F8E"/>
    <w:rsid w:val="000A031E"/>
    <w:rsid w:val="000A1DA2"/>
    <w:rsid w:val="000A20A3"/>
    <w:rsid w:val="000A445A"/>
    <w:rsid w:val="000A4A00"/>
    <w:rsid w:val="000A5483"/>
    <w:rsid w:val="000A5ED5"/>
    <w:rsid w:val="000A648C"/>
    <w:rsid w:val="000A6876"/>
    <w:rsid w:val="000A7306"/>
    <w:rsid w:val="000A7C6D"/>
    <w:rsid w:val="000B1383"/>
    <w:rsid w:val="000B1863"/>
    <w:rsid w:val="000B1F27"/>
    <w:rsid w:val="000B2562"/>
    <w:rsid w:val="000B3D40"/>
    <w:rsid w:val="000B4966"/>
    <w:rsid w:val="000B4E2F"/>
    <w:rsid w:val="000B56BB"/>
    <w:rsid w:val="000B57D7"/>
    <w:rsid w:val="000B5AF4"/>
    <w:rsid w:val="000B5FA7"/>
    <w:rsid w:val="000B6702"/>
    <w:rsid w:val="000B6979"/>
    <w:rsid w:val="000B6ACD"/>
    <w:rsid w:val="000B7427"/>
    <w:rsid w:val="000B77CC"/>
    <w:rsid w:val="000B7B3E"/>
    <w:rsid w:val="000B7B62"/>
    <w:rsid w:val="000B7B69"/>
    <w:rsid w:val="000C02DB"/>
    <w:rsid w:val="000C237F"/>
    <w:rsid w:val="000C27D1"/>
    <w:rsid w:val="000C36AB"/>
    <w:rsid w:val="000C3F51"/>
    <w:rsid w:val="000C4479"/>
    <w:rsid w:val="000C4CA5"/>
    <w:rsid w:val="000C5F1D"/>
    <w:rsid w:val="000C645E"/>
    <w:rsid w:val="000C729F"/>
    <w:rsid w:val="000C76EA"/>
    <w:rsid w:val="000D3A70"/>
    <w:rsid w:val="000D3D95"/>
    <w:rsid w:val="000D4FE5"/>
    <w:rsid w:val="000D53CA"/>
    <w:rsid w:val="000D62EF"/>
    <w:rsid w:val="000E1EB5"/>
    <w:rsid w:val="000E475F"/>
    <w:rsid w:val="000E4B5F"/>
    <w:rsid w:val="000E5A39"/>
    <w:rsid w:val="000E6BC6"/>
    <w:rsid w:val="000E7387"/>
    <w:rsid w:val="000E786C"/>
    <w:rsid w:val="000F04CF"/>
    <w:rsid w:val="000F0AD4"/>
    <w:rsid w:val="000F0D5A"/>
    <w:rsid w:val="000F0EC6"/>
    <w:rsid w:val="000F131D"/>
    <w:rsid w:val="000F193E"/>
    <w:rsid w:val="000F20B5"/>
    <w:rsid w:val="000F2186"/>
    <w:rsid w:val="000F264D"/>
    <w:rsid w:val="000F380B"/>
    <w:rsid w:val="000F3E9B"/>
    <w:rsid w:val="000F3F71"/>
    <w:rsid w:val="000F44A1"/>
    <w:rsid w:val="000F44E7"/>
    <w:rsid w:val="000F4B85"/>
    <w:rsid w:val="000F54D8"/>
    <w:rsid w:val="000F68FE"/>
    <w:rsid w:val="000F6A54"/>
    <w:rsid w:val="000F6C0B"/>
    <w:rsid w:val="000F7708"/>
    <w:rsid w:val="000F784B"/>
    <w:rsid w:val="000F797E"/>
    <w:rsid w:val="00100155"/>
    <w:rsid w:val="001005D6"/>
    <w:rsid w:val="00100FA4"/>
    <w:rsid w:val="00101685"/>
    <w:rsid w:val="00101EE1"/>
    <w:rsid w:val="001026ED"/>
    <w:rsid w:val="001027B3"/>
    <w:rsid w:val="00102AA6"/>
    <w:rsid w:val="001031BF"/>
    <w:rsid w:val="001033B3"/>
    <w:rsid w:val="0010350A"/>
    <w:rsid w:val="001039A3"/>
    <w:rsid w:val="00103D39"/>
    <w:rsid w:val="00104026"/>
    <w:rsid w:val="00104E7E"/>
    <w:rsid w:val="00105540"/>
    <w:rsid w:val="00107621"/>
    <w:rsid w:val="00107977"/>
    <w:rsid w:val="00107AEE"/>
    <w:rsid w:val="00110319"/>
    <w:rsid w:val="00110F92"/>
    <w:rsid w:val="00111004"/>
    <w:rsid w:val="00111704"/>
    <w:rsid w:val="001140DF"/>
    <w:rsid w:val="00114FF7"/>
    <w:rsid w:val="00116182"/>
    <w:rsid w:val="00116416"/>
    <w:rsid w:val="00117783"/>
    <w:rsid w:val="00117F3C"/>
    <w:rsid w:val="001201F8"/>
    <w:rsid w:val="00121985"/>
    <w:rsid w:val="001240D5"/>
    <w:rsid w:val="001241E8"/>
    <w:rsid w:val="00124330"/>
    <w:rsid w:val="001246FD"/>
    <w:rsid w:val="00124844"/>
    <w:rsid w:val="00124912"/>
    <w:rsid w:val="00125756"/>
    <w:rsid w:val="0012669E"/>
    <w:rsid w:val="00127888"/>
    <w:rsid w:val="001302EC"/>
    <w:rsid w:val="001304ED"/>
    <w:rsid w:val="00130EB9"/>
    <w:rsid w:val="001320FE"/>
    <w:rsid w:val="00132DE3"/>
    <w:rsid w:val="0013336D"/>
    <w:rsid w:val="0013394A"/>
    <w:rsid w:val="00134555"/>
    <w:rsid w:val="00134A54"/>
    <w:rsid w:val="00135598"/>
    <w:rsid w:val="00135853"/>
    <w:rsid w:val="00136644"/>
    <w:rsid w:val="001369B6"/>
    <w:rsid w:val="0013752C"/>
    <w:rsid w:val="001375F2"/>
    <w:rsid w:val="0014014D"/>
    <w:rsid w:val="00140542"/>
    <w:rsid w:val="001441F1"/>
    <w:rsid w:val="0014434C"/>
    <w:rsid w:val="0014465E"/>
    <w:rsid w:val="001447C2"/>
    <w:rsid w:val="00144D9C"/>
    <w:rsid w:val="0014548D"/>
    <w:rsid w:val="001456E9"/>
    <w:rsid w:val="0014588E"/>
    <w:rsid w:val="00146111"/>
    <w:rsid w:val="0014673F"/>
    <w:rsid w:val="001472D7"/>
    <w:rsid w:val="00150687"/>
    <w:rsid w:val="0015159A"/>
    <w:rsid w:val="00152290"/>
    <w:rsid w:val="001528B3"/>
    <w:rsid w:val="00154EAA"/>
    <w:rsid w:val="0015604B"/>
    <w:rsid w:val="00156D88"/>
    <w:rsid w:val="00157A38"/>
    <w:rsid w:val="00160104"/>
    <w:rsid w:val="0016035D"/>
    <w:rsid w:val="00160E18"/>
    <w:rsid w:val="001625ED"/>
    <w:rsid w:val="00163C4E"/>
    <w:rsid w:val="00164B3F"/>
    <w:rsid w:val="001650C5"/>
    <w:rsid w:val="0016513A"/>
    <w:rsid w:val="0016529B"/>
    <w:rsid w:val="00167090"/>
    <w:rsid w:val="0017185A"/>
    <w:rsid w:val="00173333"/>
    <w:rsid w:val="0017372B"/>
    <w:rsid w:val="001744C0"/>
    <w:rsid w:val="00174814"/>
    <w:rsid w:val="00175E78"/>
    <w:rsid w:val="00176DFC"/>
    <w:rsid w:val="00176E25"/>
    <w:rsid w:val="001806A9"/>
    <w:rsid w:val="00181430"/>
    <w:rsid w:val="00182098"/>
    <w:rsid w:val="001826DE"/>
    <w:rsid w:val="00183BC3"/>
    <w:rsid w:val="00183C89"/>
    <w:rsid w:val="00184AC4"/>
    <w:rsid w:val="00185BCC"/>
    <w:rsid w:val="00185E10"/>
    <w:rsid w:val="00185F59"/>
    <w:rsid w:val="00187613"/>
    <w:rsid w:val="00187DFF"/>
    <w:rsid w:val="00190700"/>
    <w:rsid w:val="00191A1F"/>
    <w:rsid w:val="00191C26"/>
    <w:rsid w:val="00192A59"/>
    <w:rsid w:val="00193EB4"/>
    <w:rsid w:val="00194511"/>
    <w:rsid w:val="001945C0"/>
    <w:rsid w:val="001959EE"/>
    <w:rsid w:val="00196C77"/>
    <w:rsid w:val="00196CB6"/>
    <w:rsid w:val="00197B43"/>
    <w:rsid w:val="001A0AC2"/>
    <w:rsid w:val="001A1813"/>
    <w:rsid w:val="001A2C86"/>
    <w:rsid w:val="001A4CF8"/>
    <w:rsid w:val="001A5B73"/>
    <w:rsid w:val="001A5DD1"/>
    <w:rsid w:val="001A707E"/>
    <w:rsid w:val="001A7466"/>
    <w:rsid w:val="001B0A3A"/>
    <w:rsid w:val="001B1CD8"/>
    <w:rsid w:val="001B27FD"/>
    <w:rsid w:val="001B3945"/>
    <w:rsid w:val="001B41A4"/>
    <w:rsid w:val="001B4D9E"/>
    <w:rsid w:val="001B6BD1"/>
    <w:rsid w:val="001B7204"/>
    <w:rsid w:val="001B7336"/>
    <w:rsid w:val="001B7B83"/>
    <w:rsid w:val="001C0F5B"/>
    <w:rsid w:val="001C127B"/>
    <w:rsid w:val="001C143F"/>
    <w:rsid w:val="001C19C4"/>
    <w:rsid w:val="001C1B93"/>
    <w:rsid w:val="001C2274"/>
    <w:rsid w:val="001C2CE7"/>
    <w:rsid w:val="001C4C12"/>
    <w:rsid w:val="001C4E3A"/>
    <w:rsid w:val="001C5DBA"/>
    <w:rsid w:val="001C6106"/>
    <w:rsid w:val="001C7E0F"/>
    <w:rsid w:val="001C7F87"/>
    <w:rsid w:val="001D0DE9"/>
    <w:rsid w:val="001D134A"/>
    <w:rsid w:val="001D1803"/>
    <w:rsid w:val="001D2284"/>
    <w:rsid w:val="001D29DF"/>
    <w:rsid w:val="001D3B2C"/>
    <w:rsid w:val="001D480F"/>
    <w:rsid w:val="001D5239"/>
    <w:rsid w:val="001D5C2E"/>
    <w:rsid w:val="001D5DBD"/>
    <w:rsid w:val="001D6736"/>
    <w:rsid w:val="001D6A1E"/>
    <w:rsid w:val="001E0E76"/>
    <w:rsid w:val="001E0EC2"/>
    <w:rsid w:val="001E1EAF"/>
    <w:rsid w:val="001E2C4C"/>
    <w:rsid w:val="001E2ED4"/>
    <w:rsid w:val="001E4B1C"/>
    <w:rsid w:val="001E4C19"/>
    <w:rsid w:val="001E4DAD"/>
    <w:rsid w:val="001E5A6F"/>
    <w:rsid w:val="001E5DF8"/>
    <w:rsid w:val="001E63AD"/>
    <w:rsid w:val="001E7634"/>
    <w:rsid w:val="001F09B5"/>
    <w:rsid w:val="001F10A6"/>
    <w:rsid w:val="001F23BF"/>
    <w:rsid w:val="001F457B"/>
    <w:rsid w:val="001F48F5"/>
    <w:rsid w:val="001F52CA"/>
    <w:rsid w:val="001F531B"/>
    <w:rsid w:val="001F62F0"/>
    <w:rsid w:val="001F690D"/>
    <w:rsid w:val="00201FB0"/>
    <w:rsid w:val="00202025"/>
    <w:rsid w:val="00202EFA"/>
    <w:rsid w:val="002045AB"/>
    <w:rsid w:val="0020471A"/>
    <w:rsid w:val="00204F17"/>
    <w:rsid w:val="00205A56"/>
    <w:rsid w:val="00206242"/>
    <w:rsid w:val="00206988"/>
    <w:rsid w:val="00206CAC"/>
    <w:rsid w:val="00207E1A"/>
    <w:rsid w:val="00207EBB"/>
    <w:rsid w:val="00207F89"/>
    <w:rsid w:val="00207FEA"/>
    <w:rsid w:val="00210099"/>
    <w:rsid w:val="00210750"/>
    <w:rsid w:val="002120A0"/>
    <w:rsid w:val="00213FA2"/>
    <w:rsid w:val="00215A9A"/>
    <w:rsid w:val="00215AB1"/>
    <w:rsid w:val="00215BFF"/>
    <w:rsid w:val="00216196"/>
    <w:rsid w:val="00217140"/>
    <w:rsid w:val="00217312"/>
    <w:rsid w:val="0021791D"/>
    <w:rsid w:val="00217C24"/>
    <w:rsid w:val="00217F7C"/>
    <w:rsid w:val="00217FF9"/>
    <w:rsid w:val="0022033B"/>
    <w:rsid w:val="00220E22"/>
    <w:rsid w:val="00221C01"/>
    <w:rsid w:val="0022345D"/>
    <w:rsid w:val="00223B70"/>
    <w:rsid w:val="00224443"/>
    <w:rsid w:val="00225684"/>
    <w:rsid w:val="00227622"/>
    <w:rsid w:val="00227DB4"/>
    <w:rsid w:val="0023107B"/>
    <w:rsid w:val="0023167B"/>
    <w:rsid w:val="00234978"/>
    <w:rsid w:val="00235204"/>
    <w:rsid w:val="00237398"/>
    <w:rsid w:val="00240671"/>
    <w:rsid w:val="00240C2A"/>
    <w:rsid w:val="002419BB"/>
    <w:rsid w:val="00241D26"/>
    <w:rsid w:val="00242891"/>
    <w:rsid w:val="00242A2E"/>
    <w:rsid w:val="002441EF"/>
    <w:rsid w:val="002444B6"/>
    <w:rsid w:val="00245789"/>
    <w:rsid w:val="0024668C"/>
    <w:rsid w:val="00246C52"/>
    <w:rsid w:val="00247302"/>
    <w:rsid w:val="002531DC"/>
    <w:rsid w:val="0025348C"/>
    <w:rsid w:val="00253B2C"/>
    <w:rsid w:val="0025427B"/>
    <w:rsid w:val="00254546"/>
    <w:rsid w:val="00254C5C"/>
    <w:rsid w:val="002554E9"/>
    <w:rsid w:val="00255982"/>
    <w:rsid w:val="00257947"/>
    <w:rsid w:val="00257C88"/>
    <w:rsid w:val="002616D7"/>
    <w:rsid w:val="00261EF2"/>
    <w:rsid w:val="002629DF"/>
    <w:rsid w:val="00262F05"/>
    <w:rsid w:val="00264D7A"/>
    <w:rsid w:val="00265073"/>
    <w:rsid w:val="0026521E"/>
    <w:rsid w:val="00265459"/>
    <w:rsid w:val="00265A2F"/>
    <w:rsid w:val="002664B3"/>
    <w:rsid w:val="002674EF"/>
    <w:rsid w:val="00267528"/>
    <w:rsid w:val="00270D89"/>
    <w:rsid w:val="002718B3"/>
    <w:rsid w:val="00273906"/>
    <w:rsid w:val="00273FD9"/>
    <w:rsid w:val="00274EB4"/>
    <w:rsid w:val="0027695E"/>
    <w:rsid w:val="00277176"/>
    <w:rsid w:val="00280222"/>
    <w:rsid w:val="00280BAF"/>
    <w:rsid w:val="002818CE"/>
    <w:rsid w:val="00281A73"/>
    <w:rsid w:val="00283238"/>
    <w:rsid w:val="00283602"/>
    <w:rsid w:val="00284E99"/>
    <w:rsid w:val="0028651A"/>
    <w:rsid w:val="00286569"/>
    <w:rsid w:val="0028769E"/>
    <w:rsid w:val="00287FA9"/>
    <w:rsid w:val="002901E1"/>
    <w:rsid w:val="00290299"/>
    <w:rsid w:val="002905B4"/>
    <w:rsid w:val="00290637"/>
    <w:rsid w:val="00290B46"/>
    <w:rsid w:val="00290D76"/>
    <w:rsid w:val="0029143C"/>
    <w:rsid w:val="00291B49"/>
    <w:rsid w:val="00292019"/>
    <w:rsid w:val="00292A5C"/>
    <w:rsid w:val="0029353A"/>
    <w:rsid w:val="00294291"/>
    <w:rsid w:val="00297CD4"/>
    <w:rsid w:val="00297E89"/>
    <w:rsid w:val="002A0114"/>
    <w:rsid w:val="002A0606"/>
    <w:rsid w:val="002A06CE"/>
    <w:rsid w:val="002A1210"/>
    <w:rsid w:val="002A1454"/>
    <w:rsid w:val="002A1A96"/>
    <w:rsid w:val="002A200F"/>
    <w:rsid w:val="002A5624"/>
    <w:rsid w:val="002A660A"/>
    <w:rsid w:val="002A6DFD"/>
    <w:rsid w:val="002A7D63"/>
    <w:rsid w:val="002A7DD9"/>
    <w:rsid w:val="002B01BC"/>
    <w:rsid w:val="002B0606"/>
    <w:rsid w:val="002B09F2"/>
    <w:rsid w:val="002B1011"/>
    <w:rsid w:val="002B151E"/>
    <w:rsid w:val="002B284D"/>
    <w:rsid w:val="002B2ABD"/>
    <w:rsid w:val="002B2E57"/>
    <w:rsid w:val="002B308F"/>
    <w:rsid w:val="002B30BB"/>
    <w:rsid w:val="002B386D"/>
    <w:rsid w:val="002B3E2A"/>
    <w:rsid w:val="002B5804"/>
    <w:rsid w:val="002B667A"/>
    <w:rsid w:val="002B68CC"/>
    <w:rsid w:val="002C2766"/>
    <w:rsid w:val="002C4D2D"/>
    <w:rsid w:val="002C59E1"/>
    <w:rsid w:val="002C68BD"/>
    <w:rsid w:val="002C6D86"/>
    <w:rsid w:val="002C6DDB"/>
    <w:rsid w:val="002C75DE"/>
    <w:rsid w:val="002C76A1"/>
    <w:rsid w:val="002C7CAE"/>
    <w:rsid w:val="002D083E"/>
    <w:rsid w:val="002D0979"/>
    <w:rsid w:val="002D24BA"/>
    <w:rsid w:val="002D3F6D"/>
    <w:rsid w:val="002D4599"/>
    <w:rsid w:val="002D60BD"/>
    <w:rsid w:val="002D75FD"/>
    <w:rsid w:val="002D7BBC"/>
    <w:rsid w:val="002E0DCB"/>
    <w:rsid w:val="002E28BA"/>
    <w:rsid w:val="002E2FFD"/>
    <w:rsid w:val="002E354A"/>
    <w:rsid w:val="002E35EA"/>
    <w:rsid w:val="002E418E"/>
    <w:rsid w:val="002E459D"/>
    <w:rsid w:val="002E5134"/>
    <w:rsid w:val="002E52A2"/>
    <w:rsid w:val="002E66D4"/>
    <w:rsid w:val="002E6A9E"/>
    <w:rsid w:val="002E7110"/>
    <w:rsid w:val="002E7F9A"/>
    <w:rsid w:val="002E7FF7"/>
    <w:rsid w:val="002F0914"/>
    <w:rsid w:val="002F0E92"/>
    <w:rsid w:val="002F16AE"/>
    <w:rsid w:val="002F2164"/>
    <w:rsid w:val="002F564A"/>
    <w:rsid w:val="002F577F"/>
    <w:rsid w:val="002F6D96"/>
    <w:rsid w:val="002F7305"/>
    <w:rsid w:val="002F7516"/>
    <w:rsid w:val="00300566"/>
    <w:rsid w:val="00303DC3"/>
    <w:rsid w:val="003049B3"/>
    <w:rsid w:val="00305A61"/>
    <w:rsid w:val="00306966"/>
    <w:rsid w:val="0030733F"/>
    <w:rsid w:val="00310D48"/>
    <w:rsid w:val="003119FC"/>
    <w:rsid w:val="00312560"/>
    <w:rsid w:val="0031426A"/>
    <w:rsid w:val="00314EEE"/>
    <w:rsid w:val="003150B7"/>
    <w:rsid w:val="00315210"/>
    <w:rsid w:val="00315C5E"/>
    <w:rsid w:val="00315D2E"/>
    <w:rsid w:val="00316885"/>
    <w:rsid w:val="00316949"/>
    <w:rsid w:val="003174A4"/>
    <w:rsid w:val="00317AE1"/>
    <w:rsid w:val="0032034E"/>
    <w:rsid w:val="0032056F"/>
    <w:rsid w:val="00320AB7"/>
    <w:rsid w:val="0032164B"/>
    <w:rsid w:val="003223B1"/>
    <w:rsid w:val="00322484"/>
    <w:rsid w:val="00322604"/>
    <w:rsid w:val="00322F58"/>
    <w:rsid w:val="003230BE"/>
    <w:rsid w:val="003247B5"/>
    <w:rsid w:val="00324E93"/>
    <w:rsid w:val="00324F5B"/>
    <w:rsid w:val="00325657"/>
    <w:rsid w:val="003257B3"/>
    <w:rsid w:val="0032646A"/>
    <w:rsid w:val="00326FA2"/>
    <w:rsid w:val="00330894"/>
    <w:rsid w:val="00330EE0"/>
    <w:rsid w:val="003310AC"/>
    <w:rsid w:val="00334A4F"/>
    <w:rsid w:val="00336364"/>
    <w:rsid w:val="00337317"/>
    <w:rsid w:val="00340A8C"/>
    <w:rsid w:val="00340B58"/>
    <w:rsid w:val="00340E2B"/>
    <w:rsid w:val="003424C1"/>
    <w:rsid w:val="00342E42"/>
    <w:rsid w:val="0034306E"/>
    <w:rsid w:val="003436FC"/>
    <w:rsid w:val="00343E0B"/>
    <w:rsid w:val="00344589"/>
    <w:rsid w:val="003450D6"/>
    <w:rsid w:val="003452A3"/>
    <w:rsid w:val="003454F4"/>
    <w:rsid w:val="00345D9A"/>
    <w:rsid w:val="00345E4C"/>
    <w:rsid w:val="003461BD"/>
    <w:rsid w:val="00346C73"/>
    <w:rsid w:val="0035268B"/>
    <w:rsid w:val="00352ADA"/>
    <w:rsid w:val="00352E56"/>
    <w:rsid w:val="00353761"/>
    <w:rsid w:val="00354923"/>
    <w:rsid w:val="0035745A"/>
    <w:rsid w:val="00360256"/>
    <w:rsid w:val="00360620"/>
    <w:rsid w:val="00360ED8"/>
    <w:rsid w:val="00361970"/>
    <w:rsid w:val="00362B55"/>
    <w:rsid w:val="00362CC0"/>
    <w:rsid w:val="003649D6"/>
    <w:rsid w:val="00365468"/>
    <w:rsid w:val="003656CE"/>
    <w:rsid w:val="0036578B"/>
    <w:rsid w:val="00366412"/>
    <w:rsid w:val="003664FB"/>
    <w:rsid w:val="00370E5C"/>
    <w:rsid w:val="00371118"/>
    <w:rsid w:val="00371A6B"/>
    <w:rsid w:val="00372FB7"/>
    <w:rsid w:val="0037363B"/>
    <w:rsid w:val="00374E34"/>
    <w:rsid w:val="00375115"/>
    <w:rsid w:val="00376786"/>
    <w:rsid w:val="00377D95"/>
    <w:rsid w:val="00377FDF"/>
    <w:rsid w:val="0038020A"/>
    <w:rsid w:val="00381ECB"/>
    <w:rsid w:val="00383E86"/>
    <w:rsid w:val="00384429"/>
    <w:rsid w:val="0038538B"/>
    <w:rsid w:val="00385BE7"/>
    <w:rsid w:val="0038674C"/>
    <w:rsid w:val="00386F9A"/>
    <w:rsid w:val="00387285"/>
    <w:rsid w:val="00387C80"/>
    <w:rsid w:val="00387E2A"/>
    <w:rsid w:val="00387EE3"/>
    <w:rsid w:val="00390548"/>
    <w:rsid w:val="00392B79"/>
    <w:rsid w:val="00392EE7"/>
    <w:rsid w:val="003932B8"/>
    <w:rsid w:val="003937A7"/>
    <w:rsid w:val="00393E92"/>
    <w:rsid w:val="00395560"/>
    <w:rsid w:val="0039644D"/>
    <w:rsid w:val="00396EC4"/>
    <w:rsid w:val="00397990"/>
    <w:rsid w:val="003A1D7D"/>
    <w:rsid w:val="003A3988"/>
    <w:rsid w:val="003A4461"/>
    <w:rsid w:val="003A4C9B"/>
    <w:rsid w:val="003A4DF4"/>
    <w:rsid w:val="003A50FC"/>
    <w:rsid w:val="003A5CFA"/>
    <w:rsid w:val="003A77B1"/>
    <w:rsid w:val="003B0176"/>
    <w:rsid w:val="003B2E81"/>
    <w:rsid w:val="003B3022"/>
    <w:rsid w:val="003B3799"/>
    <w:rsid w:val="003B48B5"/>
    <w:rsid w:val="003B4E58"/>
    <w:rsid w:val="003B52B1"/>
    <w:rsid w:val="003B6076"/>
    <w:rsid w:val="003B7EAD"/>
    <w:rsid w:val="003C0634"/>
    <w:rsid w:val="003C070C"/>
    <w:rsid w:val="003C3052"/>
    <w:rsid w:val="003C4633"/>
    <w:rsid w:val="003C4A1E"/>
    <w:rsid w:val="003C4CC6"/>
    <w:rsid w:val="003C54B4"/>
    <w:rsid w:val="003C64AC"/>
    <w:rsid w:val="003C6619"/>
    <w:rsid w:val="003C727C"/>
    <w:rsid w:val="003C754C"/>
    <w:rsid w:val="003C7E72"/>
    <w:rsid w:val="003D0070"/>
    <w:rsid w:val="003D04FA"/>
    <w:rsid w:val="003D0837"/>
    <w:rsid w:val="003D0FA2"/>
    <w:rsid w:val="003D26CC"/>
    <w:rsid w:val="003D4014"/>
    <w:rsid w:val="003D449C"/>
    <w:rsid w:val="003D4736"/>
    <w:rsid w:val="003D4B8C"/>
    <w:rsid w:val="003D5406"/>
    <w:rsid w:val="003D60E6"/>
    <w:rsid w:val="003D62E7"/>
    <w:rsid w:val="003D649D"/>
    <w:rsid w:val="003D6815"/>
    <w:rsid w:val="003D6BFA"/>
    <w:rsid w:val="003D776A"/>
    <w:rsid w:val="003D7A86"/>
    <w:rsid w:val="003D7B63"/>
    <w:rsid w:val="003D7EF6"/>
    <w:rsid w:val="003E2DDB"/>
    <w:rsid w:val="003E2E3F"/>
    <w:rsid w:val="003E305C"/>
    <w:rsid w:val="003E4F5B"/>
    <w:rsid w:val="003E50BF"/>
    <w:rsid w:val="003E5452"/>
    <w:rsid w:val="003E5BB8"/>
    <w:rsid w:val="003E7145"/>
    <w:rsid w:val="003F02BE"/>
    <w:rsid w:val="003F1645"/>
    <w:rsid w:val="003F1ADD"/>
    <w:rsid w:val="003F250F"/>
    <w:rsid w:val="003F3BD1"/>
    <w:rsid w:val="003F4ADA"/>
    <w:rsid w:val="003F5CE5"/>
    <w:rsid w:val="003F5F54"/>
    <w:rsid w:val="003F675A"/>
    <w:rsid w:val="003F691C"/>
    <w:rsid w:val="0040030D"/>
    <w:rsid w:val="00400CD8"/>
    <w:rsid w:val="00401638"/>
    <w:rsid w:val="00401EDC"/>
    <w:rsid w:val="00402038"/>
    <w:rsid w:val="00403EBF"/>
    <w:rsid w:val="00404A69"/>
    <w:rsid w:val="00404CEA"/>
    <w:rsid w:val="00406912"/>
    <w:rsid w:val="004109E7"/>
    <w:rsid w:val="00410DC3"/>
    <w:rsid w:val="0041279F"/>
    <w:rsid w:val="00413469"/>
    <w:rsid w:val="00413B7E"/>
    <w:rsid w:val="00413BFB"/>
    <w:rsid w:val="00413D84"/>
    <w:rsid w:val="004141F0"/>
    <w:rsid w:val="004154DF"/>
    <w:rsid w:val="00415E36"/>
    <w:rsid w:val="004161DC"/>
    <w:rsid w:val="0041676B"/>
    <w:rsid w:val="00416D67"/>
    <w:rsid w:val="004179C3"/>
    <w:rsid w:val="00417B0E"/>
    <w:rsid w:val="00417F6F"/>
    <w:rsid w:val="004200CB"/>
    <w:rsid w:val="0042091F"/>
    <w:rsid w:val="00422A16"/>
    <w:rsid w:val="00423245"/>
    <w:rsid w:val="004238AD"/>
    <w:rsid w:val="00423A1B"/>
    <w:rsid w:val="00423E8C"/>
    <w:rsid w:val="00423FC7"/>
    <w:rsid w:val="00424C47"/>
    <w:rsid w:val="00424D21"/>
    <w:rsid w:val="004259E8"/>
    <w:rsid w:val="00427847"/>
    <w:rsid w:val="004278AA"/>
    <w:rsid w:val="004301D2"/>
    <w:rsid w:val="00430C4C"/>
    <w:rsid w:val="00432A70"/>
    <w:rsid w:val="004342BD"/>
    <w:rsid w:val="00434C9F"/>
    <w:rsid w:val="004407E3"/>
    <w:rsid w:val="00440A81"/>
    <w:rsid w:val="00441494"/>
    <w:rsid w:val="004417DA"/>
    <w:rsid w:val="0044437A"/>
    <w:rsid w:val="00445835"/>
    <w:rsid w:val="00445D82"/>
    <w:rsid w:val="004461EC"/>
    <w:rsid w:val="00447928"/>
    <w:rsid w:val="0045024C"/>
    <w:rsid w:val="00450554"/>
    <w:rsid w:val="004509CB"/>
    <w:rsid w:val="0045147B"/>
    <w:rsid w:val="00451AE4"/>
    <w:rsid w:val="0045236B"/>
    <w:rsid w:val="0045284B"/>
    <w:rsid w:val="00452F56"/>
    <w:rsid w:val="00453256"/>
    <w:rsid w:val="004533FA"/>
    <w:rsid w:val="004542D8"/>
    <w:rsid w:val="00455632"/>
    <w:rsid w:val="00456F01"/>
    <w:rsid w:val="004604B9"/>
    <w:rsid w:val="00460E04"/>
    <w:rsid w:val="004611C2"/>
    <w:rsid w:val="00462609"/>
    <w:rsid w:val="0046352F"/>
    <w:rsid w:val="0046419B"/>
    <w:rsid w:val="0046478F"/>
    <w:rsid w:val="00465501"/>
    <w:rsid w:val="00465598"/>
    <w:rsid w:val="004660BC"/>
    <w:rsid w:val="00466BA2"/>
    <w:rsid w:val="00466E01"/>
    <w:rsid w:val="00466EB9"/>
    <w:rsid w:val="00467616"/>
    <w:rsid w:val="00467B38"/>
    <w:rsid w:val="00470200"/>
    <w:rsid w:val="00470316"/>
    <w:rsid w:val="00471C2C"/>
    <w:rsid w:val="00472995"/>
    <w:rsid w:val="004747F5"/>
    <w:rsid w:val="004748BD"/>
    <w:rsid w:val="00474DD5"/>
    <w:rsid w:val="00474FDA"/>
    <w:rsid w:val="00475796"/>
    <w:rsid w:val="0047594F"/>
    <w:rsid w:val="004759E5"/>
    <w:rsid w:val="00475D80"/>
    <w:rsid w:val="004760E1"/>
    <w:rsid w:val="004760EA"/>
    <w:rsid w:val="0047642A"/>
    <w:rsid w:val="00477A48"/>
    <w:rsid w:val="00480A09"/>
    <w:rsid w:val="00480A80"/>
    <w:rsid w:val="00482413"/>
    <w:rsid w:val="00482B52"/>
    <w:rsid w:val="0048400A"/>
    <w:rsid w:val="00484172"/>
    <w:rsid w:val="0048437F"/>
    <w:rsid w:val="00486136"/>
    <w:rsid w:val="00486880"/>
    <w:rsid w:val="00486B2B"/>
    <w:rsid w:val="00486CCD"/>
    <w:rsid w:val="00486D0C"/>
    <w:rsid w:val="0048723F"/>
    <w:rsid w:val="00487F94"/>
    <w:rsid w:val="004900E2"/>
    <w:rsid w:val="00490F67"/>
    <w:rsid w:val="00491502"/>
    <w:rsid w:val="0049251A"/>
    <w:rsid w:val="00492A24"/>
    <w:rsid w:val="00492E73"/>
    <w:rsid w:val="00493290"/>
    <w:rsid w:val="004940F5"/>
    <w:rsid w:val="00495284"/>
    <w:rsid w:val="0049692F"/>
    <w:rsid w:val="00496BC2"/>
    <w:rsid w:val="00496DFB"/>
    <w:rsid w:val="00497444"/>
    <w:rsid w:val="004A07DC"/>
    <w:rsid w:val="004A26D7"/>
    <w:rsid w:val="004A2ADE"/>
    <w:rsid w:val="004A3C1F"/>
    <w:rsid w:val="004A3C2F"/>
    <w:rsid w:val="004A4A3B"/>
    <w:rsid w:val="004A730F"/>
    <w:rsid w:val="004A75CC"/>
    <w:rsid w:val="004A7D91"/>
    <w:rsid w:val="004B0508"/>
    <w:rsid w:val="004B0BD0"/>
    <w:rsid w:val="004B0EB9"/>
    <w:rsid w:val="004B111B"/>
    <w:rsid w:val="004B253B"/>
    <w:rsid w:val="004B25B9"/>
    <w:rsid w:val="004B2A89"/>
    <w:rsid w:val="004B381C"/>
    <w:rsid w:val="004B3F08"/>
    <w:rsid w:val="004B40CE"/>
    <w:rsid w:val="004B679A"/>
    <w:rsid w:val="004C0E66"/>
    <w:rsid w:val="004C100A"/>
    <w:rsid w:val="004C12B4"/>
    <w:rsid w:val="004C1A81"/>
    <w:rsid w:val="004C29D6"/>
    <w:rsid w:val="004C3182"/>
    <w:rsid w:val="004C36CB"/>
    <w:rsid w:val="004C4AD1"/>
    <w:rsid w:val="004C5C57"/>
    <w:rsid w:val="004C5ECC"/>
    <w:rsid w:val="004C5F05"/>
    <w:rsid w:val="004C6189"/>
    <w:rsid w:val="004C681C"/>
    <w:rsid w:val="004C6ACD"/>
    <w:rsid w:val="004C6FDE"/>
    <w:rsid w:val="004C6FE7"/>
    <w:rsid w:val="004D0AD4"/>
    <w:rsid w:val="004D0F50"/>
    <w:rsid w:val="004D0FE4"/>
    <w:rsid w:val="004D131D"/>
    <w:rsid w:val="004D15F9"/>
    <w:rsid w:val="004D1788"/>
    <w:rsid w:val="004D2A28"/>
    <w:rsid w:val="004D3033"/>
    <w:rsid w:val="004D329D"/>
    <w:rsid w:val="004D3BA9"/>
    <w:rsid w:val="004D4231"/>
    <w:rsid w:val="004D45F1"/>
    <w:rsid w:val="004D486B"/>
    <w:rsid w:val="004D4BD0"/>
    <w:rsid w:val="004D619C"/>
    <w:rsid w:val="004E0DE3"/>
    <w:rsid w:val="004E138C"/>
    <w:rsid w:val="004E16C1"/>
    <w:rsid w:val="004E31DB"/>
    <w:rsid w:val="004E3F75"/>
    <w:rsid w:val="004E43A6"/>
    <w:rsid w:val="004E43D3"/>
    <w:rsid w:val="004E4B6E"/>
    <w:rsid w:val="004E5F89"/>
    <w:rsid w:val="004E6AC2"/>
    <w:rsid w:val="004E76A0"/>
    <w:rsid w:val="004E7D20"/>
    <w:rsid w:val="004F0B84"/>
    <w:rsid w:val="004F25C4"/>
    <w:rsid w:val="004F2C2E"/>
    <w:rsid w:val="004F2FC9"/>
    <w:rsid w:val="004F3E8B"/>
    <w:rsid w:val="004F4583"/>
    <w:rsid w:val="004F4659"/>
    <w:rsid w:val="004F4961"/>
    <w:rsid w:val="004F4D1B"/>
    <w:rsid w:val="004F51AF"/>
    <w:rsid w:val="00500AEE"/>
    <w:rsid w:val="005017AB"/>
    <w:rsid w:val="00501BDF"/>
    <w:rsid w:val="00501E6D"/>
    <w:rsid w:val="00502DA8"/>
    <w:rsid w:val="00504413"/>
    <w:rsid w:val="00504C2A"/>
    <w:rsid w:val="00505497"/>
    <w:rsid w:val="00506404"/>
    <w:rsid w:val="00506667"/>
    <w:rsid w:val="00506F06"/>
    <w:rsid w:val="005077DA"/>
    <w:rsid w:val="0050784E"/>
    <w:rsid w:val="005101E3"/>
    <w:rsid w:val="00510F76"/>
    <w:rsid w:val="005120DA"/>
    <w:rsid w:val="005127D1"/>
    <w:rsid w:val="00513425"/>
    <w:rsid w:val="00513791"/>
    <w:rsid w:val="00513F86"/>
    <w:rsid w:val="005143F4"/>
    <w:rsid w:val="00515230"/>
    <w:rsid w:val="0051557B"/>
    <w:rsid w:val="00517746"/>
    <w:rsid w:val="00517ADE"/>
    <w:rsid w:val="005200FE"/>
    <w:rsid w:val="00520770"/>
    <w:rsid w:val="005208D1"/>
    <w:rsid w:val="005213C7"/>
    <w:rsid w:val="005217F6"/>
    <w:rsid w:val="00521D41"/>
    <w:rsid w:val="0052258C"/>
    <w:rsid w:val="00522C7A"/>
    <w:rsid w:val="005239A9"/>
    <w:rsid w:val="00523CD1"/>
    <w:rsid w:val="0052432B"/>
    <w:rsid w:val="0052437C"/>
    <w:rsid w:val="00524638"/>
    <w:rsid w:val="00524FC1"/>
    <w:rsid w:val="0053092E"/>
    <w:rsid w:val="00530D19"/>
    <w:rsid w:val="00532141"/>
    <w:rsid w:val="00532265"/>
    <w:rsid w:val="005324B1"/>
    <w:rsid w:val="00532593"/>
    <w:rsid w:val="00532DE2"/>
    <w:rsid w:val="00533394"/>
    <w:rsid w:val="00535F1D"/>
    <w:rsid w:val="00537ACF"/>
    <w:rsid w:val="00540998"/>
    <w:rsid w:val="00541312"/>
    <w:rsid w:val="00541E84"/>
    <w:rsid w:val="00542016"/>
    <w:rsid w:val="0054285F"/>
    <w:rsid w:val="00544BDD"/>
    <w:rsid w:val="00545133"/>
    <w:rsid w:val="005452E8"/>
    <w:rsid w:val="00545D0F"/>
    <w:rsid w:val="005462BA"/>
    <w:rsid w:val="00547311"/>
    <w:rsid w:val="00547C80"/>
    <w:rsid w:val="00550B68"/>
    <w:rsid w:val="00554FEB"/>
    <w:rsid w:val="00557F81"/>
    <w:rsid w:val="0056215D"/>
    <w:rsid w:val="005633A9"/>
    <w:rsid w:val="00564946"/>
    <w:rsid w:val="00565150"/>
    <w:rsid w:val="00565633"/>
    <w:rsid w:val="00565A5E"/>
    <w:rsid w:val="0056606A"/>
    <w:rsid w:val="0056607D"/>
    <w:rsid w:val="00566C74"/>
    <w:rsid w:val="00571747"/>
    <w:rsid w:val="00572EA6"/>
    <w:rsid w:val="005744A3"/>
    <w:rsid w:val="00574BB0"/>
    <w:rsid w:val="00575555"/>
    <w:rsid w:val="005764AF"/>
    <w:rsid w:val="00576B43"/>
    <w:rsid w:val="00576D05"/>
    <w:rsid w:val="005779E0"/>
    <w:rsid w:val="0058083C"/>
    <w:rsid w:val="00580CFA"/>
    <w:rsid w:val="00580FF5"/>
    <w:rsid w:val="0058162B"/>
    <w:rsid w:val="005817AE"/>
    <w:rsid w:val="005826E5"/>
    <w:rsid w:val="005833D3"/>
    <w:rsid w:val="00583604"/>
    <w:rsid w:val="00584B3E"/>
    <w:rsid w:val="00584D62"/>
    <w:rsid w:val="00584E6A"/>
    <w:rsid w:val="00586175"/>
    <w:rsid w:val="005861D4"/>
    <w:rsid w:val="0058666B"/>
    <w:rsid w:val="00586FD4"/>
    <w:rsid w:val="0058729A"/>
    <w:rsid w:val="0059060A"/>
    <w:rsid w:val="00590D83"/>
    <w:rsid w:val="00590E63"/>
    <w:rsid w:val="00591124"/>
    <w:rsid w:val="00592FAB"/>
    <w:rsid w:val="00594103"/>
    <w:rsid w:val="00594D6F"/>
    <w:rsid w:val="005951C0"/>
    <w:rsid w:val="0059534E"/>
    <w:rsid w:val="005958F2"/>
    <w:rsid w:val="00597577"/>
    <w:rsid w:val="005A02D6"/>
    <w:rsid w:val="005A0707"/>
    <w:rsid w:val="005A0A34"/>
    <w:rsid w:val="005A0DCE"/>
    <w:rsid w:val="005A18DD"/>
    <w:rsid w:val="005A1E10"/>
    <w:rsid w:val="005A20A9"/>
    <w:rsid w:val="005A3DD5"/>
    <w:rsid w:val="005A72B5"/>
    <w:rsid w:val="005A7E35"/>
    <w:rsid w:val="005B000B"/>
    <w:rsid w:val="005B067A"/>
    <w:rsid w:val="005B2E2D"/>
    <w:rsid w:val="005B3617"/>
    <w:rsid w:val="005B3683"/>
    <w:rsid w:val="005B4572"/>
    <w:rsid w:val="005B4F91"/>
    <w:rsid w:val="005B6C54"/>
    <w:rsid w:val="005C0893"/>
    <w:rsid w:val="005C095C"/>
    <w:rsid w:val="005C1A84"/>
    <w:rsid w:val="005C1FCC"/>
    <w:rsid w:val="005C23BB"/>
    <w:rsid w:val="005C2EB4"/>
    <w:rsid w:val="005C3290"/>
    <w:rsid w:val="005C367F"/>
    <w:rsid w:val="005C4625"/>
    <w:rsid w:val="005C6698"/>
    <w:rsid w:val="005D0FEE"/>
    <w:rsid w:val="005D1685"/>
    <w:rsid w:val="005D2195"/>
    <w:rsid w:val="005D3430"/>
    <w:rsid w:val="005D3583"/>
    <w:rsid w:val="005D3636"/>
    <w:rsid w:val="005D3FE2"/>
    <w:rsid w:val="005D4164"/>
    <w:rsid w:val="005D42EE"/>
    <w:rsid w:val="005D556F"/>
    <w:rsid w:val="005D563A"/>
    <w:rsid w:val="005D591F"/>
    <w:rsid w:val="005D5A99"/>
    <w:rsid w:val="005D5CBA"/>
    <w:rsid w:val="005D6149"/>
    <w:rsid w:val="005D65C4"/>
    <w:rsid w:val="005D728B"/>
    <w:rsid w:val="005D7A92"/>
    <w:rsid w:val="005E1543"/>
    <w:rsid w:val="005E2118"/>
    <w:rsid w:val="005E2262"/>
    <w:rsid w:val="005E3363"/>
    <w:rsid w:val="005E3A5A"/>
    <w:rsid w:val="005E516C"/>
    <w:rsid w:val="005E5E4F"/>
    <w:rsid w:val="005E6F82"/>
    <w:rsid w:val="005F012F"/>
    <w:rsid w:val="005F0347"/>
    <w:rsid w:val="005F1A22"/>
    <w:rsid w:val="005F218D"/>
    <w:rsid w:val="005F50E4"/>
    <w:rsid w:val="005F5327"/>
    <w:rsid w:val="005F6F28"/>
    <w:rsid w:val="005F735C"/>
    <w:rsid w:val="00600A00"/>
    <w:rsid w:val="00601406"/>
    <w:rsid w:val="00601946"/>
    <w:rsid w:val="00601F7F"/>
    <w:rsid w:val="0060302D"/>
    <w:rsid w:val="006031E4"/>
    <w:rsid w:val="006037BE"/>
    <w:rsid w:val="00603C1D"/>
    <w:rsid w:val="006040F3"/>
    <w:rsid w:val="006041F2"/>
    <w:rsid w:val="00606048"/>
    <w:rsid w:val="0060623F"/>
    <w:rsid w:val="00606CD9"/>
    <w:rsid w:val="00606E5A"/>
    <w:rsid w:val="00611D4D"/>
    <w:rsid w:val="00612A77"/>
    <w:rsid w:val="00613228"/>
    <w:rsid w:val="0061380E"/>
    <w:rsid w:val="00614F72"/>
    <w:rsid w:val="00615224"/>
    <w:rsid w:val="0061677A"/>
    <w:rsid w:val="0061791D"/>
    <w:rsid w:val="00621E9A"/>
    <w:rsid w:val="006239A1"/>
    <w:rsid w:val="00623E1D"/>
    <w:rsid w:val="00623E75"/>
    <w:rsid w:val="006248D0"/>
    <w:rsid w:val="00626703"/>
    <w:rsid w:val="00626EC1"/>
    <w:rsid w:val="00626F67"/>
    <w:rsid w:val="0063275B"/>
    <w:rsid w:val="00632D93"/>
    <w:rsid w:val="00632E80"/>
    <w:rsid w:val="00632F3F"/>
    <w:rsid w:val="006337A3"/>
    <w:rsid w:val="00633E11"/>
    <w:rsid w:val="006345CB"/>
    <w:rsid w:val="00634930"/>
    <w:rsid w:val="00634A77"/>
    <w:rsid w:val="006376BE"/>
    <w:rsid w:val="006415CB"/>
    <w:rsid w:val="006424EB"/>
    <w:rsid w:val="00642595"/>
    <w:rsid w:val="00642F6A"/>
    <w:rsid w:val="00642FAB"/>
    <w:rsid w:val="00644B1A"/>
    <w:rsid w:val="00645059"/>
    <w:rsid w:val="006455A2"/>
    <w:rsid w:val="00645F6D"/>
    <w:rsid w:val="006467E2"/>
    <w:rsid w:val="0064754C"/>
    <w:rsid w:val="006503E5"/>
    <w:rsid w:val="00651019"/>
    <w:rsid w:val="00651240"/>
    <w:rsid w:val="006512A5"/>
    <w:rsid w:val="00651D80"/>
    <w:rsid w:val="00651E47"/>
    <w:rsid w:val="0065213A"/>
    <w:rsid w:val="00653A40"/>
    <w:rsid w:val="00653C5E"/>
    <w:rsid w:val="0065570E"/>
    <w:rsid w:val="006611B9"/>
    <w:rsid w:val="00661C1A"/>
    <w:rsid w:val="00661F03"/>
    <w:rsid w:val="006626F7"/>
    <w:rsid w:val="0066385F"/>
    <w:rsid w:val="00664687"/>
    <w:rsid w:val="00665666"/>
    <w:rsid w:val="0066650B"/>
    <w:rsid w:val="006667C1"/>
    <w:rsid w:val="00667330"/>
    <w:rsid w:val="00667E7B"/>
    <w:rsid w:val="0067219C"/>
    <w:rsid w:val="00672853"/>
    <w:rsid w:val="00672EF4"/>
    <w:rsid w:val="00673164"/>
    <w:rsid w:val="00674F6C"/>
    <w:rsid w:val="0067621D"/>
    <w:rsid w:val="00677D0B"/>
    <w:rsid w:val="00677DD8"/>
    <w:rsid w:val="0068111C"/>
    <w:rsid w:val="00681680"/>
    <w:rsid w:val="00682050"/>
    <w:rsid w:val="00684168"/>
    <w:rsid w:val="0068419A"/>
    <w:rsid w:val="00684EBE"/>
    <w:rsid w:val="00685B95"/>
    <w:rsid w:val="00685DC0"/>
    <w:rsid w:val="00686E2A"/>
    <w:rsid w:val="00687546"/>
    <w:rsid w:val="006903A4"/>
    <w:rsid w:val="0069108E"/>
    <w:rsid w:val="006911AD"/>
    <w:rsid w:val="00693F68"/>
    <w:rsid w:val="00694DFA"/>
    <w:rsid w:val="00696941"/>
    <w:rsid w:val="00696C3B"/>
    <w:rsid w:val="0069728C"/>
    <w:rsid w:val="006A042A"/>
    <w:rsid w:val="006A0F6B"/>
    <w:rsid w:val="006A1E73"/>
    <w:rsid w:val="006A32DE"/>
    <w:rsid w:val="006A50FB"/>
    <w:rsid w:val="006A5CBC"/>
    <w:rsid w:val="006A628F"/>
    <w:rsid w:val="006A6639"/>
    <w:rsid w:val="006A67FE"/>
    <w:rsid w:val="006A6880"/>
    <w:rsid w:val="006A7978"/>
    <w:rsid w:val="006A7AB0"/>
    <w:rsid w:val="006A7D9B"/>
    <w:rsid w:val="006B0DD5"/>
    <w:rsid w:val="006B0EFA"/>
    <w:rsid w:val="006B10EF"/>
    <w:rsid w:val="006B43F8"/>
    <w:rsid w:val="006B49C6"/>
    <w:rsid w:val="006B4A3D"/>
    <w:rsid w:val="006B5523"/>
    <w:rsid w:val="006B5593"/>
    <w:rsid w:val="006B5874"/>
    <w:rsid w:val="006B5ED3"/>
    <w:rsid w:val="006B684F"/>
    <w:rsid w:val="006B6DFC"/>
    <w:rsid w:val="006B72F9"/>
    <w:rsid w:val="006B7DC5"/>
    <w:rsid w:val="006C050E"/>
    <w:rsid w:val="006C155A"/>
    <w:rsid w:val="006C1FC4"/>
    <w:rsid w:val="006C27B0"/>
    <w:rsid w:val="006C27E4"/>
    <w:rsid w:val="006C2960"/>
    <w:rsid w:val="006C2F3A"/>
    <w:rsid w:val="006C3495"/>
    <w:rsid w:val="006C36A4"/>
    <w:rsid w:val="006C399A"/>
    <w:rsid w:val="006C39D0"/>
    <w:rsid w:val="006C50AD"/>
    <w:rsid w:val="006C6456"/>
    <w:rsid w:val="006C68F8"/>
    <w:rsid w:val="006C7055"/>
    <w:rsid w:val="006C70C6"/>
    <w:rsid w:val="006D007C"/>
    <w:rsid w:val="006D2097"/>
    <w:rsid w:val="006D25C2"/>
    <w:rsid w:val="006D28D8"/>
    <w:rsid w:val="006D3855"/>
    <w:rsid w:val="006D38A5"/>
    <w:rsid w:val="006D43B8"/>
    <w:rsid w:val="006D49F9"/>
    <w:rsid w:val="006D4CEB"/>
    <w:rsid w:val="006D4EF4"/>
    <w:rsid w:val="006D5160"/>
    <w:rsid w:val="006D5CFC"/>
    <w:rsid w:val="006D685D"/>
    <w:rsid w:val="006D701A"/>
    <w:rsid w:val="006D724C"/>
    <w:rsid w:val="006D7471"/>
    <w:rsid w:val="006D75BA"/>
    <w:rsid w:val="006D7614"/>
    <w:rsid w:val="006E1A30"/>
    <w:rsid w:val="006E2239"/>
    <w:rsid w:val="006E2AF5"/>
    <w:rsid w:val="006E3B12"/>
    <w:rsid w:val="006E3D59"/>
    <w:rsid w:val="006E40A6"/>
    <w:rsid w:val="006E420B"/>
    <w:rsid w:val="006E4398"/>
    <w:rsid w:val="006E4AFE"/>
    <w:rsid w:val="006E4B63"/>
    <w:rsid w:val="006E4E7C"/>
    <w:rsid w:val="006E513B"/>
    <w:rsid w:val="006E528B"/>
    <w:rsid w:val="006E668D"/>
    <w:rsid w:val="006E7298"/>
    <w:rsid w:val="006F069C"/>
    <w:rsid w:val="006F0D12"/>
    <w:rsid w:val="006F11F8"/>
    <w:rsid w:val="006F196B"/>
    <w:rsid w:val="006F2BD5"/>
    <w:rsid w:val="006F2C52"/>
    <w:rsid w:val="006F346D"/>
    <w:rsid w:val="006F3FE7"/>
    <w:rsid w:val="006F48F5"/>
    <w:rsid w:val="006F4A33"/>
    <w:rsid w:val="006F4BD0"/>
    <w:rsid w:val="006F4C1B"/>
    <w:rsid w:val="006F4E00"/>
    <w:rsid w:val="006F53B4"/>
    <w:rsid w:val="006F685F"/>
    <w:rsid w:val="006F68F2"/>
    <w:rsid w:val="006F6EBF"/>
    <w:rsid w:val="006F72D8"/>
    <w:rsid w:val="006F7B24"/>
    <w:rsid w:val="006F7BFF"/>
    <w:rsid w:val="00700F3D"/>
    <w:rsid w:val="007019D5"/>
    <w:rsid w:val="007032E3"/>
    <w:rsid w:val="00703B79"/>
    <w:rsid w:val="00704D1E"/>
    <w:rsid w:val="00704E58"/>
    <w:rsid w:val="0070591D"/>
    <w:rsid w:val="00705E99"/>
    <w:rsid w:val="00706222"/>
    <w:rsid w:val="00707255"/>
    <w:rsid w:val="0070748E"/>
    <w:rsid w:val="00710416"/>
    <w:rsid w:val="00710E9C"/>
    <w:rsid w:val="00712EA6"/>
    <w:rsid w:val="0071330E"/>
    <w:rsid w:val="00713385"/>
    <w:rsid w:val="00714703"/>
    <w:rsid w:val="0071480E"/>
    <w:rsid w:val="0071553E"/>
    <w:rsid w:val="00717AFB"/>
    <w:rsid w:val="00717DDA"/>
    <w:rsid w:val="0072033C"/>
    <w:rsid w:val="00720CA8"/>
    <w:rsid w:val="00720CF1"/>
    <w:rsid w:val="00721EF1"/>
    <w:rsid w:val="00723365"/>
    <w:rsid w:val="00723CAE"/>
    <w:rsid w:val="00724ADB"/>
    <w:rsid w:val="00724E14"/>
    <w:rsid w:val="00725926"/>
    <w:rsid w:val="007261CA"/>
    <w:rsid w:val="00726645"/>
    <w:rsid w:val="007301F7"/>
    <w:rsid w:val="007313F1"/>
    <w:rsid w:val="00732A78"/>
    <w:rsid w:val="00734351"/>
    <w:rsid w:val="007350E7"/>
    <w:rsid w:val="00735594"/>
    <w:rsid w:val="00736D58"/>
    <w:rsid w:val="00737371"/>
    <w:rsid w:val="00737A52"/>
    <w:rsid w:val="00741021"/>
    <w:rsid w:val="007419A3"/>
    <w:rsid w:val="00741B33"/>
    <w:rsid w:val="00742343"/>
    <w:rsid w:val="00742860"/>
    <w:rsid w:val="00742A59"/>
    <w:rsid w:val="00742D52"/>
    <w:rsid w:val="0074377D"/>
    <w:rsid w:val="00743EFE"/>
    <w:rsid w:val="0074421E"/>
    <w:rsid w:val="00745C32"/>
    <w:rsid w:val="00745C50"/>
    <w:rsid w:val="00746D69"/>
    <w:rsid w:val="00747A0C"/>
    <w:rsid w:val="00747F74"/>
    <w:rsid w:val="00750B5D"/>
    <w:rsid w:val="007516AE"/>
    <w:rsid w:val="0075263E"/>
    <w:rsid w:val="007530D7"/>
    <w:rsid w:val="00753E95"/>
    <w:rsid w:val="00753F09"/>
    <w:rsid w:val="0075433E"/>
    <w:rsid w:val="007552CE"/>
    <w:rsid w:val="007556B5"/>
    <w:rsid w:val="007571F0"/>
    <w:rsid w:val="007575FE"/>
    <w:rsid w:val="00760189"/>
    <w:rsid w:val="00761425"/>
    <w:rsid w:val="0076268E"/>
    <w:rsid w:val="00762E59"/>
    <w:rsid w:val="00763D72"/>
    <w:rsid w:val="00763E81"/>
    <w:rsid w:val="00765174"/>
    <w:rsid w:val="007652CB"/>
    <w:rsid w:val="00765311"/>
    <w:rsid w:val="00767AC9"/>
    <w:rsid w:val="00770CE2"/>
    <w:rsid w:val="00771551"/>
    <w:rsid w:val="00771AC7"/>
    <w:rsid w:val="007724CC"/>
    <w:rsid w:val="00772D77"/>
    <w:rsid w:val="0077393F"/>
    <w:rsid w:val="00773EA4"/>
    <w:rsid w:val="00774C92"/>
    <w:rsid w:val="0077567B"/>
    <w:rsid w:val="00775E07"/>
    <w:rsid w:val="00776B17"/>
    <w:rsid w:val="00777BD5"/>
    <w:rsid w:val="00777FDD"/>
    <w:rsid w:val="0078169F"/>
    <w:rsid w:val="007822C0"/>
    <w:rsid w:val="0078351C"/>
    <w:rsid w:val="00783D4F"/>
    <w:rsid w:val="00784E49"/>
    <w:rsid w:val="00784E52"/>
    <w:rsid w:val="0078542C"/>
    <w:rsid w:val="0078570E"/>
    <w:rsid w:val="0078674A"/>
    <w:rsid w:val="00786A88"/>
    <w:rsid w:val="0078704F"/>
    <w:rsid w:val="00787512"/>
    <w:rsid w:val="007877AC"/>
    <w:rsid w:val="00793D2A"/>
    <w:rsid w:val="00793FCF"/>
    <w:rsid w:val="00794033"/>
    <w:rsid w:val="00797714"/>
    <w:rsid w:val="007A0672"/>
    <w:rsid w:val="007A13E8"/>
    <w:rsid w:val="007A20EC"/>
    <w:rsid w:val="007A2656"/>
    <w:rsid w:val="007A2EBE"/>
    <w:rsid w:val="007A3414"/>
    <w:rsid w:val="007A4BF2"/>
    <w:rsid w:val="007A51F0"/>
    <w:rsid w:val="007A5312"/>
    <w:rsid w:val="007A549E"/>
    <w:rsid w:val="007A55C6"/>
    <w:rsid w:val="007A57F5"/>
    <w:rsid w:val="007A5944"/>
    <w:rsid w:val="007A69D3"/>
    <w:rsid w:val="007A7551"/>
    <w:rsid w:val="007A7654"/>
    <w:rsid w:val="007A76C3"/>
    <w:rsid w:val="007B01EF"/>
    <w:rsid w:val="007B052D"/>
    <w:rsid w:val="007B0E1B"/>
    <w:rsid w:val="007B147E"/>
    <w:rsid w:val="007B15FF"/>
    <w:rsid w:val="007B1A64"/>
    <w:rsid w:val="007B1E9B"/>
    <w:rsid w:val="007B207E"/>
    <w:rsid w:val="007B295C"/>
    <w:rsid w:val="007B2A2E"/>
    <w:rsid w:val="007B45DD"/>
    <w:rsid w:val="007B4AFD"/>
    <w:rsid w:val="007B4FDC"/>
    <w:rsid w:val="007B59AB"/>
    <w:rsid w:val="007B677F"/>
    <w:rsid w:val="007B68A1"/>
    <w:rsid w:val="007C03B1"/>
    <w:rsid w:val="007C1463"/>
    <w:rsid w:val="007C233A"/>
    <w:rsid w:val="007C309C"/>
    <w:rsid w:val="007C38C1"/>
    <w:rsid w:val="007C478A"/>
    <w:rsid w:val="007C4DEC"/>
    <w:rsid w:val="007C5E12"/>
    <w:rsid w:val="007C6985"/>
    <w:rsid w:val="007C7043"/>
    <w:rsid w:val="007C7C1F"/>
    <w:rsid w:val="007D0B88"/>
    <w:rsid w:val="007D1062"/>
    <w:rsid w:val="007D1A55"/>
    <w:rsid w:val="007D22C3"/>
    <w:rsid w:val="007D2BEA"/>
    <w:rsid w:val="007D3634"/>
    <w:rsid w:val="007D370F"/>
    <w:rsid w:val="007D44DA"/>
    <w:rsid w:val="007D4F45"/>
    <w:rsid w:val="007D61A1"/>
    <w:rsid w:val="007D633D"/>
    <w:rsid w:val="007D6347"/>
    <w:rsid w:val="007D688F"/>
    <w:rsid w:val="007D7A39"/>
    <w:rsid w:val="007E1EEF"/>
    <w:rsid w:val="007E35E5"/>
    <w:rsid w:val="007E3B09"/>
    <w:rsid w:val="007E44F4"/>
    <w:rsid w:val="007E4956"/>
    <w:rsid w:val="007E5DB8"/>
    <w:rsid w:val="007E62A3"/>
    <w:rsid w:val="007F0305"/>
    <w:rsid w:val="007F067C"/>
    <w:rsid w:val="007F0D4E"/>
    <w:rsid w:val="007F165C"/>
    <w:rsid w:val="007F17EF"/>
    <w:rsid w:val="007F518A"/>
    <w:rsid w:val="007F522A"/>
    <w:rsid w:val="007F54B7"/>
    <w:rsid w:val="007F5B30"/>
    <w:rsid w:val="007F64A0"/>
    <w:rsid w:val="007F7522"/>
    <w:rsid w:val="007F7982"/>
    <w:rsid w:val="008000BF"/>
    <w:rsid w:val="008014C6"/>
    <w:rsid w:val="0080225B"/>
    <w:rsid w:val="008025C6"/>
    <w:rsid w:val="00803035"/>
    <w:rsid w:val="008038B5"/>
    <w:rsid w:val="00803FFC"/>
    <w:rsid w:val="00804AC4"/>
    <w:rsid w:val="00804FCA"/>
    <w:rsid w:val="00806376"/>
    <w:rsid w:val="00806AD8"/>
    <w:rsid w:val="00806E1E"/>
    <w:rsid w:val="00807155"/>
    <w:rsid w:val="00807875"/>
    <w:rsid w:val="0080790D"/>
    <w:rsid w:val="008107D6"/>
    <w:rsid w:val="00810BCA"/>
    <w:rsid w:val="00810E1F"/>
    <w:rsid w:val="00811C52"/>
    <w:rsid w:val="008134F0"/>
    <w:rsid w:val="008140B6"/>
    <w:rsid w:val="008148AB"/>
    <w:rsid w:val="00815031"/>
    <w:rsid w:val="00817984"/>
    <w:rsid w:val="00820952"/>
    <w:rsid w:val="00821C3D"/>
    <w:rsid w:val="00822286"/>
    <w:rsid w:val="00822743"/>
    <w:rsid w:val="00823B99"/>
    <w:rsid w:val="00824C25"/>
    <w:rsid w:val="00825AA5"/>
    <w:rsid w:val="00830723"/>
    <w:rsid w:val="00830973"/>
    <w:rsid w:val="00830E0B"/>
    <w:rsid w:val="008314D7"/>
    <w:rsid w:val="00832A64"/>
    <w:rsid w:val="008336BB"/>
    <w:rsid w:val="0083391E"/>
    <w:rsid w:val="00835094"/>
    <w:rsid w:val="008351E6"/>
    <w:rsid w:val="00836E1A"/>
    <w:rsid w:val="00836E7C"/>
    <w:rsid w:val="0083791D"/>
    <w:rsid w:val="008406A8"/>
    <w:rsid w:val="00843663"/>
    <w:rsid w:val="00843EF3"/>
    <w:rsid w:val="008442B2"/>
    <w:rsid w:val="00847E9F"/>
    <w:rsid w:val="00851133"/>
    <w:rsid w:val="0085125D"/>
    <w:rsid w:val="00853096"/>
    <w:rsid w:val="00857677"/>
    <w:rsid w:val="00857801"/>
    <w:rsid w:val="00860757"/>
    <w:rsid w:val="008608B8"/>
    <w:rsid w:val="008618D2"/>
    <w:rsid w:val="00861A3C"/>
    <w:rsid w:val="0086353F"/>
    <w:rsid w:val="008639A9"/>
    <w:rsid w:val="00865032"/>
    <w:rsid w:val="00865471"/>
    <w:rsid w:val="00865598"/>
    <w:rsid w:val="00865689"/>
    <w:rsid w:val="00865774"/>
    <w:rsid w:val="0086623A"/>
    <w:rsid w:val="008669A2"/>
    <w:rsid w:val="00866E52"/>
    <w:rsid w:val="008674BE"/>
    <w:rsid w:val="008677D7"/>
    <w:rsid w:val="00867B52"/>
    <w:rsid w:val="00871001"/>
    <w:rsid w:val="008710C0"/>
    <w:rsid w:val="00871EF1"/>
    <w:rsid w:val="0087221B"/>
    <w:rsid w:val="00872FF4"/>
    <w:rsid w:val="00873873"/>
    <w:rsid w:val="00873D7E"/>
    <w:rsid w:val="008740FD"/>
    <w:rsid w:val="00874A2F"/>
    <w:rsid w:val="00874CBC"/>
    <w:rsid w:val="00875F1F"/>
    <w:rsid w:val="008760A5"/>
    <w:rsid w:val="00876213"/>
    <w:rsid w:val="00880297"/>
    <w:rsid w:val="00880441"/>
    <w:rsid w:val="00880E5D"/>
    <w:rsid w:val="00881984"/>
    <w:rsid w:val="00881A5F"/>
    <w:rsid w:val="0088213D"/>
    <w:rsid w:val="00882F24"/>
    <w:rsid w:val="00884DCC"/>
    <w:rsid w:val="008860F4"/>
    <w:rsid w:val="0088619F"/>
    <w:rsid w:val="00886428"/>
    <w:rsid w:val="00886688"/>
    <w:rsid w:val="008866AB"/>
    <w:rsid w:val="00886E0A"/>
    <w:rsid w:val="008874B9"/>
    <w:rsid w:val="00890214"/>
    <w:rsid w:val="008908CE"/>
    <w:rsid w:val="00890940"/>
    <w:rsid w:val="00891722"/>
    <w:rsid w:val="008925CC"/>
    <w:rsid w:val="00894B07"/>
    <w:rsid w:val="00894BC5"/>
    <w:rsid w:val="00894D01"/>
    <w:rsid w:val="00894FF2"/>
    <w:rsid w:val="00895392"/>
    <w:rsid w:val="008965DE"/>
    <w:rsid w:val="008A14CF"/>
    <w:rsid w:val="008A17BC"/>
    <w:rsid w:val="008A2EB0"/>
    <w:rsid w:val="008A2FFF"/>
    <w:rsid w:val="008A434C"/>
    <w:rsid w:val="008A46D5"/>
    <w:rsid w:val="008A4E75"/>
    <w:rsid w:val="008A6707"/>
    <w:rsid w:val="008A74ED"/>
    <w:rsid w:val="008B0AE3"/>
    <w:rsid w:val="008B0C02"/>
    <w:rsid w:val="008B0C26"/>
    <w:rsid w:val="008B157C"/>
    <w:rsid w:val="008B2844"/>
    <w:rsid w:val="008B2979"/>
    <w:rsid w:val="008B4B2C"/>
    <w:rsid w:val="008B578B"/>
    <w:rsid w:val="008B638C"/>
    <w:rsid w:val="008B667C"/>
    <w:rsid w:val="008B7C58"/>
    <w:rsid w:val="008B7D3D"/>
    <w:rsid w:val="008C0E41"/>
    <w:rsid w:val="008C4F40"/>
    <w:rsid w:val="008C5716"/>
    <w:rsid w:val="008C60A6"/>
    <w:rsid w:val="008C68B8"/>
    <w:rsid w:val="008C6B4C"/>
    <w:rsid w:val="008C6C80"/>
    <w:rsid w:val="008C747B"/>
    <w:rsid w:val="008C7C2D"/>
    <w:rsid w:val="008C7CD1"/>
    <w:rsid w:val="008D0280"/>
    <w:rsid w:val="008D084B"/>
    <w:rsid w:val="008D1044"/>
    <w:rsid w:val="008D1D5F"/>
    <w:rsid w:val="008D494A"/>
    <w:rsid w:val="008D5627"/>
    <w:rsid w:val="008D573B"/>
    <w:rsid w:val="008D79B2"/>
    <w:rsid w:val="008E059F"/>
    <w:rsid w:val="008E285F"/>
    <w:rsid w:val="008E2AC1"/>
    <w:rsid w:val="008E2BFA"/>
    <w:rsid w:val="008E359F"/>
    <w:rsid w:val="008E3DDC"/>
    <w:rsid w:val="008E40EE"/>
    <w:rsid w:val="008E44E3"/>
    <w:rsid w:val="008E56EC"/>
    <w:rsid w:val="008E7CC8"/>
    <w:rsid w:val="008E7E58"/>
    <w:rsid w:val="008F0244"/>
    <w:rsid w:val="008F0D57"/>
    <w:rsid w:val="008F0D69"/>
    <w:rsid w:val="008F1390"/>
    <w:rsid w:val="008F2D3E"/>
    <w:rsid w:val="008F3931"/>
    <w:rsid w:val="008F3ABB"/>
    <w:rsid w:val="008F4802"/>
    <w:rsid w:val="008F4A1C"/>
    <w:rsid w:val="008F4A4D"/>
    <w:rsid w:val="008F4B77"/>
    <w:rsid w:val="008F53C4"/>
    <w:rsid w:val="008F5FD6"/>
    <w:rsid w:val="008F7124"/>
    <w:rsid w:val="008F7AE5"/>
    <w:rsid w:val="00901705"/>
    <w:rsid w:val="00901918"/>
    <w:rsid w:val="0090245A"/>
    <w:rsid w:val="00904D7A"/>
    <w:rsid w:val="009061CB"/>
    <w:rsid w:val="00906204"/>
    <w:rsid w:val="009062A5"/>
    <w:rsid w:val="00907444"/>
    <w:rsid w:val="00907FCC"/>
    <w:rsid w:val="0091016C"/>
    <w:rsid w:val="009103E6"/>
    <w:rsid w:val="00910CBA"/>
    <w:rsid w:val="00911CBB"/>
    <w:rsid w:val="009120AD"/>
    <w:rsid w:val="0091211D"/>
    <w:rsid w:val="00912D70"/>
    <w:rsid w:val="00913DE4"/>
    <w:rsid w:val="0091479C"/>
    <w:rsid w:val="00914C75"/>
    <w:rsid w:val="009150A0"/>
    <w:rsid w:val="0091517F"/>
    <w:rsid w:val="009156DE"/>
    <w:rsid w:val="009158D7"/>
    <w:rsid w:val="00915C77"/>
    <w:rsid w:val="00915E5E"/>
    <w:rsid w:val="00920F68"/>
    <w:rsid w:val="00921ABF"/>
    <w:rsid w:val="00921C65"/>
    <w:rsid w:val="00921D8E"/>
    <w:rsid w:val="00922C11"/>
    <w:rsid w:val="0092323D"/>
    <w:rsid w:val="009236CA"/>
    <w:rsid w:val="00923A4D"/>
    <w:rsid w:val="00924C8E"/>
    <w:rsid w:val="0092501B"/>
    <w:rsid w:val="00925EFA"/>
    <w:rsid w:val="009260EB"/>
    <w:rsid w:val="00930047"/>
    <w:rsid w:val="009324B9"/>
    <w:rsid w:val="009347A7"/>
    <w:rsid w:val="00936C6F"/>
    <w:rsid w:val="00936DFD"/>
    <w:rsid w:val="00936FF0"/>
    <w:rsid w:val="00937409"/>
    <w:rsid w:val="00937446"/>
    <w:rsid w:val="009377B1"/>
    <w:rsid w:val="009379AA"/>
    <w:rsid w:val="009379AF"/>
    <w:rsid w:val="009443BC"/>
    <w:rsid w:val="00945145"/>
    <w:rsid w:val="009454F2"/>
    <w:rsid w:val="00945831"/>
    <w:rsid w:val="00945A74"/>
    <w:rsid w:val="00945C36"/>
    <w:rsid w:val="0094612B"/>
    <w:rsid w:val="0094728F"/>
    <w:rsid w:val="009479BA"/>
    <w:rsid w:val="009506A8"/>
    <w:rsid w:val="00950CBE"/>
    <w:rsid w:val="00951A47"/>
    <w:rsid w:val="00951D07"/>
    <w:rsid w:val="0095247B"/>
    <w:rsid w:val="00954303"/>
    <w:rsid w:val="009547D3"/>
    <w:rsid w:val="009547DA"/>
    <w:rsid w:val="0095496D"/>
    <w:rsid w:val="009553BB"/>
    <w:rsid w:val="00955775"/>
    <w:rsid w:val="00956029"/>
    <w:rsid w:val="0095792B"/>
    <w:rsid w:val="0096055E"/>
    <w:rsid w:val="00960672"/>
    <w:rsid w:val="00960915"/>
    <w:rsid w:val="00961B9D"/>
    <w:rsid w:val="00963B15"/>
    <w:rsid w:val="00963BCE"/>
    <w:rsid w:val="009644DB"/>
    <w:rsid w:val="00964CF1"/>
    <w:rsid w:val="00965384"/>
    <w:rsid w:val="00965566"/>
    <w:rsid w:val="009655C8"/>
    <w:rsid w:val="009662FC"/>
    <w:rsid w:val="00966F2B"/>
    <w:rsid w:val="00967721"/>
    <w:rsid w:val="00967BA5"/>
    <w:rsid w:val="00967DF9"/>
    <w:rsid w:val="00970EB4"/>
    <w:rsid w:val="009715EF"/>
    <w:rsid w:val="009718DE"/>
    <w:rsid w:val="00971C35"/>
    <w:rsid w:val="00972B80"/>
    <w:rsid w:val="00972F0C"/>
    <w:rsid w:val="00974CFC"/>
    <w:rsid w:val="00974DDC"/>
    <w:rsid w:val="00974FBF"/>
    <w:rsid w:val="00975D1F"/>
    <w:rsid w:val="00976B63"/>
    <w:rsid w:val="00980F01"/>
    <w:rsid w:val="00981727"/>
    <w:rsid w:val="00982597"/>
    <w:rsid w:val="00982879"/>
    <w:rsid w:val="00982FEB"/>
    <w:rsid w:val="009838C8"/>
    <w:rsid w:val="009843A5"/>
    <w:rsid w:val="00984F7B"/>
    <w:rsid w:val="009851C7"/>
    <w:rsid w:val="00987475"/>
    <w:rsid w:val="00987671"/>
    <w:rsid w:val="009902BA"/>
    <w:rsid w:val="009929D1"/>
    <w:rsid w:val="00992C9A"/>
    <w:rsid w:val="0099450D"/>
    <w:rsid w:val="009949A0"/>
    <w:rsid w:val="0099547E"/>
    <w:rsid w:val="00995A19"/>
    <w:rsid w:val="0099651C"/>
    <w:rsid w:val="009967C0"/>
    <w:rsid w:val="009A11B7"/>
    <w:rsid w:val="009A1D85"/>
    <w:rsid w:val="009A2425"/>
    <w:rsid w:val="009A2E00"/>
    <w:rsid w:val="009A4D3F"/>
    <w:rsid w:val="009A53FE"/>
    <w:rsid w:val="009A62D9"/>
    <w:rsid w:val="009A631E"/>
    <w:rsid w:val="009A726D"/>
    <w:rsid w:val="009A74FC"/>
    <w:rsid w:val="009A77C7"/>
    <w:rsid w:val="009A7F83"/>
    <w:rsid w:val="009B1015"/>
    <w:rsid w:val="009B1816"/>
    <w:rsid w:val="009B2439"/>
    <w:rsid w:val="009B2D4C"/>
    <w:rsid w:val="009B2DA6"/>
    <w:rsid w:val="009B318F"/>
    <w:rsid w:val="009B3342"/>
    <w:rsid w:val="009B4E2D"/>
    <w:rsid w:val="009B4E6C"/>
    <w:rsid w:val="009B53F2"/>
    <w:rsid w:val="009B6308"/>
    <w:rsid w:val="009B6A24"/>
    <w:rsid w:val="009B7C76"/>
    <w:rsid w:val="009B7FC3"/>
    <w:rsid w:val="009C030A"/>
    <w:rsid w:val="009C037E"/>
    <w:rsid w:val="009C15B5"/>
    <w:rsid w:val="009C2004"/>
    <w:rsid w:val="009C47E9"/>
    <w:rsid w:val="009C5083"/>
    <w:rsid w:val="009C66C4"/>
    <w:rsid w:val="009C699D"/>
    <w:rsid w:val="009C72FE"/>
    <w:rsid w:val="009D0F86"/>
    <w:rsid w:val="009D1AFF"/>
    <w:rsid w:val="009D1BEF"/>
    <w:rsid w:val="009D1CFB"/>
    <w:rsid w:val="009D2654"/>
    <w:rsid w:val="009D38F1"/>
    <w:rsid w:val="009D395B"/>
    <w:rsid w:val="009D3CB5"/>
    <w:rsid w:val="009D3DD7"/>
    <w:rsid w:val="009D57B9"/>
    <w:rsid w:val="009D5819"/>
    <w:rsid w:val="009D585A"/>
    <w:rsid w:val="009D5EF2"/>
    <w:rsid w:val="009D673B"/>
    <w:rsid w:val="009D6ACB"/>
    <w:rsid w:val="009D6B05"/>
    <w:rsid w:val="009E0C82"/>
    <w:rsid w:val="009E177B"/>
    <w:rsid w:val="009E200A"/>
    <w:rsid w:val="009E2437"/>
    <w:rsid w:val="009E3466"/>
    <w:rsid w:val="009E4014"/>
    <w:rsid w:val="009F06E3"/>
    <w:rsid w:val="009F1C76"/>
    <w:rsid w:val="009F1EC6"/>
    <w:rsid w:val="009F1F10"/>
    <w:rsid w:val="009F3CA9"/>
    <w:rsid w:val="009F3CAA"/>
    <w:rsid w:val="009F466C"/>
    <w:rsid w:val="009F54DF"/>
    <w:rsid w:val="009F5A2E"/>
    <w:rsid w:val="009F7AC2"/>
    <w:rsid w:val="00A00203"/>
    <w:rsid w:val="00A00D5C"/>
    <w:rsid w:val="00A01D5B"/>
    <w:rsid w:val="00A01E7B"/>
    <w:rsid w:val="00A0353D"/>
    <w:rsid w:val="00A0357B"/>
    <w:rsid w:val="00A040B6"/>
    <w:rsid w:val="00A045DA"/>
    <w:rsid w:val="00A04934"/>
    <w:rsid w:val="00A04B01"/>
    <w:rsid w:val="00A04E88"/>
    <w:rsid w:val="00A05148"/>
    <w:rsid w:val="00A0571D"/>
    <w:rsid w:val="00A0576F"/>
    <w:rsid w:val="00A066F2"/>
    <w:rsid w:val="00A06DD0"/>
    <w:rsid w:val="00A077E4"/>
    <w:rsid w:val="00A10CA7"/>
    <w:rsid w:val="00A1179D"/>
    <w:rsid w:val="00A13AD2"/>
    <w:rsid w:val="00A13DA9"/>
    <w:rsid w:val="00A14749"/>
    <w:rsid w:val="00A14811"/>
    <w:rsid w:val="00A151A3"/>
    <w:rsid w:val="00A15339"/>
    <w:rsid w:val="00A15D90"/>
    <w:rsid w:val="00A160C8"/>
    <w:rsid w:val="00A1652E"/>
    <w:rsid w:val="00A169CE"/>
    <w:rsid w:val="00A16E0C"/>
    <w:rsid w:val="00A17911"/>
    <w:rsid w:val="00A2109F"/>
    <w:rsid w:val="00A2166F"/>
    <w:rsid w:val="00A219F6"/>
    <w:rsid w:val="00A21E5B"/>
    <w:rsid w:val="00A22BD8"/>
    <w:rsid w:val="00A23596"/>
    <w:rsid w:val="00A23743"/>
    <w:rsid w:val="00A23F71"/>
    <w:rsid w:val="00A241C9"/>
    <w:rsid w:val="00A3017E"/>
    <w:rsid w:val="00A305C5"/>
    <w:rsid w:val="00A30A38"/>
    <w:rsid w:val="00A321D9"/>
    <w:rsid w:val="00A32EC0"/>
    <w:rsid w:val="00A32F30"/>
    <w:rsid w:val="00A33907"/>
    <w:rsid w:val="00A348C0"/>
    <w:rsid w:val="00A34954"/>
    <w:rsid w:val="00A34956"/>
    <w:rsid w:val="00A3519C"/>
    <w:rsid w:val="00A3576A"/>
    <w:rsid w:val="00A35F38"/>
    <w:rsid w:val="00A36088"/>
    <w:rsid w:val="00A40028"/>
    <w:rsid w:val="00A41FD2"/>
    <w:rsid w:val="00A42059"/>
    <w:rsid w:val="00A428E8"/>
    <w:rsid w:val="00A43317"/>
    <w:rsid w:val="00A437D0"/>
    <w:rsid w:val="00A44089"/>
    <w:rsid w:val="00A44B64"/>
    <w:rsid w:val="00A45C70"/>
    <w:rsid w:val="00A46639"/>
    <w:rsid w:val="00A47569"/>
    <w:rsid w:val="00A47B96"/>
    <w:rsid w:val="00A50702"/>
    <w:rsid w:val="00A50859"/>
    <w:rsid w:val="00A519E1"/>
    <w:rsid w:val="00A5263B"/>
    <w:rsid w:val="00A52655"/>
    <w:rsid w:val="00A5276F"/>
    <w:rsid w:val="00A53025"/>
    <w:rsid w:val="00A537BC"/>
    <w:rsid w:val="00A5448A"/>
    <w:rsid w:val="00A546E2"/>
    <w:rsid w:val="00A54E62"/>
    <w:rsid w:val="00A558F9"/>
    <w:rsid w:val="00A55F6D"/>
    <w:rsid w:val="00A56075"/>
    <w:rsid w:val="00A56CE5"/>
    <w:rsid w:val="00A57556"/>
    <w:rsid w:val="00A60937"/>
    <w:rsid w:val="00A62F25"/>
    <w:rsid w:val="00A63761"/>
    <w:rsid w:val="00A63838"/>
    <w:rsid w:val="00A65044"/>
    <w:rsid w:val="00A65269"/>
    <w:rsid w:val="00A6536F"/>
    <w:rsid w:val="00A6694A"/>
    <w:rsid w:val="00A6779A"/>
    <w:rsid w:val="00A70068"/>
    <w:rsid w:val="00A7024D"/>
    <w:rsid w:val="00A7108C"/>
    <w:rsid w:val="00A71FE8"/>
    <w:rsid w:val="00A721D0"/>
    <w:rsid w:val="00A72C7F"/>
    <w:rsid w:val="00A752D8"/>
    <w:rsid w:val="00A75AB8"/>
    <w:rsid w:val="00A75C55"/>
    <w:rsid w:val="00A76792"/>
    <w:rsid w:val="00A76B0B"/>
    <w:rsid w:val="00A773B7"/>
    <w:rsid w:val="00A77BC9"/>
    <w:rsid w:val="00A77FCF"/>
    <w:rsid w:val="00A80F2E"/>
    <w:rsid w:val="00A8114D"/>
    <w:rsid w:val="00A8168B"/>
    <w:rsid w:val="00A818CA"/>
    <w:rsid w:val="00A82ACA"/>
    <w:rsid w:val="00A831E8"/>
    <w:rsid w:val="00A83833"/>
    <w:rsid w:val="00A83B56"/>
    <w:rsid w:val="00A850F8"/>
    <w:rsid w:val="00A86182"/>
    <w:rsid w:val="00A862E3"/>
    <w:rsid w:val="00A86998"/>
    <w:rsid w:val="00A87494"/>
    <w:rsid w:val="00A876B3"/>
    <w:rsid w:val="00A87E40"/>
    <w:rsid w:val="00A90781"/>
    <w:rsid w:val="00A907D4"/>
    <w:rsid w:val="00A908EE"/>
    <w:rsid w:val="00A909DD"/>
    <w:rsid w:val="00A90A21"/>
    <w:rsid w:val="00A90DC0"/>
    <w:rsid w:val="00A91B12"/>
    <w:rsid w:val="00A91E92"/>
    <w:rsid w:val="00A94433"/>
    <w:rsid w:val="00A95ADD"/>
    <w:rsid w:val="00A95F8B"/>
    <w:rsid w:val="00A96620"/>
    <w:rsid w:val="00A974F8"/>
    <w:rsid w:val="00A9763C"/>
    <w:rsid w:val="00A97724"/>
    <w:rsid w:val="00A97F25"/>
    <w:rsid w:val="00AA00C9"/>
    <w:rsid w:val="00AA0D8B"/>
    <w:rsid w:val="00AA10B7"/>
    <w:rsid w:val="00AA12D0"/>
    <w:rsid w:val="00AA2101"/>
    <w:rsid w:val="00AA25CB"/>
    <w:rsid w:val="00AA3551"/>
    <w:rsid w:val="00AA3F40"/>
    <w:rsid w:val="00AA49EE"/>
    <w:rsid w:val="00AA626B"/>
    <w:rsid w:val="00AA6B5F"/>
    <w:rsid w:val="00AA7029"/>
    <w:rsid w:val="00AA79A7"/>
    <w:rsid w:val="00AB0304"/>
    <w:rsid w:val="00AB0E82"/>
    <w:rsid w:val="00AB1765"/>
    <w:rsid w:val="00AB1FCD"/>
    <w:rsid w:val="00AB2758"/>
    <w:rsid w:val="00AB47A7"/>
    <w:rsid w:val="00AB4AE4"/>
    <w:rsid w:val="00AB5ECF"/>
    <w:rsid w:val="00AB6A63"/>
    <w:rsid w:val="00AC053B"/>
    <w:rsid w:val="00AC05E2"/>
    <w:rsid w:val="00AC0722"/>
    <w:rsid w:val="00AC0752"/>
    <w:rsid w:val="00AC0AF4"/>
    <w:rsid w:val="00AC126E"/>
    <w:rsid w:val="00AC14B8"/>
    <w:rsid w:val="00AC2391"/>
    <w:rsid w:val="00AC252F"/>
    <w:rsid w:val="00AC30E4"/>
    <w:rsid w:val="00AC3140"/>
    <w:rsid w:val="00AC372D"/>
    <w:rsid w:val="00AC4196"/>
    <w:rsid w:val="00AC4998"/>
    <w:rsid w:val="00AC4A45"/>
    <w:rsid w:val="00AC4D83"/>
    <w:rsid w:val="00AC4DBB"/>
    <w:rsid w:val="00AC61B8"/>
    <w:rsid w:val="00AC75AF"/>
    <w:rsid w:val="00AC7754"/>
    <w:rsid w:val="00AC7BEA"/>
    <w:rsid w:val="00AD1698"/>
    <w:rsid w:val="00AD2892"/>
    <w:rsid w:val="00AD2C53"/>
    <w:rsid w:val="00AD2CEF"/>
    <w:rsid w:val="00AD2D82"/>
    <w:rsid w:val="00AD3F9B"/>
    <w:rsid w:val="00AD50A3"/>
    <w:rsid w:val="00AD52D0"/>
    <w:rsid w:val="00AD57E1"/>
    <w:rsid w:val="00AD5DD3"/>
    <w:rsid w:val="00AD674E"/>
    <w:rsid w:val="00AD6946"/>
    <w:rsid w:val="00AD6B4A"/>
    <w:rsid w:val="00AD737D"/>
    <w:rsid w:val="00AD793C"/>
    <w:rsid w:val="00AE0D01"/>
    <w:rsid w:val="00AE172C"/>
    <w:rsid w:val="00AE2AAD"/>
    <w:rsid w:val="00AE3033"/>
    <w:rsid w:val="00AE3B67"/>
    <w:rsid w:val="00AE6A33"/>
    <w:rsid w:val="00AF0797"/>
    <w:rsid w:val="00AF204C"/>
    <w:rsid w:val="00AF3521"/>
    <w:rsid w:val="00AF3D8B"/>
    <w:rsid w:val="00AF40E6"/>
    <w:rsid w:val="00AF42FA"/>
    <w:rsid w:val="00AF4C7E"/>
    <w:rsid w:val="00AF5CD4"/>
    <w:rsid w:val="00AF699A"/>
    <w:rsid w:val="00AF758A"/>
    <w:rsid w:val="00AF7F15"/>
    <w:rsid w:val="00B001FC"/>
    <w:rsid w:val="00B00244"/>
    <w:rsid w:val="00B00493"/>
    <w:rsid w:val="00B029A4"/>
    <w:rsid w:val="00B03476"/>
    <w:rsid w:val="00B03912"/>
    <w:rsid w:val="00B05830"/>
    <w:rsid w:val="00B05DEC"/>
    <w:rsid w:val="00B05E67"/>
    <w:rsid w:val="00B05FE9"/>
    <w:rsid w:val="00B06033"/>
    <w:rsid w:val="00B0639A"/>
    <w:rsid w:val="00B065BA"/>
    <w:rsid w:val="00B06F56"/>
    <w:rsid w:val="00B07824"/>
    <w:rsid w:val="00B100AD"/>
    <w:rsid w:val="00B11B77"/>
    <w:rsid w:val="00B120B1"/>
    <w:rsid w:val="00B129D9"/>
    <w:rsid w:val="00B130CD"/>
    <w:rsid w:val="00B13F77"/>
    <w:rsid w:val="00B161BC"/>
    <w:rsid w:val="00B216C3"/>
    <w:rsid w:val="00B21CFF"/>
    <w:rsid w:val="00B2274D"/>
    <w:rsid w:val="00B22A31"/>
    <w:rsid w:val="00B23A7B"/>
    <w:rsid w:val="00B2415B"/>
    <w:rsid w:val="00B24328"/>
    <w:rsid w:val="00B247D2"/>
    <w:rsid w:val="00B24B33"/>
    <w:rsid w:val="00B25617"/>
    <w:rsid w:val="00B2561C"/>
    <w:rsid w:val="00B2626F"/>
    <w:rsid w:val="00B27387"/>
    <w:rsid w:val="00B279ED"/>
    <w:rsid w:val="00B31D02"/>
    <w:rsid w:val="00B32C5A"/>
    <w:rsid w:val="00B3363B"/>
    <w:rsid w:val="00B339F9"/>
    <w:rsid w:val="00B33DE4"/>
    <w:rsid w:val="00B34F6B"/>
    <w:rsid w:val="00B352AF"/>
    <w:rsid w:val="00B352EE"/>
    <w:rsid w:val="00B353A3"/>
    <w:rsid w:val="00B35ABF"/>
    <w:rsid w:val="00B36B7C"/>
    <w:rsid w:val="00B404A9"/>
    <w:rsid w:val="00B40AEE"/>
    <w:rsid w:val="00B41CF8"/>
    <w:rsid w:val="00B43700"/>
    <w:rsid w:val="00B43F2B"/>
    <w:rsid w:val="00B442C1"/>
    <w:rsid w:val="00B44421"/>
    <w:rsid w:val="00B44A8D"/>
    <w:rsid w:val="00B47984"/>
    <w:rsid w:val="00B47B4F"/>
    <w:rsid w:val="00B50257"/>
    <w:rsid w:val="00B517D9"/>
    <w:rsid w:val="00B51B93"/>
    <w:rsid w:val="00B52110"/>
    <w:rsid w:val="00B53B77"/>
    <w:rsid w:val="00B53CA4"/>
    <w:rsid w:val="00B53ED5"/>
    <w:rsid w:val="00B53FC2"/>
    <w:rsid w:val="00B540F7"/>
    <w:rsid w:val="00B55359"/>
    <w:rsid w:val="00B55500"/>
    <w:rsid w:val="00B55C1E"/>
    <w:rsid w:val="00B564CD"/>
    <w:rsid w:val="00B5696B"/>
    <w:rsid w:val="00B570F3"/>
    <w:rsid w:val="00B5727D"/>
    <w:rsid w:val="00B602C9"/>
    <w:rsid w:val="00B60806"/>
    <w:rsid w:val="00B60CA9"/>
    <w:rsid w:val="00B61083"/>
    <w:rsid w:val="00B61AE2"/>
    <w:rsid w:val="00B62737"/>
    <w:rsid w:val="00B62808"/>
    <w:rsid w:val="00B62ADE"/>
    <w:rsid w:val="00B6316F"/>
    <w:rsid w:val="00B63573"/>
    <w:rsid w:val="00B63F30"/>
    <w:rsid w:val="00B660EE"/>
    <w:rsid w:val="00B70E90"/>
    <w:rsid w:val="00B71072"/>
    <w:rsid w:val="00B72286"/>
    <w:rsid w:val="00B739E6"/>
    <w:rsid w:val="00B74082"/>
    <w:rsid w:val="00B7577F"/>
    <w:rsid w:val="00B75907"/>
    <w:rsid w:val="00B75CD9"/>
    <w:rsid w:val="00B75DBC"/>
    <w:rsid w:val="00B768E9"/>
    <w:rsid w:val="00B77116"/>
    <w:rsid w:val="00B771B6"/>
    <w:rsid w:val="00B77913"/>
    <w:rsid w:val="00B77B64"/>
    <w:rsid w:val="00B77CF0"/>
    <w:rsid w:val="00B808E2"/>
    <w:rsid w:val="00B80CB8"/>
    <w:rsid w:val="00B839F2"/>
    <w:rsid w:val="00B83B7F"/>
    <w:rsid w:val="00B83D32"/>
    <w:rsid w:val="00B8412A"/>
    <w:rsid w:val="00B843A5"/>
    <w:rsid w:val="00B85AAB"/>
    <w:rsid w:val="00B85BE9"/>
    <w:rsid w:val="00B85DAB"/>
    <w:rsid w:val="00B8629D"/>
    <w:rsid w:val="00B90C27"/>
    <w:rsid w:val="00B91ADD"/>
    <w:rsid w:val="00B91E96"/>
    <w:rsid w:val="00B91EA1"/>
    <w:rsid w:val="00B92992"/>
    <w:rsid w:val="00B92BD3"/>
    <w:rsid w:val="00B9324D"/>
    <w:rsid w:val="00B96925"/>
    <w:rsid w:val="00B96B23"/>
    <w:rsid w:val="00B97AD2"/>
    <w:rsid w:val="00BA0214"/>
    <w:rsid w:val="00BA0549"/>
    <w:rsid w:val="00BA05B6"/>
    <w:rsid w:val="00BA1FE6"/>
    <w:rsid w:val="00BA3409"/>
    <w:rsid w:val="00BA3461"/>
    <w:rsid w:val="00BA38C1"/>
    <w:rsid w:val="00BA46A6"/>
    <w:rsid w:val="00BA6A61"/>
    <w:rsid w:val="00BA74D3"/>
    <w:rsid w:val="00BA7983"/>
    <w:rsid w:val="00BA7CC8"/>
    <w:rsid w:val="00BA7E37"/>
    <w:rsid w:val="00BB16BD"/>
    <w:rsid w:val="00BB1BF8"/>
    <w:rsid w:val="00BB1EED"/>
    <w:rsid w:val="00BB2011"/>
    <w:rsid w:val="00BB3EDA"/>
    <w:rsid w:val="00BB46D0"/>
    <w:rsid w:val="00BB4B81"/>
    <w:rsid w:val="00BB5770"/>
    <w:rsid w:val="00BB58DD"/>
    <w:rsid w:val="00BB6BED"/>
    <w:rsid w:val="00BC0AA0"/>
    <w:rsid w:val="00BC12C6"/>
    <w:rsid w:val="00BC21A0"/>
    <w:rsid w:val="00BC26A9"/>
    <w:rsid w:val="00BC2B06"/>
    <w:rsid w:val="00BC2FAF"/>
    <w:rsid w:val="00BC340C"/>
    <w:rsid w:val="00BC36E2"/>
    <w:rsid w:val="00BC3C24"/>
    <w:rsid w:val="00BC437D"/>
    <w:rsid w:val="00BC4E80"/>
    <w:rsid w:val="00BC55F7"/>
    <w:rsid w:val="00BC6629"/>
    <w:rsid w:val="00BC6A30"/>
    <w:rsid w:val="00BC6D92"/>
    <w:rsid w:val="00BC7BDC"/>
    <w:rsid w:val="00BD0DE8"/>
    <w:rsid w:val="00BD0EF6"/>
    <w:rsid w:val="00BD1357"/>
    <w:rsid w:val="00BD21D9"/>
    <w:rsid w:val="00BD3B03"/>
    <w:rsid w:val="00BD4E01"/>
    <w:rsid w:val="00BD6205"/>
    <w:rsid w:val="00BD7FC9"/>
    <w:rsid w:val="00BE03D5"/>
    <w:rsid w:val="00BE0E75"/>
    <w:rsid w:val="00BE230F"/>
    <w:rsid w:val="00BE2818"/>
    <w:rsid w:val="00BE2DD9"/>
    <w:rsid w:val="00BE372C"/>
    <w:rsid w:val="00BE3ADB"/>
    <w:rsid w:val="00BE3D23"/>
    <w:rsid w:val="00BE4368"/>
    <w:rsid w:val="00BE463F"/>
    <w:rsid w:val="00BE53D5"/>
    <w:rsid w:val="00BE55C2"/>
    <w:rsid w:val="00BE58B5"/>
    <w:rsid w:val="00BE6969"/>
    <w:rsid w:val="00BE77F8"/>
    <w:rsid w:val="00BE78AE"/>
    <w:rsid w:val="00BF0AD9"/>
    <w:rsid w:val="00BF1003"/>
    <w:rsid w:val="00BF12E2"/>
    <w:rsid w:val="00BF15E6"/>
    <w:rsid w:val="00BF18DB"/>
    <w:rsid w:val="00BF1EF6"/>
    <w:rsid w:val="00BF22C3"/>
    <w:rsid w:val="00BF24BA"/>
    <w:rsid w:val="00BF298B"/>
    <w:rsid w:val="00BF2F10"/>
    <w:rsid w:val="00BF49CF"/>
    <w:rsid w:val="00BF6095"/>
    <w:rsid w:val="00BF664C"/>
    <w:rsid w:val="00BF66FC"/>
    <w:rsid w:val="00BF7C68"/>
    <w:rsid w:val="00BF7E48"/>
    <w:rsid w:val="00BF7F63"/>
    <w:rsid w:val="00C00BE3"/>
    <w:rsid w:val="00C0213B"/>
    <w:rsid w:val="00C02A1A"/>
    <w:rsid w:val="00C034DE"/>
    <w:rsid w:val="00C03E05"/>
    <w:rsid w:val="00C040A3"/>
    <w:rsid w:val="00C04582"/>
    <w:rsid w:val="00C04591"/>
    <w:rsid w:val="00C04F06"/>
    <w:rsid w:val="00C05604"/>
    <w:rsid w:val="00C05A83"/>
    <w:rsid w:val="00C05CD6"/>
    <w:rsid w:val="00C1058B"/>
    <w:rsid w:val="00C143E8"/>
    <w:rsid w:val="00C14882"/>
    <w:rsid w:val="00C1561E"/>
    <w:rsid w:val="00C1590F"/>
    <w:rsid w:val="00C15DEA"/>
    <w:rsid w:val="00C17026"/>
    <w:rsid w:val="00C176AA"/>
    <w:rsid w:val="00C201AA"/>
    <w:rsid w:val="00C21CCD"/>
    <w:rsid w:val="00C2217E"/>
    <w:rsid w:val="00C22D54"/>
    <w:rsid w:val="00C23315"/>
    <w:rsid w:val="00C23D4C"/>
    <w:rsid w:val="00C254CE"/>
    <w:rsid w:val="00C257C3"/>
    <w:rsid w:val="00C304C1"/>
    <w:rsid w:val="00C313EE"/>
    <w:rsid w:val="00C31B03"/>
    <w:rsid w:val="00C33609"/>
    <w:rsid w:val="00C348EF"/>
    <w:rsid w:val="00C35586"/>
    <w:rsid w:val="00C35A48"/>
    <w:rsid w:val="00C35B61"/>
    <w:rsid w:val="00C41CC8"/>
    <w:rsid w:val="00C425E6"/>
    <w:rsid w:val="00C434E3"/>
    <w:rsid w:val="00C436DC"/>
    <w:rsid w:val="00C44866"/>
    <w:rsid w:val="00C44EC2"/>
    <w:rsid w:val="00C450B8"/>
    <w:rsid w:val="00C45E9D"/>
    <w:rsid w:val="00C46C3D"/>
    <w:rsid w:val="00C46D2D"/>
    <w:rsid w:val="00C502F1"/>
    <w:rsid w:val="00C51502"/>
    <w:rsid w:val="00C51904"/>
    <w:rsid w:val="00C52917"/>
    <w:rsid w:val="00C53CD8"/>
    <w:rsid w:val="00C542F0"/>
    <w:rsid w:val="00C553BE"/>
    <w:rsid w:val="00C55828"/>
    <w:rsid w:val="00C55BB3"/>
    <w:rsid w:val="00C568B2"/>
    <w:rsid w:val="00C576B0"/>
    <w:rsid w:val="00C61EEF"/>
    <w:rsid w:val="00C63826"/>
    <w:rsid w:val="00C6435B"/>
    <w:rsid w:val="00C645CD"/>
    <w:rsid w:val="00C654E0"/>
    <w:rsid w:val="00C67EFE"/>
    <w:rsid w:val="00C706DD"/>
    <w:rsid w:val="00C71223"/>
    <w:rsid w:val="00C728D7"/>
    <w:rsid w:val="00C73972"/>
    <w:rsid w:val="00C73D23"/>
    <w:rsid w:val="00C745A5"/>
    <w:rsid w:val="00C7479A"/>
    <w:rsid w:val="00C76049"/>
    <w:rsid w:val="00C76451"/>
    <w:rsid w:val="00C77F85"/>
    <w:rsid w:val="00C81DC6"/>
    <w:rsid w:val="00C828DB"/>
    <w:rsid w:val="00C82CF6"/>
    <w:rsid w:val="00C8370C"/>
    <w:rsid w:val="00C858D7"/>
    <w:rsid w:val="00C86570"/>
    <w:rsid w:val="00C87692"/>
    <w:rsid w:val="00C87B95"/>
    <w:rsid w:val="00C87C8A"/>
    <w:rsid w:val="00C90349"/>
    <w:rsid w:val="00C91305"/>
    <w:rsid w:val="00C916B6"/>
    <w:rsid w:val="00C9376C"/>
    <w:rsid w:val="00C93B99"/>
    <w:rsid w:val="00C93FCD"/>
    <w:rsid w:val="00C94495"/>
    <w:rsid w:val="00C950BA"/>
    <w:rsid w:val="00C95795"/>
    <w:rsid w:val="00C95883"/>
    <w:rsid w:val="00C959E9"/>
    <w:rsid w:val="00C9673D"/>
    <w:rsid w:val="00C96AF4"/>
    <w:rsid w:val="00C971E7"/>
    <w:rsid w:val="00C97273"/>
    <w:rsid w:val="00C97882"/>
    <w:rsid w:val="00C97B61"/>
    <w:rsid w:val="00CA0027"/>
    <w:rsid w:val="00CA061E"/>
    <w:rsid w:val="00CA10B7"/>
    <w:rsid w:val="00CA1103"/>
    <w:rsid w:val="00CA1881"/>
    <w:rsid w:val="00CA26A1"/>
    <w:rsid w:val="00CA2CF7"/>
    <w:rsid w:val="00CA31FE"/>
    <w:rsid w:val="00CA3883"/>
    <w:rsid w:val="00CA390C"/>
    <w:rsid w:val="00CA4753"/>
    <w:rsid w:val="00CA490A"/>
    <w:rsid w:val="00CA5EC4"/>
    <w:rsid w:val="00CB0809"/>
    <w:rsid w:val="00CB0862"/>
    <w:rsid w:val="00CB1072"/>
    <w:rsid w:val="00CB10A5"/>
    <w:rsid w:val="00CB121E"/>
    <w:rsid w:val="00CB1C50"/>
    <w:rsid w:val="00CB21A5"/>
    <w:rsid w:val="00CB2D64"/>
    <w:rsid w:val="00CB429B"/>
    <w:rsid w:val="00CB5232"/>
    <w:rsid w:val="00CB5B01"/>
    <w:rsid w:val="00CB64D5"/>
    <w:rsid w:val="00CB671E"/>
    <w:rsid w:val="00CB6924"/>
    <w:rsid w:val="00CC1730"/>
    <w:rsid w:val="00CC1B2E"/>
    <w:rsid w:val="00CC2002"/>
    <w:rsid w:val="00CC2D97"/>
    <w:rsid w:val="00CC58DC"/>
    <w:rsid w:val="00CC662D"/>
    <w:rsid w:val="00CD26CE"/>
    <w:rsid w:val="00CD31D0"/>
    <w:rsid w:val="00CD3761"/>
    <w:rsid w:val="00CD466A"/>
    <w:rsid w:val="00CD4CA4"/>
    <w:rsid w:val="00CD6349"/>
    <w:rsid w:val="00CD637D"/>
    <w:rsid w:val="00CD6F29"/>
    <w:rsid w:val="00CD7A26"/>
    <w:rsid w:val="00CD7F68"/>
    <w:rsid w:val="00CE4515"/>
    <w:rsid w:val="00CE4698"/>
    <w:rsid w:val="00CE4BCA"/>
    <w:rsid w:val="00CE5944"/>
    <w:rsid w:val="00CE64C0"/>
    <w:rsid w:val="00CE747C"/>
    <w:rsid w:val="00CE75FE"/>
    <w:rsid w:val="00CF0E54"/>
    <w:rsid w:val="00CF2D0E"/>
    <w:rsid w:val="00CF3254"/>
    <w:rsid w:val="00CF4120"/>
    <w:rsid w:val="00CF4579"/>
    <w:rsid w:val="00CF4D5F"/>
    <w:rsid w:val="00CF60FD"/>
    <w:rsid w:val="00CF6911"/>
    <w:rsid w:val="00D00864"/>
    <w:rsid w:val="00D015BC"/>
    <w:rsid w:val="00D048AE"/>
    <w:rsid w:val="00D04B63"/>
    <w:rsid w:val="00D056C7"/>
    <w:rsid w:val="00D05B10"/>
    <w:rsid w:val="00D072EF"/>
    <w:rsid w:val="00D07601"/>
    <w:rsid w:val="00D07C64"/>
    <w:rsid w:val="00D104EF"/>
    <w:rsid w:val="00D10A09"/>
    <w:rsid w:val="00D10A7A"/>
    <w:rsid w:val="00D10D14"/>
    <w:rsid w:val="00D11EEC"/>
    <w:rsid w:val="00D13893"/>
    <w:rsid w:val="00D13C54"/>
    <w:rsid w:val="00D14239"/>
    <w:rsid w:val="00D1532F"/>
    <w:rsid w:val="00D15957"/>
    <w:rsid w:val="00D16176"/>
    <w:rsid w:val="00D17184"/>
    <w:rsid w:val="00D17D9D"/>
    <w:rsid w:val="00D20410"/>
    <w:rsid w:val="00D20CD1"/>
    <w:rsid w:val="00D210CB"/>
    <w:rsid w:val="00D21536"/>
    <w:rsid w:val="00D21B83"/>
    <w:rsid w:val="00D22C7B"/>
    <w:rsid w:val="00D2330C"/>
    <w:rsid w:val="00D245A8"/>
    <w:rsid w:val="00D247FB"/>
    <w:rsid w:val="00D26575"/>
    <w:rsid w:val="00D26C4D"/>
    <w:rsid w:val="00D2770F"/>
    <w:rsid w:val="00D3134C"/>
    <w:rsid w:val="00D31B48"/>
    <w:rsid w:val="00D31FDB"/>
    <w:rsid w:val="00D32517"/>
    <w:rsid w:val="00D3332F"/>
    <w:rsid w:val="00D33CDA"/>
    <w:rsid w:val="00D3479A"/>
    <w:rsid w:val="00D34929"/>
    <w:rsid w:val="00D34FF2"/>
    <w:rsid w:val="00D35285"/>
    <w:rsid w:val="00D359E0"/>
    <w:rsid w:val="00D35EE1"/>
    <w:rsid w:val="00D35F42"/>
    <w:rsid w:val="00D36D81"/>
    <w:rsid w:val="00D4027F"/>
    <w:rsid w:val="00D4144D"/>
    <w:rsid w:val="00D41CB0"/>
    <w:rsid w:val="00D42083"/>
    <w:rsid w:val="00D4243C"/>
    <w:rsid w:val="00D42B8C"/>
    <w:rsid w:val="00D42DC5"/>
    <w:rsid w:val="00D42FCB"/>
    <w:rsid w:val="00D4326B"/>
    <w:rsid w:val="00D44673"/>
    <w:rsid w:val="00D45FBB"/>
    <w:rsid w:val="00D4644C"/>
    <w:rsid w:val="00D47AA6"/>
    <w:rsid w:val="00D47D9C"/>
    <w:rsid w:val="00D5143B"/>
    <w:rsid w:val="00D5185B"/>
    <w:rsid w:val="00D52300"/>
    <w:rsid w:val="00D54456"/>
    <w:rsid w:val="00D547BC"/>
    <w:rsid w:val="00D54E4C"/>
    <w:rsid w:val="00D54F5A"/>
    <w:rsid w:val="00D550B3"/>
    <w:rsid w:val="00D552F4"/>
    <w:rsid w:val="00D57348"/>
    <w:rsid w:val="00D57353"/>
    <w:rsid w:val="00D5751F"/>
    <w:rsid w:val="00D575CA"/>
    <w:rsid w:val="00D610F1"/>
    <w:rsid w:val="00D61482"/>
    <w:rsid w:val="00D61A5C"/>
    <w:rsid w:val="00D6333A"/>
    <w:rsid w:val="00D63CD5"/>
    <w:rsid w:val="00D650E2"/>
    <w:rsid w:val="00D654AF"/>
    <w:rsid w:val="00D65756"/>
    <w:rsid w:val="00D658B6"/>
    <w:rsid w:val="00D67A31"/>
    <w:rsid w:val="00D67A6C"/>
    <w:rsid w:val="00D67B94"/>
    <w:rsid w:val="00D70021"/>
    <w:rsid w:val="00D7148D"/>
    <w:rsid w:val="00D719D6"/>
    <w:rsid w:val="00D7295E"/>
    <w:rsid w:val="00D7407A"/>
    <w:rsid w:val="00D752B0"/>
    <w:rsid w:val="00D772F0"/>
    <w:rsid w:val="00D77A69"/>
    <w:rsid w:val="00D80990"/>
    <w:rsid w:val="00D80C00"/>
    <w:rsid w:val="00D81596"/>
    <w:rsid w:val="00D815D8"/>
    <w:rsid w:val="00D815FE"/>
    <w:rsid w:val="00D8251B"/>
    <w:rsid w:val="00D82F28"/>
    <w:rsid w:val="00D83761"/>
    <w:rsid w:val="00D83C75"/>
    <w:rsid w:val="00D850C4"/>
    <w:rsid w:val="00D85868"/>
    <w:rsid w:val="00D859EB"/>
    <w:rsid w:val="00D864B4"/>
    <w:rsid w:val="00D86A11"/>
    <w:rsid w:val="00D871E4"/>
    <w:rsid w:val="00D912FD"/>
    <w:rsid w:val="00D919B6"/>
    <w:rsid w:val="00D923FB"/>
    <w:rsid w:val="00D94670"/>
    <w:rsid w:val="00D94EB6"/>
    <w:rsid w:val="00D95C9F"/>
    <w:rsid w:val="00D96822"/>
    <w:rsid w:val="00D972A7"/>
    <w:rsid w:val="00D97C06"/>
    <w:rsid w:val="00D97EEC"/>
    <w:rsid w:val="00DA14E3"/>
    <w:rsid w:val="00DA1555"/>
    <w:rsid w:val="00DA19FF"/>
    <w:rsid w:val="00DA1B24"/>
    <w:rsid w:val="00DA3215"/>
    <w:rsid w:val="00DA45E2"/>
    <w:rsid w:val="00DA4627"/>
    <w:rsid w:val="00DA5A66"/>
    <w:rsid w:val="00DB1585"/>
    <w:rsid w:val="00DB2207"/>
    <w:rsid w:val="00DB22D5"/>
    <w:rsid w:val="00DB3D0F"/>
    <w:rsid w:val="00DB43C7"/>
    <w:rsid w:val="00DB6ED8"/>
    <w:rsid w:val="00DB74B9"/>
    <w:rsid w:val="00DC012D"/>
    <w:rsid w:val="00DC0932"/>
    <w:rsid w:val="00DC0D87"/>
    <w:rsid w:val="00DC1BE6"/>
    <w:rsid w:val="00DC208C"/>
    <w:rsid w:val="00DC27E8"/>
    <w:rsid w:val="00DC2A97"/>
    <w:rsid w:val="00DC3169"/>
    <w:rsid w:val="00DC36FD"/>
    <w:rsid w:val="00DC404B"/>
    <w:rsid w:val="00DC434A"/>
    <w:rsid w:val="00DC62E2"/>
    <w:rsid w:val="00DC6693"/>
    <w:rsid w:val="00DC76AD"/>
    <w:rsid w:val="00DC7FC9"/>
    <w:rsid w:val="00DD01D5"/>
    <w:rsid w:val="00DD0354"/>
    <w:rsid w:val="00DD0575"/>
    <w:rsid w:val="00DD1138"/>
    <w:rsid w:val="00DD1149"/>
    <w:rsid w:val="00DD15C5"/>
    <w:rsid w:val="00DD31AC"/>
    <w:rsid w:val="00DD4163"/>
    <w:rsid w:val="00DD4F59"/>
    <w:rsid w:val="00DD5E74"/>
    <w:rsid w:val="00DD650D"/>
    <w:rsid w:val="00DD6A1A"/>
    <w:rsid w:val="00DD793B"/>
    <w:rsid w:val="00DE167A"/>
    <w:rsid w:val="00DE1F6D"/>
    <w:rsid w:val="00DE3B24"/>
    <w:rsid w:val="00DE4BB3"/>
    <w:rsid w:val="00DE4CB0"/>
    <w:rsid w:val="00DE5471"/>
    <w:rsid w:val="00DE6E2C"/>
    <w:rsid w:val="00DE702C"/>
    <w:rsid w:val="00DF041C"/>
    <w:rsid w:val="00DF10AA"/>
    <w:rsid w:val="00DF159B"/>
    <w:rsid w:val="00DF16DE"/>
    <w:rsid w:val="00DF19CE"/>
    <w:rsid w:val="00DF263E"/>
    <w:rsid w:val="00DF26B8"/>
    <w:rsid w:val="00DF2925"/>
    <w:rsid w:val="00DF3088"/>
    <w:rsid w:val="00DF34FF"/>
    <w:rsid w:val="00DF4596"/>
    <w:rsid w:val="00DF539B"/>
    <w:rsid w:val="00DF65C2"/>
    <w:rsid w:val="00DF6DDA"/>
    <w:rsid w:val="00DF7471"/>
    <w:rsid w:val="00E00377"/>
    <w:rsid w:val="00E00D0D"/>
    <w:rsid w:val="00E00DDA"/>
    <w:rsid w:val="00E00F77"/>
    <w:rsid w:val="00E0108D"/>
    <w:rsid w:val="00E024F4"/>
    <w:rsid w:val="00E02841"/>
    <w:rsid w:val="00E02FE4"/>
    <w:rsid w:val="00E049BD"/>
    <w:rsid w:val="00E05BF6"/>
    <w:rsid w:val="00E060ED"/>
    <w:rsid w:val="00E071BE"/>
    <w:rsid w:val="00E10463"/>
    <w:rsid w:val="00E11361"/>
    <w:rsid w:val="00E11BBE"/>
    <w:rsid w:val="00E11F3D"/>
    <w:rsid w:val="00E12DD2"/>
    <w:rsid w:val="00E12EB9"/>
    <w:rsid w:val="00E148D8"/>
    <w:rsid w:val="00E1636F"/>
    <w:rsid w:val="00E177AC"/>
    <w:rsid w:val="00E20770"/>
    <w:rsid w:val="00E20864"/>
    <w:rsid w:val="00E20F8E"/>
    <w:rsid w:val="00E2267A"/>
    <w:rsid w:val="00E22A65"/>
    <w:rsid w:val="00E22A7C"/>
    <w:rsid w:val="00E22D8E"/>
    <w:rsid w:val="00E23A09"/>
    <w:rsid w:val="00E24349"/>
    <w:rsid w:val="00E24352"/>
    <w:rsid w:val="00E25402"/>
    <w:rsid w:val="00E2728D"/>
    <w:rsid w:val="00E30F6A"/>
    <w:rsid w:val="00E31430"/>
    <w:rsid w:val="00E3473A"/>
    <w:rsid w:val="00E34A17"/>
    <w:rsid w:val="00E34CFD"/>
    <w:rsid w:val="00E35192"/>
    <w:rsid w:val="00E35533"/>
    <w:rsid w:val="00E37E06"/>
    <w:rsid w:val="00E405FF"/>
    <w:rsid w:val="00E40649"/>
    <w:rsid w:val="00E407A7"/>
    <w:rsid w:val="00E409B8"/>
    <w:rsid w:val="00E415BF"/>
    <w:rsid w:val="00E4191E"/>
    <w:rsid w:val="00E419F3"/>
    <w:rsid w:val="00E42C9D"/>
    <w:rsid w:val="00E433BB"/>
    <w:rsid w:val="00E43F42"/>
    <w:rsid w:val="00E447B8"/>
    <w:rsid w:val="00E44C03"/>
    <w:rsid w:val="00E44C99"/>
    <w:rsid w:val="00E466B6"/>
    <w:rsid w:val="00E46725"/>
    <w:rsid w:val="00E46F11"/>
    <w:rsid w:val="00E475EA"/>
    <w:rsid w:val="00E501FA"/>
    <w:rsid w:val="00E5022E"/>
    <w:rsid w:val="00E5023C"/>
    <w:rsid w:val="00E51848"/>
    <w:rsid w:val="00E51BE0"/>
    <w:rsid w:val="00E5304D"/>
    <w:rsid w:val="00E5613F"/>
    <w:rsid w:val="00E56CE8"/>
    <w:rsid w:val="00E57E43"/>
    <w:rsid w:val="00E60D86"/>
    <w:rsid w:val="00E61F33"/>
    <w:rsid w:val="00E62E8B"/>
    <w:rsid w:val="00E63446"/>
    <w:rsid w:val="00E639E0"/>
    <w:rsid w:val="00E65056"/>
    <w:rsid w:val="00E650C3"/>
    <w:rsid w:val="00E65BC8"/>
    <w:rsid w:val="00E65BD6"/>
    <w:rsid w:val="00E66436"/>
    <w:rsid w:val="00E700BD"/>
    <w:rsid w:val="00E70FE2"/>
    <w:rsid w:val="00E71738"/>
    <w:rsid w:val="00E71F07"/>
    <w:rsid w:val="00E71F24"/>
    <w:rsid w:val="00E721B9"/>
    <w:rsid w:val="00E728CF"/>
    <w:rsid w:val="00E7572C"/>
    <w:rsid w:val="00E76B25"/>
    <w:rsid w:val="00E77443"/>
    <w:rsid w:val="00E779A6"/>
    <w:rsid w:val="00E80839"/>
    <w:rsid w:val="00E81230"/>
    <w:rsid w:val="00E81332"/>
    <w:rsid w:val="00E8194A"/>
    <w:rsid w:val="00E82273"/>
    <w:rsid w:val="00E83C74"/>
    <w:rsid w:val="00E8421B"/>
    <w:rsid w:val="00E84AA5"/>
    <w:rsid w:val="00E8597A"/>
    <w:rsid w:val="00E85BC8"/>
    <w:rsid w:val="00E86A9F"/>
    <w:rsid w:val="00E86E6C"/>
    <w:rsid w:val="00E877E8"/>
    <w:rsid w:val="00E879F7"/>
    <w:rsid w:val="00E90196"/>
    <w:rsid w:val="00E90A24"/>
    <w:rsid w:val="00E9128B"/>
    <w:rsid w:val="00E91A60"/>
    <w:rsid w:val="00E92278"/>
    <w:rsid w:val="00E922D3"/>
    <w:rsid w:val="00E923C2"/>
    <w:rsid w:val="00E9256F"/>
    <w:rsid w:val="00E92917"/>
    <w:rsid w:val="00E94BEF"/>
    <w:rsid w:val="00E952A8"/>
    <w:rsid w:val="00E955C1"/>
    <w:rsid w:val="00E96AEF"/>
    <w:rsid w:val="00E96C1C"/>
    <w:rsid w:val="00E96F75"/>
    <w:rsid w:val="00E975BA"/>
    <w:rsid w:val="00E97C16"/>
    <w:rsid w:val="00E97C77"/>
    <w:rsid w:val="00E97F2C"/>
    <w:rsid w:val="00EA16FF"/>
    <w:rsid w:val="00EA2250"/>
    <w:rsid w:val="00EA2926"/>
    <w:rsid w:val="00EA3871"/>
    <w:rsid w:val="00EA4506"/>
    <w:rsid w:val="00EA639F"/>
    <w:rsid w:val="00EA6898"/>
    <w:rsid w:val="00EB038D"/>
    <w:rsid w:val="00EB088A"/>
    <w:rsid w:val="00EB10BF"/>
    <w:rsid w:val="00EB1316"/>
    <w:rsid w:val="00EB1669"/>
    <w:rsid w:val="00EB1F18"/>
    <w:rsid w:val="00EB1FF2"/>
    <w:rsid w:val="00EB232D"/>
    <w:rsid w:val="00EB25DF"/>
    <w:rsid w:val="00EB27A3"/>
    <w:rsid w:val="00EB2E0F"/>
    <w:rsid w:val="00EB3834"/>
    <w:rsid w:val="00EB3B35"/>
    <w:rsid w:val="00EB4A6C"/>
    <w:rsid w:val="00EB6299"/>
    <w:rsid w:val="00EB6E07"/>
    <w:rsid w:val="00EB7175"/>
    <w:rsid w:val="00EB797B"/>
    <w:rsid w:val="00EC10D4"/>
    <w:rsid w:val="00EC14BC"/>
    <w:rsid w:val="00EC169A"/>
    <w:rsid w:val="00EC2213"/>
    <w:rsid w:val="00EC2EB4"/>
    <w:rsid w:val="00EC374E"/>
    <w:rsid w:val="00EC3A56"/>
    <w:rsid w:val="00EC4312"/>
    <w:rsid w:val="00EC48FC"/>
    <w:rsid w:val="00EC4C3C"/>
    <w:rsid w:val="00ED1496"/>
    <w:rsid w:val="00ED1A49"/>
    <w:rsid w:val="00ED1D85"/>
    <w:rsid w:val="00ED1DD7"/>
    <w:rsid w:val="00ED3C2C"/>
    <w:rsid w:val="00ED529E"/>
    <w:rsid w:val="00ED549A"/>
    <w:rsid w:val="00ED634C"/>
    <w:rsid w:val="00ED64EE"/>
    <w:rsid w:val="00ED6B07"/>
    <w:rsid w:val="00ED6CBD"/>
    <w:rsid w:val="00EE0B4B"/>
    <w:rsid w:val="00EE141F"/>
    <w:rsid w:val="00EE1F96"/>
    <w:rsid w:val="00EE1FD6"/>
    <w:rsid w:val="00EE21E4"/>
    <w:rsid w:val="00EE329B"/>
    <w:rsid w:val="00EE3DE9"/>
    <w:rsid w:val="00EE4506"/>
    <w:rsid w:val="00EE5040"/>
    <w:rsid w:val="00EE5FEA"/>
    <w:rsid w:val="00EE7C5E"/>
    <w:rsid w:val="00EE7DEB"/>
    <w:rsid w:val="00EF094D"/>
    <w:rsid w:val="00EF15FE"/>
    <w:rsid w:val="00EF16B7"/>
    <w:rsid w:val="00EF183B"/>
    <w:rsid w:val="00EF18C2"/>
    <w:rsid w:val="00EF2970"/>
    <w:rsid w:val="00EF3648"/>
    <w:rsid w:val="00EF4E77"/>
    <w:rsid w:val="00EF59DB"/>
    <w:rsid w:val="00EF6408"/>
    <w:rsid w:val="00F00F0B"/>
    <w:rsid w:val="00F01A27"/>
    <w:rsid w:val="00F02025"/>
    <w:rsid w:val="00F021F0"/>
    <w:rsid w:val="00F03066"/>
    <w:rsid w:val="00F03200"/>
    <w:rsid w:val="00F03D3A"/>
    <w:rsid w:val="00F04AA3"/>
    <w:rsid w:val="00F064B5"/>
    <w:rsid w:val="00F068FC"/>
    <w:rsid w:val="00F06F14"/>
    <w:rsid w:val="00F073F1"/>
    <w:rsid w:val="00F1013C"/>
    <w:rsid w:val="00F104DF"/>
    <w:rsid w:val="00F119A3"/>
    <w:rsid w:val="00F12F99"/>
    <w:rsid w:val="00F135A7"/>
    <w:rsid w:val="00F13D97"/>
    <w:rsid w:val="00F14371"/>
    <w:rsid w:val="00F1558F"/>
    <w:rsid w:val="00F15597"/>
    <w:rsid w:val="00F15880"/>
    <w:rsid w:val="00F15B2A"/>
    <w:rsid w:val="00F165A6"/>
    <w:rsid w:val="00F16C3C"/>
    <w:rsid w:val="00F179C1"/>
    <w:rsid w:val="00F17BF6"/>
    <w:rsid w:val="00F20497"/>
    <w:rsid w:val="00F20EC8"/>
    <w:rsid w:val="00F21223"/>
    <w:rsid w:val="00F230A7"/>
    <w:rsid w:val="00F240D9"/>
    <w:rsid w:val="00F24E3C"/>
    <w:rsid w:val="00F2574B"/>
    <w:rsid w:val="00F257E1"/>
    <w:rsid w:val="00F259E6"/>
    <w:rsid w:val="00F25B3D"/>
    <w:rsid w:val="00F25C89"/>
    <w:rsid w:val="00F300B2"/>
    <w:rsid w:val="00F30498"/>
    <w:rsid w:val="00F3153E"/>
    <w:rsid w:val="00F32557"/>
    <w:rsid w:val="00F33712"/>
    <w:rsid w:val="00F340F7"/>
    <w:rsid w:val="00F346BD"/>
    <w:rsid w:val="00F355D0"/>
    <w:rsid w:val="00F35930"/>
    <w:rsid w:val="00F35945"/>
    <w:rsid w:val="00F363DE"/>
    <w:rsid w:val="00F3674C"/>
    <w:rsid w:val="00F36D0C"/>
    <w:rsid w:val="00F3740A"/>
    <w:rsid w:val="00F405E7"/>
    <w:rsid w:val="00F40E80"/>
    <w:rsid w:val="00F40EBD"/>
    <w:rsid w:val="00F41041"/>
    <w:rsid w:val="00F415AC"/>
    <w:rsid w:val="00F421D6"/>
    <w:rsid w:val="00F42CC5"/>
    <w:rsid w:val="00F43510"/>
    <w:rsid w:val="00F43885"/>
    <w:rsid w:val="00F43B03"/>
    <w:rsid w:val="00F43B95"/>
    <w:rsid w:val="00F4497E"/>
    <w:rsid w:val="00F44AE4"/>
    <w:rsid w:val="00F44C6A"/>
    <w:rsid w:val="00F45A9F"/>
    <w:rsid w:val="00F47C57"/>
    <w:rsid w:val="00F509EC"/>
    <w:rsid w:val="00F51946"/>
    <w:rsid w:val="00F5284B"/>
    <w:rsid w:val="00F532B9"/>
    <w:rsid w:val="00F5564B"/>
    <w:rsid w:val="00F5637C"/>
    <w:rsid w:val="00F56885"/>
    <w:rsid w:val="00F57396"/>
    <w:rsid w:val="00F57ECD"/>
    <w:rsid w:val="00F60297"/>
    <w:rsid w:val="00F604B6"/>
    <w:rsid w:val="00F60F02"/>
    <w:rsid w:val="00F63220"/>
    <w:rsid w:val="00F63620"/>
    <w:rsid w:val="00F63703"/>
    <w:rsid w:val="00F640BA"/>
    <w:rsid w:val="00F6477C"/>
    <w:rsid w:val="00F65226"/>
    <w:rsid w:val="00F65935"/>
    <w:rsid w:val="00F669BA"/>
    <w:rsid w:val="00F66FDE"/>
    <w:rsid w:val="00F67854"/>
    <w:rsid w:val="00F70F72"/>
    <w:rsid w:val="00F720B3"/>
    <w:rsid w:val="00F7211F"/>
    <w:rsid w:val="00F727DF"/>
    <w:rsid w:val="00F72AF5"/>
    <w:rsid w:val="00F739A0"/>
    <w:rsid w:val="00F74180"/>
    <w:rsid w:val="00F74322"/>
    <w:rsid w:val="00F74714"/>
    <w:rsid w:val="00F76660"/>
    <w:rsid w:val="00F766F5"/>
    <w:rsid w:val="00F77E3A"/>
    <w:rsid w:val="00F8065D"/>
    <w:rsid w:val="00F8109D"/>
    <w:rsid w:val="00F81316"/>
    <w:rsid w:val="00F8134F"/>
    <w:rsid w:val="00F81ABF"/>
    <w:rsid w:val="00F82E42"/>
    <w:rsid w:val="00F83165"/>
    <w:rsid w:val="00F84F36"/>
    <w:rsid w:val="00F84FD0"/>
    <w:rsid w:val="00F852D5"/>
    <w:rsid w:val="00F86863"/>
    <w:rsid w:val="00F90067"/>
    <w:rsid w:val="00F90BF4"/>
    <w:rsid w:val="00F91CEC"/>
    <w:rsid w:val="00F91EA0"/>
    <w:rsid w:val="00F926FA"/>
    <w:rsid w:val="00F94EB9"/>
    <w:rsid w:val="00F961A0"/>
    <w:rsid w:val="00F966B3"/>
    <w:rsid w:val="00F97482"/>
    <w:rsid w:val="00F97C59"/>
    <w:rsid w:val="00FA05F3"/>
    <w:rsid w:val="00FA0941"/>
    <w:rsid w:val="00FA180D"/>
    <w:rsid w:val="00FA26CE"/>
    <w:rsid w:val="00FA42C8"/>
    <w:rsid w:val="00FA4E22"/>
    <w:rsid w:val="00FA57B8"/>
    <w:rsid w:val="00FA629F"/>
    <w:rsid w:val="00FA6604"/>
    <w:rsid w:val="00FA6A56"/>
    <w:rsid w:val="00FA6C8C"/>
    <w:rsid w:val="00FA7C59"/>
    <w:rsid w:val="00FB0506"/>
    <w:rsid w:val="00FB0EEE"/>
    <w:rsid w:val="00FB20C5"/>
    <w:rsid w:val="00FB33D6"/>
    <w:rsid w:val="00FB3D2B"/>
    <w:rsid w:val="00FB40E6"/>
    <w:rsid w:val="00FB4254"/>
    <w:rsid w:val="00FB4CBF"/>
    <w:rsid w:val="00FB6240"/>
    <w:rsid w:val="00FB727B"/>
    <w:rsid w:val="00FC0AD2"/>
    <w:rsid w:val="00FC113B"/>
    <w:rsid w:val="00FC1532"/>
    <w:rsid w:val="00FC2485"/>
    <w:rsid w:val="00FC3C1E"/>
    <w:rsid w:val="00FC5761"/>
    <w:rsid w:val="00FC57F1"/>
    <w:rsid w:val="00FC5D21"/>
    <w:rsid w:val="00FC5DA1"/>
    <w:rsid w:val="00FD0039"/>
    <w:rsid w:val="00FD0076"/>
    <w:rsid w:val="00FD109B"/>
    <w:rsid w:val="00FD181E"/>
    <w:rsid w:val="00FD21E7"/>
    <w:rsid w:val="00FD2360"/>
    <w:rsid w:val="00FD2C9F"/>
    <w:rsid w:val="00FD509B"/>
    <w:rsid w:val="00FD5716"/>
    <w:rsid w:val="00FD75E1"/>
    <w:rsid w:val="00FD7F69"/>
    <w:rsid w:val="00FE0FFA"/>
    <w:rsid w:val="00FE1A53"/>
    <w:rsid w:val="00FE2151"/>
    <w:rsid w:val="00FE2C65"/>
    <w:rsid w:val="00FE2C67"/>
    <w:rsid w:val="00FE34A3"/>
    <w:rsid w:val="00FE3647"/>
    <w:rsid w:val="00FE38BD"/>
    <w:rsid w:val="00FE391A"/>
    <w:rsid w:val="00FE58EC"/>
    <w:rsid w:val="00FE6105"/>
    <w:rsid w:val="00FE638D"/>
    <w:rsid w:val="00FE6BAE"/>
    <w:rsid w:val="00FE6F0D"/>
    <w:rsid w:val="00FE75AB"/>
    <w:rsid w:val="00FE7D08"/>
    <w:rsid w:val="00FF10E0"/>
    <w:rsid w:val="00FF3094"/>
    <w:rsid w:val="00FF4017"/>
    <w:rsid w:val="00FF474D"/>
    <w:rsid w:val="00FF47A3"/>
    <w:rsid w:val="00FF47A7"/>
    <w:rsid w:val="00FF4BB0"/>
    <w:rsid w:val="00FF559F"/>
    <w:rsid w:val="00FF6B84"/>
    <w:rsid w:val="00FF6BA7"/>
    <w:rsid w:val="00FF6DD9"/>
    <w:rsid w:val="00FF7B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0D0BA"/>
  <w15:docId w15:val="{FA497951-2939-474B-97A4-F19E1F4B9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Perpetua" w:hAnsi="Perpetu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9"/>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B2B"/>
    <w:pPr>
      <w:spacing w:after="160" w:line="276" w:lineRule="auto"/>
    </w:pPr>
    <w:rPr>
      <w:color w:val="000000"/>
      <w:sz w:val="22"/>
    </w:rPr>
  </w:style>
  <w:style w:type="paragraph" w:styleId="Heading1">
    <w:name w:val="heading 1"/>
    <w:basedOn w:val="Normal"/>
    <w:next w:val="Normal"/>
    <w:link w:val="Heading1Char"/>
    <w:qFormat/>
    <w:rsid w:val="00F84F36"/>
    <w:pPr>
      <w:spacing w:before="300" w:after="40" w:line="240" w:lineRule="auto"/>
      <w:outlineLvl w:val="0"/>
    </w:pPr>
    <w:rPr>
      <w:rFonts w:ascii="Franklin Gothic Book" w:hAnsi="Franklin Gothic Book"/>
      <w:b/>
      <w:color w:val="535356"/>
      <w:spacing w:val="20"/>
      <w:sz w:val="28"/>
      <w:szCs w:val="32"/>
    </w:rPr>
  </w:style>
  <w:style w:type="paragraph" w:styleId="Heading2">
    <w:name w:val="heading 2"/>
    <w:basedOn w:val="Normal"/>
    <w:next w:val="Normal"/>
    <w:link w:val="Heading2Char"/>
    <w:uiPriority w:val="9"/>
    <w:qFormat/>
    <w:rsid w:val="00F84F36"/>
    <w:pPr>
      <w:spacing w:before="240" w:after="40" w:line="240" w:lineRule="auto"/>
      <w:outlineLvl w:val="1"/>
    </w:pPr>
    <w:rPr>
      <w:rFonts w:ascii="Franklin Gothic Book" w:hAnsi="Franklin Gothic Book"/>
      <w:b/>
      <w:color w:val="535356"/>
      <w:spacing w:val="20"/>
      <w:sz w:val="24"/>
      <w:szCs w:val="28"/>
    </w:rPr>
  </w:style>
  <w:style w:type="paragraph" w:styleId="Heading3">
    <w:name w:val="heading 3"/>
    <w:basedOn w:val="Normal"/>
    <w:next w:val="Normal"/>
    <w:link w:val="Heading3Char"/>
    <w:uiPriority w:val="9"/>
    <w:qFormat/>
    <w:rsid w:val="00F84F36"/>
    <w:pPr>
      <w:spacing w:before="200" w:after="40" w:line="240" w:lineRule="auto"/>
      <w:outlineLvl w:val="2"/>
    </w:pPr>
    <w:rPr>
      <w:rFonts w:ascii="Franklin Gothic Book" w:hAnsi="Franklin Gothic Book"/>
      <w:b/>
      <w:color w:val="6F6F74"/>
      <w:spacing w:val="20"/>
      <w:sz w:val="24"/>
      <w:szCs w:val="24"/>
    </w:rPr>
  </w:style>
  <w:style w:type="paragraph" w:styleId="Heading4">
    <w:name w:val="heading 4"/>
    <w:basedOn w:val="Normal"/>
    <w:next w:val="Normal"/>
    <w:link w:val="Heading4Char"/>
    <w:uiPriority w:val="9"/>
    <w:qFormat/>
    <w:rsid w:val="00F84F36"/>
    <w:pPr>
      <w:spacing w:before="240" w:after="0"/>
      <w:outlineLvl w:val="3"/>
    </w:pPr>
    <w:rPr>
      <w:rFonts w:ascii="Franklin Gothic Book" w:hAnsi="Franklin Gothic Book"/>
      <w:b/>
      <w:color w:val="9C8463"/>
      <w:spacing w:val="20"/>
      <w:sz w:val="24"/>
    </w:rPr>
  </w:style>
  <w:style w:type="paragraph" w:styleId="Heading5">
    <w:name w:val="heading 5"/>
    <w:basedOn w:val="Normal"/>
    <w:next w:val="Normal"/>
    <w:link w:val="Heading5Char"/>
    <w:uiPriority w:val="9"/>
    <w:qFormat/>
    <w:rsid w:val="00F84F36"/>
    <w:pPr>
      <w:spacing w:before="200" w:after="0"/>
      <w:outlineLvl w:val="4"/>
    </w:pPr>
    <w:rPr>
      <w:rFonts w:ascii="Franklin Gothic Book" w:hAnsi="Franklin Gothic Book"/>
      <w:b/>
      <w:i/>
      <w:color w:val="9C8463"/>
      <w:spacing w:val="20"/>
      <w:sz w:val="20"/>
      <w:szCs w:val="26"/>
    </w:rPr>
  </w:style>
  <w:style w:type="paragraph" w:styleId="Heading6">
    <w:name w:val="heading 6"/>
    <w:basedOn w:val="Normal"/>
    <w:next w:val="Normal"/>
    <w:link w:val="Heading6Char"/>
    <w:uiPriority w:val="9"/>
    <w:qFormat/>
    <w:rsid w:val="00F84F36"/>
    <w:pPr>
      <w:spacing w:before="200" w:after="0"/>
      <w:outlineLvl w:val="5"/>
    </w:pPr>
    <w:rPr>
      <w:rFonts w:ascii="Franklin Gothic Book" w:hAnsi="Franklin Gothic Book"/>
      <w:color w:val="695842"/>
      <w:spacing w:val="10"/>
      <w:sz w:val="24"/>
    </w:rPr>
  </w:style>
  <w:style w:type="paragraph" w:styleId="Heading7">
    <w:name w:val="heading 7"/>
    <w:basedOn w:val="Normal"/>
    <w:next w:val="Normal"/>
    <w:link w:val="Heading7Char"/>
    <w:uiPriority w:val="9"/>
    <w:qFormat/>
    <w:rsid w:val="00F84F36"/>
    <w:pPr>
      <w:spacing w:before="200" w:after="0"/>
      <w:outlineLvl w:val="6"/>
    </w:pPr>
    <w:rPr>
      <w:rFonts w:ascii="Franklin Gothic Book" w:hAnsi="Franklin Gothic Book"/>
      <w:i/>
      <w:color w:val="695842"/>
      <w:spacing w:val="10"/>
      <w:sz w:val="24"/>
    </w:rPr>
  </w:style>
  <w:style w:type="paragraph" w:styleId="Heading8">
    <w:name w:val="heading 8"/>
    <w:basedOn w:val="Normal"/>
    <w:next w:val="Normal"/>
    <w:link w:val="Heading8Char"/>
    <w:uiPriority w:val="9"/>
    <w:qFormat/>
    <w:rsid w:val="00F84F36"/>
    <w:pPr>
      <w:spacing w:before="200" w:after="0"/>
      <w:outlineLvl w:val="7"/>
    </w:pPr>
    <w:rPr>
      <w:rFonts w:ascii="Franklin Gothic Book" w:hAnsi="Franklin Gothic Book"/>
      <w:color w:val="6F6F74"/>
      <w:spacing w:val="10"/>
      <w:sz w:val="20"/>
    </w:rPr>
  </w:style>
  <w:style w:type="paragraph" w:styleId="Heading9">
    <w:name w:val="heading 9"/>
    <w:basedOn w:val="Normal"/>
    <w:next w:val="Normal"/>
    <w:link w:val="Heading9Char"/>
    <w:uiPriority w:val="9"/>
    <w:qFormat/>
    <w:rsid w:val="00F84F36"/>
    <w:pPr>
      <w:spacing w:before="200" w:after="0"/>
      <w:outlineLvl w:val="8"/>
    </w:pPr>
    <w:rPr>
      <w:rFonts w:ascii="Franklin Gothic Book" w:hAnsi="Franklin Gothic Book"/>
      <w:i/>
      <w:color w:val="6F6F74"/>
      <w:spacing w:val="1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84F36"/>
    <w:rPr>
      <w:rFonts w:ascii="Franklin Gothic Book" w:hAnsi="Franklin Gothic Book" w:cs="Times New Roman"/>
      <w:b/>
      <w:color w:val="535356"/>
      <w:spacing w:val="20"/>
      <w:sz w:val="28"/>
      <w:szCs w:val="32"/>
    </w:rPr>
  </w:style>
  <w:style w:type="character" w:customStyle="1" w:styleId="Heading2Char">
    <w:name w:val="Heading 2 Char"/>
    <w:link w:val="Heading2"/>
    <w:uiPriority w:val="9"/>
    <w:rsid w:val="00F84F36"/>
    <w:rPr>
      <w:rFonts w:ascii="Franklin Gothic Book" w:hAnsi="Franklin Gothic Book" w:cs="Times New Roman"/>
      <w:b/>
      <w:color w:val="535356"/>
      <w:spacing w:val="20"/>
      <w:sz w:val="24"/>
      <w:szCs w:val="28"/>
    </w:rPr>
  </w:style>
  <w:style w:type="character" w:customStyle="1" w:styleId="Heading3Char">
    <w:name w:val="Heading 3 Char"/>
    <w:link w:val="Heading3"/>
    <w:uiPriority w:val="9"/>
    <w:rsid w:val="00F84F36"/>
    <w:rPr>
      <w:rFonts w:ascii="Franklin Gothic Book" w:hAnsi="Franklin Gothic Book" w:cs="Times New Roman"/>
      <w:b/>
      <w:color w:val="6F6F74"/>
      <w:spacing w:val="20"/>
      <w:sz w:val="24"/>
      <w:szCs w:val="24"/>
    </w:rPr>
  </w:style>
  <w:style w:type="paragraph" w:styleId="Title">
    <w:name w:val="Title"/>
    <w:basedOn w:val="Normal"/>
    <w:link w:val="TitleChar"/>
    <w:uiPriority w:val="10"/>
    <w:qFormat/>
    <w:rsid w:val="00F84F36"/>
    <w:pPr>
      <w:pBdr>
        <w:bottom w:val="single" w:sz="8" w:space="4" w:color="6F6F74"/>
      </w:pBdr>
      <w:spacing w:line="240" w:lineRule="auto"/>
      <w:contextualSpacing/>
      <w:jc w:val="center"/>
    </w:pPr>
    <w:rPr>
      <w:rFonts w:ascii="Franklin Gothic Book" w:hAnsi="Franklin Gothic Book"/>
      <w:b/>
      <w:smallCaps/>
      <w:color w:val="6F6F74"/>
      <w:sz w:val="48"/>
      <w:szCs w:val="48"/>
    </w:rPr>
  </w:style>
  <w:style w:type="character" w:customStyle="1" w:styleId="TitleChar">
    <w:name w:val="Title Char"/>
    <w:link w:val="Title"/>
    <w:uiPriority w:val="10"/>
    <w:rsid w:val="00F84F36"/>
    <w:rPr>
      <w:rFonts w:ascii="Franklin Gothic Book" w:hAnsi="Franklin Gothic Book" w:cs="Times New Roman"/>
      <w:b/>
      <w:smallCaps/>
      <w:color w:val="6F6F74"/>
      <w:sz w:val="48"/>
      <w:szCs w:val="48"/>
    </w:rPr>
  </w:style>
  <w:style w:type="paragraph" w:styleId="Subtitle">
    <w:name w:val="Subtitle"/>
    <w:basedOn w:val="Normal"/>
    <w:link w:val="SubtitleChar"/>
    <w:uiPriority w:val="11"/>
    <w:qFormat/>
    <w:rsid w:val="00F84F36"/>
    <w:pPr>
      <w:spacing w:after="480" w:line="240" w:lineRule="auto"/>
      <w:jc w:val="center"/>
    </w:pPr>
    <w:rPr>
      <w:rFonts w:ascii="Franklin Gothic Book" w:hAnsi="Franklin Gothic Book"/>
      <w:color w:val="auto"/>
      <w:sz w:val="28"/>
      <w:szCs w:val="24"/>
    </w:rPr>
  </w:style>
  <w:style w:type="character" w:customStyle="1" w:styleId="SubtitleChar">
    <w:name w:val="Subtitle Char"/>
    <w:link w:val="Subtitle"/>
    <w:uiPriority w:val="11"/>
    <w:rsid w:val="00F84F36"/>
    <w:rPr>
      <w:rFonts w:ascii="Franklin Gothic Book" w:hAnsi="Franklin Gothic Book" w:cs="Perpetua"/>
      <w:sz w:val="28"/>
      <w:szCs w:val="24"/>
    </w:rPr>
  </w:style>
  <w:style w:type="paragraph" w:styleId="Footer">
    <w:name w:val="footer"/>
    <w:basedOn w:val="Normal"/>
    <w:link w:val="FooterChar"/>
    <w:uiPriority w:val="99"/>
    <w:unhideWhenUsed/>
    <w:rsid w:val="00F84F36"/>
    <w:pPr>
      <w:tabs>
        <w:tab w:val="center" w:pos="4320"/>
        <w:tab w:val="right" w:pos="8640"/>
      </w:tabs>
    </w:pPr>
    <w:rPr>
      <w:sz w:val="20"/>
    </w:rPr>
  </w:style>
  <w:style w:type="character" w:customStyle="1" w:styleId="FooterChar">
    <w:name w:val="Footer Char"/>
    <w:link w:val="Footer"/>
    <w:uiPriority w:val="99"/>
    <w:rsid w:val="00F84F36"/>
    <w:rPr>
      <w:rFonts w:cs="Times New Roman"/>
      <w:color w:val="000000"/>
      <w:szCs w:val="20"/>
    </w:rPr>
  </w:style>
  <w:style w:type="paragraph" w:styleId="Caption">
    <w:name w:val="caption"/>
    <w:basedOn w:val="Normal"/>
    <w:next w:val="Normal"/>
    <w:uiPriority w:val="35"/>
    <w:qFormat/>
    <w:rsid w:val="00F84F36"/>
    <w:pPr>
      <w:spacing w:after="0" w:line="240" w:lineRule="auto"/>
    </w:pPr>
    <w:rPr>
      <w:bCs/>
      <w:smallCaps/>
      <w:color w:val="80945B"/>
      <w:spacing w:val="10"/>
      <w:sz w:val="18"/>
      <w:szCs w:val="18"/>
    </w:rPr>
  </w:style>
  <w:style w:type="paragraph" w:styleId="BalloonText">
    <w:name w:val="Balloon Text"/>
    <w:basedOn w:val="Normal"/>
    <w:link w:val="BalloonTextChar"/>
    <w:uiPriority w:val="99"/>
    <w:semiHidden/>
    <w:unhideWhenUsed/>
    <w:rsid w:val="00F84F36"/>
    <w:rPr>
      <w:rFonts w:ascii="Tahoma" w:hAnsi="Tahoma"/>
      <w:sz w:val="16"/>
      <w:szCs w:val="16"/>
    </w:rPr>
  </w:style>
  <w:style w:type="character" w:customStyle="1" w:styleId="BalloonTextChar">
    <w:name w:val="Balloon Text Char"/>
    <w:link w:val="BalloonText"/>
    <w:uiPriority w:val="99"/>
    <w:semiHidden/>
    <w:rsid w:val="00F84F36"/>
    <w:rPr>
      <w:rFonts w:ascii="Tahoma" w:hAnsi="Tahoma" w:cs="Tahoma"/>
      <w:color w:val="000000"/>
      <w:sz w:val="16"/>
      <w:szCs w:val="16"/>
    </w:rPr>
  </w:style>
  <w:style w:type="paragraph" w:styleId="BlockText">
    <w:name w:val="Block Text"/>
    <w:aliases w:val="Block Quote"/>
    <w:uiPriority w:val="40"/>
    <w:rsid w:val="00F84F36"/>
    <w:pPr>
      <w:pBdr>
        <w:top w:val="single" w:sz="2" w:space="10" w:color="A8A8AB"/>
        <w:bottom w:val="single" w:sz="24" w:space="10" w:color="A8A8AB"/>
      </w:pBdr>
      <w:spacing w:after="280"/>
      <w:ind w:left="1440" w:right="1440"/>
      <w:jc w:val="both"/>
    </w:pPr>
    <w:rPr>
      <w:rFonts w:eastAsia="Times New Roman"/>
      <w:color w:val="808080"/>
      <w:sz w:val="28"/>
      <w:szCs w:val="28"/>
      <w:lang w:eastAsia="ko-KR" w:bidi="hi-IN"/>
    </w:rPr>
  </w:style>
  <w:style w:type="character" w:customStyle="1" w:styleId="a">
    <w:uiPriority w:val="33"/>
    <w:qFormat/>
    <w:rsid w:val="00417F6F"/>
    <w:rPr>
      <w:rFonts w:ascii="Franklin Gothic Book" w:hAnsi="Franklin Gothic Book" w:cs="Times New Roman"/>
      <w:i/>
      <w:color w:val="8D6974"/>
      <w:sz w:val="20"/>
      <w:szCs w:val="20"/>
    </w:rPr>
  </w:style>
  <w:style w:type="character" w:styleId="Emphasis">
    <w:name w:val="Emphasis"/>
    <w:uiPriority w:val="20"/>
    <w:qFormat/>
    <w:rsid w:val="00F84F36"/>
    <w:rPr>
      <w:b/>
      <w:i/>
      <w:color w:val="404040"/>
      <w:spacing w:val="2"/>
      <w:w w:val="100"/>
    </w:rPr>
  </w:style>
  <w:style w:type="paragraph" w:styleId="Header">
    <w:name w:val="header"/>
    <w:basedOn w:val="Normal"/>
    <w:link w:val="HeaderChar"/>
    <w:uiPriority w:val="99"/>
    <w:unhideWhenUsed/>
    <w:rsid w:val="00F84F36"/>
    <w:pPr>
      <w:tabs>
        <w:tab w:val="center" w:pos="4320"/>
        <w:tab w:val="right" w:pos="8640"/>
      </w:tabs>
    </w:pPr>
    <w:rPr>
      <w:sz w:val="20"/>
    </w:rPr>
  </w:style>
  <w:style w:type="character" w:customStyle="1" w:styleId="HeaderChar">
    <w:name w:val="Header Char"/>
    <w:link w:val="Header"/>
    <w:uiPriority w:val="99"/>
    <w:rsid w:val="00F84F36"/>
    <w:rPr>
      <w:rFonts w:cs="Times New Roman"/>
      <w:color w:val="000000"/>
      <w:szCs w:val="20"/>
    </w:rPr>
  </w:style>
  <w:style w:type="character" w:customStyle="1" w:styleId="Heading4Char">
    <w:name w:val="Heading 4 Char"/>
    <w:link w:val="Heading4"/>
    <w:uiPriority w:val="9"/>
    <w:rsid w:val="00F84F36"/>
    <w:rPr>
      <w:rFonts w:ascii="Franklin Gothic Book" w:hAnsi="Franklin Gothic Book" w:cs="Times New Roman"/>
      <w:b/>
      <w:color w:val="9C8463"/>
      <w:spacing w:val="20"/>
      <w:sz w:val="24"/>
    </w:rPr>
  </w:style>
  <w:style w:type="character" w:customStyle="1" w:styleId="Heading5Char">
    <w:name w:val="Heading 5 Char"/>
    <w:link w:val="Heading5"/>
    <w:uiPriority w:val="9"/>
    <w:rsid w:val="00F84F36"/>
    <w:rPr>
      <w:rFonts w:ascii="Franklin Gothic Book" w:hAnsi="Franklin Gothic Book" w:cs="Times New Roman"/>
      <w:b/>
      <w:i/>
      <w:color w:val="9C8463"/>
      <w:spacing w:val="20"/>
      <w:szCs w:val="26"/>
    </w:rPr>
  </w:style>
  <w:style w:type="character" w:customStyle="1" w:styleId="Heading6Char">
    <w:name w:val="Heading 6 Char"/>
    <w:link w:val="Heading6"/>
    <w:uiPriority w:val="9"/>
    <w:rsid w:val="00F84F36"/>
    <w:rPr>
      <w:rFonts w:ascii="Franklin Gothic Book" w:hAnsi="Franklin Gothic Book" w:cs="Times New Roman"/>
      <w:color w:val="695842"/>
      <w:spacing w:val="10"/>
      <w:sz w:val="24"/>
      <w:szCs w:val="20"/>
    </w:rPr>
  </w:style>
  <w:style w:type="character" w:customStyle="1" w:styleId="Heading7Char">
    <w:name w:val="Heading 7 Char"/>
    <w:link w:val="Heading7"/>
    <w:uiPriority w:val="9"/>
    <w:rsid w:val="00F84F36"/>
    <w:rPr>
      <w:rFonts w:ascii="Franklin Gothic Book" w:hAnsi="Franklin Gothic Book" w:cs="Times New Roman"/>
      <w:i/>
      <w:color w:val="695842"/>
      <w:spacing w:val="10"/>
      <w:sz w:val="24"/>
      <w:szCs w:val="20"/>
    </w:rPr>
  </w:style>
  <w:style w:type="character" w:customStyle="1" w:styleId="Heading8Char">
    <w:name w:val="Heading 8 Char"/>
    <w:link w:val="Heading8"/>
    <w:uiPriority w:val="9"/>
    <w:rsid w:val="00F84F36"/>
    <w:rPr>
      <w:rFonts w:ascii="Franklin Gothic Book" w:hAnsi="Franklin Gothic Book" w:cs="Times New Roman"/>
      <w:color w:val="6F6F74"/>
      <w:spacing w:val="10"/>
      <w:szCs w:val="20"/>
    </w:rPr>
  </w:style>
  <w:style w:type="character" w:customStyle="1" w:styleId="Heading9Char">
    <w:name w:val="Heading 9 Char"/>
    <w:link w:val="Heading9"/>
    <w:uiPriority w:val="9"/>
    <w:rsid w:val="00F84F36"/>
    <w:rPr>
      <w:rFonts w:ascii="Franklin Gothic Book" w:hAnsi="Franklin Gothic Book" w:cs="Times New Roman"/>
      <w:i/>
      <w:color w:val="6F6F74"/>
      <w:spacing w:val="10"/>
      <w:szCs w:val="20"/>
    </w:rPr>
  </w:style>
  <w:style w:type="character" w:customStyle="1" w:styleId="a0">
    <w:uiPriority w:val="21"/>
    <w:qFormat/>
    <w:rsid w:val="00417F6F"/>
    <w:rPr>
      <w:rFonts w:ascii="Perpetua" w:hAnsi="Perpetua" w:cs="Times New Roman"/>
      <w:b/>
      <w:i/>
      <w:smallCaps/>
      <w:color w:val="A7B789"/>
      <w:spacing w:val="2"/>
      <w:w w:val="100"/>
      <w:sz w:val="20"/>
      <w:szCs w:val="20"/>
    </w:rPr>
  </w:style>
  <w:style w:type="paragraph" w:customStyle="1" w:styleId="LightShading-Accent21">
    <w:name w:val="Light Shading - Accent 21"/>
    <w:basedOn w:val="Normal"/>
    <w:link w:val="LightShading-Accent2Char"/>
    <w:uiPriority w:val="30"/>
    <w:qFormat/>
    <w:rsid w:val="00F84F36"/>
    <w:pPr>
      <w:pBdr>
        <w:top w:val="single" w:sz="36" w:space="10" w:color="A8A8AB"/>
        <w:left w:val="single" w:sz="24" w:space="10" w:color="6F6F74"/>
        <w:bottom w:val="single" w:sz="36" w:space="10" w:color="BEAE98"/>
        <w:right w:val="single" w:sz="24" w:space="10" w:color="6F6F74"/>
      </w:pBdr>
      <w:shd w:val="clear" w:color="auto" w:fill="6F6F74"/>
      <w:ind w:left="1440" w:right="1440"/>
      <w:jc w:val="center"/>
    </w:pPr>
    <w:rPr>
      <w:rFonts w:ascii="Franklin Gothic Book" w:hAnsi="Franklin Gothic Book"/>
      <w:i/>
      <w:color w:val="FFFFFF"/>
      <w:sz w:val="32"/>
    </w:rPr>
  </w:style>
  <w:style w:type="character" w:customStyle="1" w:styleId="a1">
    <w:uiPriority w:val="32"/>
    <w:qFormat/>
    <w:rsid w:val="00417F6F"/>
    <w:rPr>
      <w:rFonts w:cs="Times New Roman"/>
      <w:b/>
      <w:color w:val="6F6F74"/>
      <w:sz w:val="22"/>
      <w:szCs w:val="20"/>
      <w:u w:val="single"/>
    </w:rPr>
  </w:style>
  <w:style w:type="paragraph" w:styleId="ListBullet">
    <w:name w:val="List Bullet"/>
    <w:basedOn w:val="Normal"/>
    <w:uiPriority w:val="36"/>
    <w:unhideWhenUsed/>
    <w:qFormat/>
    <w:rsid w:val="00F84F36"/>
    <w:pPr>
      <w:numPr>
        <w:numId w:val="1"/>
      </w:numPr>
      <w:spacing w:after="0"/>
      <w:contextualSpacing/>
    </w:pPr>
  </w:style>
  <w:style w:type="paragraph" w:styleId="ListBullet2">
    <w:name w:val="List Bullet 2"/>
    <w:basedOn w:val="Normal"/>
    <w:uiPriority w:val="36"/>
    <w:unhideWhenUsed/>
    <w:qFormat/>
    <w:rsid w:val="00F84F36"/>
    <w:pPr>
      <w:numPr>
        <w:numId w:val="2"/>
      </w:numPr>
      <w:spacing w:after="0"/>
    </w:pPr>
  </w:style>
  <w:style w:type="paragraph" w:styleId="ListBullet3">
    <w:name w:val="List Bullet 3"/>
    <w:basedOn w:val="Normal"/>
    <w:uiPriority w:val="36"/>
    <w:unhideWhenUsed/>
    <w:qFormat/>
    <w:rsid w:val="00F84F36"/>
    <w:pPr>
      <w:numPr>
        <w:numId w:val="3"/>
      </w:numPr>
      <w:spacing w:after="0"/>
    </w:pPr>
  </w:style>
  <w:style w:type="paragraph" w:styleId="ListBullet4">
    <w:name w:val="List Bullet 4"/>
    <w:basedOn w:val="Normal"/>
    <w:uiPriority w:val="36"/>
    <w:unhideWhenUsed/>
    <w:qFormat/>
    <w:rsid w:val="00F84F36"/>
    <w:pPr>
      <w:numPr>
        <w:numId w:val="4"/>
      </w:numPr>
      <w:spacing w:after="0"/>
    </w:pPr>
  </w:style>
  <w:style w:type="paragraph" w:styleId="ListBullet5">
    <w:name w:val="List Bullet 5"/>
    <w:basedOn w:val="Normal"/>
    <w:uiPriority w:val="36"/>
    <w:unhideWhenUsed/>
    <w:qFormat/>
    <w:rsid w:val="00F84F36"/>
    <w:pPr>
      <w:numPr>
        <w:numId w:val="5"/>
      </w:numPr>
      <w:spacing w:after="0"/>
    </w:pPr>
  </w:style>
  <w:style w:type="paragraph" w:customStyle="1" w:styleId="MediumGrid21">
    <w:name w:val="Medium Grid 21"/>
    <w:basedOn w:val="Normal"/>
    <w:uiPriority w:val="1"/>
    <w:qFormat/>
    <w:rsid w:val="00F84F36"/>
    <w:pPr>
      <w:spacing w:after="0" w:line="240" w:lineRule="auto"/>
    </w:pPr>
  </w:style>
  <w:style w:type="character" w:customStyle="1" w:styleId="MediumGrid11">
    <w:name w:val="Medium Grid 11"/>
    <w:uiPriority w:val="99"/>
    <w:semiHidden/>
    <w:rsid w:val="00F84F36"/>
    <w:rPr>
      <w:color w:val="808080"/>
    </w:rPr>
  </w:style>
  <w:style w:type="paragraph" w:customStyle="1" w:styleId="ColorfulGrid-Accent11">
    <w:name w:val="Colorful Grid - Accent 11"/>
    <w:basedOn w:val="Normal"/>
    <w:link w:val="ColorfulGrid-Accent1Char"/>
    <w:uiPriority w:val="29"/>
    <w:qFormat/>
    <w:rsid w:val="00F84F36"/>
    <w:rPr>
      <w:i/>
      <w:color w:val="808080"/>
      <w:sz w:val="24"/>
    </w:rPr>
  </w:style>
  <w:style w:type="character" w:customStyle="1" w:styleId="ColorfulGrid-Accent1Char">
    <w:name w:val="Colorful Grid - Accent 1 Char"/>
    <w:link w:val="ColorfulGrid-Accent11"/>
    <w:uiPriority w:val="29"/>
    <w:rsid w:val="00F84F36"/>
    <w:rPr>
      <w:rFonts w:cs="Times New Roman"/>
      <w:i/>
      <w:color w:val="808080"/>
      <w:sz w:val="24"/>
      <w:szCs w:val="20"/>
    </w:rPr>
  </w:style>
  <w:style w:type="character" w:styleId="Strong">
    <w:name w:val="Strong"/>
    <w:uiPriority w:val="22"/>
    <w:qFormat/>
    <w:rsid w:val="00F84F36"/>
    <w:rPr>
      <w:rFonts w:ascii="Perpetua" w:hAnsi="Perpetua"/>
      <w:b/>
      <w:color w:val="A7B789"/>
    </w:rPr>
  </w:style>
  <w:style w:type="character" w:customStyle="1" w:styleId="a2">
    <w:uiPriority w:val="19"/>
    <w:qFormat/>
    <w:rsid w:val="00417F6F"/>
    <w:rPr>
      <w:rFonts w:ascii="Perpetua" w:hAnsi="Perpetua" w:cs="Times New Roman"/>
      <w:i/>
      <w:color w:val="737373"/>
      <w:spacing w:val="2"/>
      <w:w w:val="100"/>
      <w:kern w:val="0"/>
      <w:sz w:val="22"/>
      <w:szCs w:val="24"/>
    </w:rPr>
  </w:style>
  <w:style w:type="character" w:customStyle="1" w:styleId="a3">
    <w:uiPriority w:val="31"/>
    <w:qFormat/>
    <w:rsid w:val="00417F6F"/>
    <w:rPr>
      <w:rFonts w:cs="Times New Roman"/>
      <w:color w:val="737373"/>
      <w:sz w:val="22"/>
      <w:szCs w:val="20"/>
      <w:u w:val="single"/>
    </w:rPr>
  </w:style>
  <w:style w:type="table" w:styleId="TableGrid">
    <w:name w:val="Table Grid"/>
    <w:basedOn w:val="TableNormal"/>
    <w:uiPriority w:val="59"/>
    <w:rsid w:val="00F84F36"/>
    <w:rPr>
      <w:rFonts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99"/>
    <w:semiHidden/>
    <w:unhideWhenUsed/>
    <w:qFormat/>
    <w:rsid w:val="00F84F36"/>
    <w:pPr>
      <w:tabs>
        <w:tab w:val="right" w:leader="dot" w:pos="8630"/>
      </w:tabs>
      <w:spacing w:after="40" w:line="240" w:lineRule="auto"/>
    </w:pPr>
    <w:rPr>
      <w:smallCaps/>
      <w:noProof/>
      <w:color w:val="A7B789"/>
    </w:rPr>
  </w:style>
  <w:style w:type="paragraph" w:styleId="TOC2">
    <w:name w:val="toc 2"/>
    <w:basedOn w:val="Normal"/>
    <w:next w:val="Normal"/>
    <w:autoRedefine/>
    <w:uiPriority w:val="99"/>
    <w:semiHidden/>
    <w:unhideWhenUsed/>
    <w:qFormat/>
    <w:rsid w:val="00F84F36"/>
    <w:pPr>
      <w:tabs>
        <w:tab w:val="right" w:leader="dot" w:pos="8630"/>
      </w:tabs>
      <w:spacing w:after="40" w:line="240" w:lineRule="auto"/>
      <w:ind w:left="216"/>
    </w:pPr>
    <w:rPr>
      <w:smallCaps/>
      <w:noProof/>
    </w:rPr>
  </w:style>
  <w:style w:type="paragraph" w:styleId="TOC3">
    <w:name w:val="toc 3"/>
    <w:basedOn w:val="Normal"/>
    <w:next w:val="Normal"/>
    <w:autoRedefine/>
    <w:uiPriority w:val="99"/>
    <w:semiHidden/>
    <w:unhideWhenUsed/>
    <w:qFormat/>
    <w:rsid w:val="00F84F36"/>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rsid w:val="00F84F36"/>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rsid w:val="00F84F36"/>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rsid w:val="00F84F36"/>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rsid w:val="00F84F36"/>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rsid w:val="00F84F36"/>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rsid w:val="00F84F36"/>
    <w:pPr>
      <w:tabs>
        <w:tab w:val="right" w:leader="dot" w:pos="8630"/>
      </w:tabs>
      <w:spacing w:after="40" w:line="240" w:lineRule="auto"/>
      <w:ind w:left="1760"/>
    </w:pPr>
    <w:rPr>
      <w:smallCaps/>
      <w:noProof/>
    </w:rPr>
  </w:style>
  <w:style w:type="paragraph" w:styleId="FootnoteText">
    <w:name w:val="footnote text"/>
    <w:basedOn w:val="Normal"/>
    <w:link w:val="FootnoteTextChar"/>
    <w:uiPriority w:val="99"/>
    <w:semiHidden/>
    <w:rsid w:val="00B55C1E"/>
    <w:pPr>
      <w:spacing w:after="0" w:line="240" w:lineRule="auto"/>
    </w:pPr>
    <w:rPr>
      <w:rFonts w:ascii="Arial" w:eastAsia="Arial" w:hAnsi="Arial"/>
      <w:color w:val="auto"/>
      <w:sz w:val="20"/>
    </w:rPr>
  </w:style>
  <w:style w:type="character" w:customStyle="1" w:styleId="FootnoteTextChar">
    <w:name w:val="Footnote Text Char"/>
    <w:link w:val="FootnoteText"/>
    <w:uiPriority w:val="99"/>
    <w:semiHidden/>
    <w:rsid w:val="00B55C1E"/>
    <w:rPr>
      <w:rFonts w:ascii="Arial" w:eastAsia="Arial" w:hAnsi="Arial" w:cs="Arial"/>
      <w:sz w:val="20"/>
      <w:szCs w:val="20"/>
    </w:rPr>
  </w:style>
  <w:style w:type="character" w:styleId="FootnoteReference">
    <w:name w:val="footnote reference"/>
    <w:uiPriority w:val="99"/>
    <w:semiHidden/>
    <w:rsid w:val="00B55C1E"/>
    <w:rPr>
      <w:vertAlign w:val="superscript"/>
    </w:rPr>
  </w:style>
  <w:style w:type="paragraph" w:customStyle="1" w:styleId="ColorfulList-Accent11">
    <w:name w:val="Colorful List - Accent 11"/>
    <w:basedOn w:val="Normal"/>
    <w:uiPriority w:val="34"/>
    <w:qFormat/>
    <w:rsid w:val="00B55C1E"/>
    <w:pPr>
      <w:spacing w:after="0" w:line="240" w:lineRule="auto"/>
      <w:ind w:left="720"/>
      <w:contextualSpacing/>
    </w:pPr>
    <w:rPr>
      <w:rFonts w:ascii="Times New Roman" w:eastAsia="Times New Roman" w:hAnsi="Times New Roman"/>
      <w:color w:val="auto"/>
      <w:sz w:val="20"/>
    </w:rPr>
  </w:style>
  <w:style w:type="table" w:customStyle="1" w:styleId="TableGrid1">
    <w:name w:val="Table Grid1"/>
    <w:basedOn w:val="TableNormal"/>
    <w:next w:val="TableGrid"/>
    <w:rsid w:val="00E721B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533394"/>
    <w:rPr>
      <w:sz w:val="16"/>
      <w:szCs w:val="16"/>
    </w:rPr>
  </w:style>
  <w:style w:type="paragraph" w:styleId="CommentText">
    <w:name w:val="annotation text"/>
    <w:basedOn w:val="Normal"/>
    <w:link w:val="CommentTextChar"/>
    <w:uiPriority w:val="99"/>
    <w:unhideWhenUsed/>
    <w:rsid w:val="00533394"/>
    <w:pPr>
      <w:spacing w:line="240" w:lineRule="auto"/>
    </w:pPr>
    <w:rPr>
      <w:sz w:val="20"/>
    </w:rPr>
  </w:style>
  <w:style w:type="character" w:customStyle="1" w:styleId="CommentTextChar">
    <w:name w:val="Comment Text Char"/>
    <w:link w:val="CommentText"/>
    <w:uiPriority w:val="99"/>
    <w:rsid w:val="00533394"/>
    <w:rPr>
      <w:rFonts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533394"/>
    <w:rPr>
      <w:b/>
      <w:bCs/>
    </w:rPr>
  </w:style>
  <w:style w:type="character" w:customStyle="1" w:styleId="CommentSubjectChar">
    <w:name w:val="Comment Subject Char"/>
    <w:link w:val="CommentSubject"/>
    <w:uiPriority w:val="99"/>
    <w:semiHidden/>
    <w:rsid w:val="00533394"/>
    <w:rPr>
      <w:rFonts w:cs="Times New Roman"/>
      <w:b/>
      <w:bCs/>
      <w:color w:val="000000"/>
      <w:sz w:val="20"/>
      <w:szCs w:val="20"/>
    </w:rPr>
  </w:style>
  <w:style w:type="paragraph" w:customStyle="1" w:styleId="ColorfulShading-Accent11">
    <w:name w:val="Colorful Shading - Accent 11"/>
    <w:hidden/>
    <w:uiPriority w:val="99"/>
    <w:semiHidden/>
    <w:rsid w:val="000F6C0B"/>
    <w:rPr>
      <w:color w:val="000000"/>
      <w:sz w:val="22"/>
    </w:rPr>
  </w:style>
  <w:style w:type="paragraph" w:styleId="BodyText">
    <w:name w:val="Body Text"/>
    <w:basedOn w:val="Normal"/>
    <w:link w:val="BodyTextChar"/>
    <w:uiPriority w:val="99"/>
    <w:unhideWhenUsed/>
    <w:rsid w:val="00724E14"/>
    <w:pPr>
      <w:spacing w:after="120"/>
    </w:pPr>
    <w:rPr>
      <w:rFonts w:ascii="Calibri" w:eastAsia="Times New Roman" w:hAnsi="Calibri"/>
      <w:color w:val="auto"/>
      <w:szCs w:val="22"/>
    </w:rPr>
  </w:style>
  <w:style w:type="character" w:customStyle="1" w:styleId="BodyTextChar">
    <w:name w:val="Body Text Char"/>
    <w:link w:val="BodyText"/>
    <w:uiPriority w:val="99"/>
    <w:rsid w:val="00724E14"/>
    <w:rPr>
      <w:rFonts w:ascii="Calibri" w:eastAsia="Times New Roman" w:hAnsi="Calibri"/>
      <w:sz w:val="22"/>
      <w:szCs w:val="22"/>
    </w:rPr>
  </w:style>
  <w:style w:type="paragraph" w:customStyle="1" w:styleId="LevelA">
    <w:name w:val="Level_A"/>
    <w:basedOn w:val="Normal"/>
    <w:uiPriority w:val="99"/>
    <w:rsid w:val="00724E14"/>
    <w:pPr>
      <w:tabs>
        <w:tab w:val="num" w:pos="360"/>
      </w:tabs>
      <w:spacing w:before="240" w:after="0" w:line="240" w:lineRule="auto"/>
      <w:ind w:left="360" w:hanging="360"/>
      <w:jc w:val="center"/>
      <w:outlineLvl w:val="0"/>
    </w:pPr>
    <w:rPr>
      <w:rFonts w:ascii="Arial" w:eastAsia="Times New Roman" w:hAnsi="Arial"/>
      <w:b/>
      <w:color w:val="auto"/>
      <w:sz w:val="28"/>
    </w:rPr>
  </w:style>
  <w:style w:type="table" w:customStyle="1" w:styleId="LightShading-Accent11">
    <w:name w:val="Light Shading - Accent 11"/>
    <w:basedOn w:val="TableNormal"/>
    <w:uiPriority w:val="60"/>
    <w:rsid w:val="00724E14"/>
    <w:rPr>
      <w:rFonts w:ascii="Calibri" w:eastAsia="Times New Roman"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rsid w:val="00D547BC"/>
    <w:pPr>
      <w:spacing w:before="100" w:beforeAutospacing="1" w:after="100" w:afterAutospacing="1" w:line="240" w:lineRule="auto"/>
    </w:pPr>
    <w:rPr>
      <w:rFonts w:ascii="Times New Roman" w:eastAsia="Times New Roman" w:hAnsi="Times New Roman"/>
      <w:color w:val="auto"/>
      <w:sz w:val="24"/>
      <w:szCs w:val="24"/>
      <w:lang w:eastAsia="zh-TW"/>
    </w:rPr>
  </w:style>
  <w:style w:type="paragraph" w:styleId="BodyText3">
    <w:name w:val="Body Text 3"/>
    <w:basedOn w:val="Normal"/>
    <w:link w:val="BodyText3Char"/>
    <w:uiPriority w:val="99"/>
    <w:semiHidden/>
    <w:unhideWhenUsed/>
    <w:rsid w:val="00294291"/>
    <w:pPr>
      <w:spacing w:after="120"/>
    </w:pPr>
    <w:rPr>
      <w:sz w:val="16"/>
      <w:szCs w:val="16"/>
    </w:rPr>
  </w:style>
  <w:style w:type="character" w:customStyle="1" w:styleId="BodyText3Char">
    <w:name w:val="Body Text 3 Char"/>
    <w:link w:val="BodyText3"/>
    <w:uiPriority w:val="99"/>
    <w:semiHidden/>
    <w:rsid w:val="00294291"/>
    <w:rPr>
      <w:color w:val="000000"/>
      <w:sz w:val="16"/>
      <w:szCs w:val="16"/>
    </w:rPr>
  </w:style>
  <w:style w:type="character" w:styleId="Hyperlink">
    <w:name w:val="Hyperlink"/>
    <w:uiPriority w:val="99"/>
    <w:rsid w:val="00661C1A"/>
    <w:rPr>
      <w:rFonts w:ascii="Arial" w:hAnsi="Arial"/>
      <w:color w:val="0000FF"/>
      <w:u w:val="single"/>
    </w:rPr>
  </w:style>
  <w:style w:type="paragraph" w:styleId="EndnoteText">
    <w:name w:val="endnote text"/>
    <w:basedOn w:val="Normal"/>
    <w:link w:val="EndnoteTextChar"/>
    <w:uiPriority w:val="99"/>
    <w:semiHidden/>
    <w:rsid w:val="00661C1A"/>
    <w:pPr>
      <w:spacing w:after="0" w:line="240" w:lineRule="auto"/>
    </w:pPr>
    <w:rPr>
      <w:rFonts w:ascii="Times New Roman" w:eastAsia="Times New Roman" w:hAnsi="Times New Roman"/>
      <w:color w:val="auto"/>
      <w:sz w:val="20"/>
      <w:lang w:eastAsia="zh-TW"/>
    </w:rPr>
  </w:style>
  <w:style w:type="character" w:customStyle="1" w:styleId="EndnoteTextChar">
    <w:name w:val="Endnote Text Char"/>
    <w:link w:val="EndnoteText"/>
    <w:uiPriority w:val="99"/>
    <w:semiHidden/>
    <w:rsid w:val="00661C1A"/>
    <w:rPr>
      <w:rFonts w:ascii="Times New Roman" w:eastAsia="Times New Roman" w:hAnsi="Times New Roman"/>
      <w:lang w:eastAsia="zh-TW"/>
    </w:rPr>
  </w:style>
  <w:style w:type="character" w:styleId="EndnoteReference">
    <w:name w:val="endnote reference"/>
    <w:uiPriority w:val="99"/>
    <w:semiHidden/>
    <w:rsid w:val="00661C1A"/>
    <w:rPr>
      <w:vertAlign w:val="superscript"/>
    </w:rPr>
  </w:style>
  <w:style w:type="paragraph" w:customStyle="1" w:styleId="Subhead1">
    <w:name w:val="Subhead 1"/>
    <w:basedOn w:val="Normal"/>
    <w:autoRedefine/>
    <w:uiPriority w:val="99"/>
    <w:rsid w:val="000922E0"/>
    <w:pPr>
      <w:keepNext/>
      <w:spacing w:after="0" w:line="240" w:lineRule="auto"/>
      <w:ind w:right="360"/>
    </w:pPr>
    <w:rPr>
      <w:rFonts w:ascii="Calibri" w:eastAsia="Times New Roman" w:hAnsi="Calibri"/>
      <w:bCs/>
      <w:color w:val="49237A"/>
      <w:sz w:val="24"/>
      <w:szCs w:val="24"/>
    </w:rPr>
  </w:style>
  <w:style w:type="paragraph" w:customStyle="1" w:styleId="Body">
    <w:name w:val="Body"/>
    <w:uiPriority w:val="99"/>
    <w:rsid w:val="000922E0"/>
    <w:rPr>
      <w:rFonts w:ascii="Helvetica" w:eastAsia="ヒラギノ角ゴ Pro W3" w:hAnsi="Helvetica"/>
      <w:color w:val="000000"/>
      <w:sz w:val="24"/>
    </w:rPr>
  </w:style>
  <w:style w:type="table" w:customStyle="1" w:styleId="LightShading1">
    <w:name w:val="Light Shading1"/>
    <w:basedOn w:val="TableNormal"/>
    <w:uiPriority w:val="60"/>
    <w:rsid w:val="000922E0"/>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uiPriority w:val="99"/>
    <w:rsid w:val="00AB2758"/>
    <w:pPr>
      <w:widowControl w:val="0"/>
      <w:autoSpaceDE w:val="0"/>
      <w:autoSpaceDN w:val="0"/>
      <w:adjustRightInd w:val="0"/>
    </w:pPr>
    <w:rPr>
      <w:rFonts w:ascii="Times New Roman" w:eastAsia="Times New Roman" w:hAnsi="Times New Roman"/>
      <w:color w:val="000000"/>
      <w:sz w:val="24"/>
    </w:rPr>
  </w:style>
  <w:style w:type="paragraph" w:styleId="BodyTextIndent">
    <w:name w:val="Body Text Indent"/>
    <w:basedOn w:val="Normal"/>
    <w:link w:val="BodyTextIndentChar"/>
    <w:uiPriority w:val="99"/>
    <w:semiHidden/>
    <w:unhideWhenUsed/>
    <w:rsid w:val="00AB2758"/>
    <w:pPr>
      <w:spacing w:after="120"/>
      <w:ind w:left="360"/>
    </w:pPr>
  </w:style>
  <w:style w:type="character" w:customStyle="1" w:styleId="BodyTextIndentChar">
    <w:name w:val="Body Text Indent Char"/>
    <w:link w:val="BodyTextIndent"/>
    <w:uiPriority w:val="99"/>
    <w:semiHidden/>
    <w:rsid w:val="00AB2758"/>
    <w:rPr>
      <w:color w:val="000000"/>
      <w:sz w:val="22"/>
    </w:rPr>
  </w:style>
  <w:style w:type="paragraph" w:customStyle="1" w:styleId="msotitle3">
    <w:name w:val="msotitle3"/>
    <w:uiPriority w:val="99"/>
    <w:rsid w:val="00AB2758"/>
    <w:rPr>
      <w:rFonts w:ascii="Goudy Old Style" w:eastAsia="Times New Roman" w:hAnsi="Goudy Old Style"/>
      <w:color w:val="000066"/>
      <w:kern w:val="28"/>
      <w:sz w:val="40"/>
      <w:szCs w:val="40"/>
    </w:rPr>
  </w:style>
  <w:style w:type="paragraph" w:styleId="PlainText">
    <w:name w:val="Plain Text"/>
    <w:basedOn w:val="Normal"/>
    <w:link w:val="PlainTextChar"/>
    <w:uiPriority w:val="99"/>
    <w:rsid w:val="00AB2758"/>
    <w:pPr>
      <w:spacing w:after="0" w:line="240" w:lineRule="auto"/>
    </w:pPr>
    <w:rPr>
      <w:rFonts w:ascii="Courier New" w:eastAsia="Arial Unicode MS" w:hAnsi="Courier New"/>
      <w:color w:val="auto"/>
      <w:sz w:val="20"/>
    </w:rPr>
  </w:style>
  <w:style w:type="character" w:customStyle="1" w:styleId="PlainTextChar">
    <w:name w:val="Plain Text Char"/>
    <w:link w:val="PlainText"/>
    <w:uiPriority w:val="99"/>
    <w:rsid w:val="00AB2758"/>
    <w:rPr>
      <w:rFonts w:ascii="Courier New" w:eastAsia="Arial Unicode MS" w:hAnsi="Courier New" w:cs="Courier New"/>
    </w:rPr>
  </w:style>
  <w:style w:type="paragraph" w:customStyle="1" w:styleId="LevelB">
    <w:name w:val="Level_B"/>
    <w:basedOn w:val="Normal"/>
    <w:uiPriority w:val="99"/>
    <w:rsid w:val="007E44F4"/>
    <w:pPr>
      <w:tabs>
        <w:tab w:val="num" w:pos="360"/>
      </w:tabs>
      <w:spacing w:before="240" w:after="0" w:line="240" w:lineRule="auto"/>
      <w:ind w:left="360" w:hanging="360"/>
      <w:outlineLvl w:val="1"/>
    </w:pPr>
    <w:rPr>
      <w:rFonts w:ascii="Arial" w:eastAsia="Times New Roman" w:hAnsi="Arial"/>
      <w:color w:val="auto"/>
      <w:sz w:val="24"/>
    </w:rPr>
  </w:style>
  <w:style w:type="paragraph" w:customStyle="1" w:styleId="LevelD">
    <w:name w:val="Level_D"/>
    <w:basedOn w:val="Normal"/>
    <w:uiPriority w:val="99"/>
    <w:rsid w:val="007E44F4"/>
    <w:pPr>
      <w:tabs>
        <w:tab w:val="left" w:pos="2520"/>
        <w:tab w:val="num" w:pos="2880"/>
      </w:tabs>
      <w:spacing w:before="240" w:after="0" w:line="240" w:lineRule="auto"/>
      <w:ind w:left="2520" w:hanging="360"/>
      <w:outlineLvl w:val="3"/>
    </w:pPr>
    <w:rPr>
      <w:rFonts w:ascii="Arial" w:eastAsia="Times New Roman" w:hAnsi="Arial"/>
      <w:color w:val="auto"/>
      <w:sz w:val="24"/>
    </w:rPr>
  </w:style>
  <w:style w:type="paragraph" w:customStyle="1" w:styleId="TxBrp2">
    <w:name w:val="TxBr_p2"/>
    <w:basedOn w:val="Normal"/>
    <w:uiPriority w:val="99"/>
    <w:rsid w:val="007E44F4"/>
    <w:pPr>
      <w:widowControl w:val="0"/>
      <w:tabs>
        <w:tab w:val="left" w:pos="204"/>
      </w:tabs>
      <w:spacing w:after="0" w:line="240" w:lineRule="atLeast"/>
      <w:jc w:val="both"/>
    </w:pPr>
    <w:rPr>
      <w:rFonts w:ascii="Times New Roman" w:eastAsia="Times New Roman" w:hAnsi="Times New Roman"/>
      <w:snapToGrid w:val="0"/>
      <w:color w:val="auto"/>
      <w:sz w:val="24"/>
    </w:rPr>
  </w:style>
  <w:style w:type="paragraph" w:styleId="BodyTextIndent3">
    <w:name w:val="Body Text Indent 3"/>
    <w:basedOn w:val="Normal"/>
    <w:link w:val="BodyTextIndent3Char"/>
    <w:uiPriority w:val="99"/>
    <w:semiHidden/>
    <w:unhideWhenUsed/>
    <w:rsid w:val="00EB232D"/>
    <w:pPr>
      <w:spacing w:after="120"/>
      <w:ind w:left="360"/>
    </w:pPr>
    <w:rPr>
      <w:sz w:val="16"/>
      <w:szCs w:val="16"/>
    </w:rPr>
  </w:style>
  <w:style w:type="character" w:customStyle="1" w:styleId="BodyTextIndent3Char">
    <w:name w:val="Body Text Indent 3 Char"/>
    <w:link w:val="BodyTextIndent3"/>
    <w:uiPriority w:val="99"/>
    <w:semiHidden/>
    <w:rsid w:val="00EB232D"/>
    <w:rPr>
      <w:color w:val="000000"/>
      <w:sz w:val="16"/>
      <w:szCs w:val="16"/>
    </w:rPr>
  </w:style>
  <w:style w:type="character" w:customStyle="1" w:styleId="apple-converted-space">
    <w:name w:val="apple-converted-space"/>
    <w:rsid w:val="009F7AC2"/>
  </w:style>
  <w:style w:type="paragraph" w:customStyle="1" w:styleId="Bulleted">
    <w:name w:val="Bulleted"/>
    <w:basedOn w:val="Normal"/>
    <w:link w:val="BulletedChar"/>
    <w:qFormat/>
    <w:rsid w:val="009F7AC2"/>
    <w:pPr>
      <w:spacing w:before="60" w:after="60"/>
      <w:jc w:val="both"/>
    </w:pPr>
    <w:rPr>
      <w:rFonts w:ascii="Cambria" w:eastAsia="Cambria" w:hAnsi="Cambria"/>
      <w:bCs/>
      <w:szCs w:val="24"/>
    </w:rPr>
  </w:style>
  <w:style w:type="character" w:customStyle="1" w:styleId="BulletedChar">
    <w:name w:val="Bulleted Char"/>
    <w:link w:val="Bulleted"/>
    <w:rsid w:val="009F7AC2"/>
    <w:rPr>
      <w:rFonts w:ascii="Cambria" w:eastAsia="Cambria" w:hAnsi="Cambria"/>
      <w:bCs/>
      <w:color w:val="000000"/>
      <w:sz w:val="22"/>
      <w:szCs w:val="24"/>
    </w:rPr>
  </w:style>
  <w:style w:type="paragraph" w:customStyle="1" w:styleId="FreeForm">
    <w:name w:val="Free Form"/>
    <w:autoRedefine/>
    <w:uiPriority w:val="99"/>
    <w:rsid w:val="004D3BA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contextualSpacing/>
    </w:pPr>
    <w:rPr>
      <w:rFonts w:ascii="Calibri" w:eastAsia="ヒラギノ角ゴ Pro W3" w:hAnsi="Calibri"/>
      <w:color w:val="C0504D"/>
      <w:sz w:val="22"/>
      <w:szCs w:val="22"/>
    </w:rPr>
  </w:style>
  <w:style w:type="character" w:styleId="FollowedHyperlink">
    <w:name w:val="FollowedHyperlink"/>
    <w:uiPriority w:val="99"/>
    <w:semiHidden/>
    <w:unhideWhenUsed/>
    <w:rsid w:val="00CC1B2E"/>
    <w:rPr>
      <w:color w:val="800080"/>
      <w:u w:val="single"/>
    </w:rPr>
  </w:style>
  <w:style w:type="table" w:customStyle="1" w:styleId="TableGrid2">
    <w:name w:val="Table Grid2"/>
    <w:basedOn w:val="TableNormal"/>
    <w:next w:val="TableGrid"/>
    <w:uiPriority w:val="59"/>
    <w:rsid w:val="002C7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C76A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1517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D00864"/>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2">
    <w:name w:val="Light Shading - Accent 112"/>
    <w:basedOn w:val="TableNormal"/>
    <w:uiPriority w:val="60"/>
    <w:rsid w:val="00D00864"/>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3">
    <w:name w:val="Light Shading - Accent 113"/>
    <w:basedOn w:val="TableNormal"/>
    <w:uiPriority w:val="60"/>
    <w:rsid w:val="004A07DC"/>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4">
    <w:name w:val="Light Shading - Accent 114"/>
    <w:basedOn w:val="TableNormal"/>
    <w:uiPriority w:val="60"/>
    <w:rsid w:val="004A07DC"/>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5">
    <w:name w:val="Light Shading - Accent 115"/>
    <w:basedOn w:val="TableNormal"/>
    <w:uiPriority w:val="60"/>
    <w:rsid w:val="004A07DC"/>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5">
    <w:name w:val="Table Grid5"/>
    <w:basedOn w:val="TableNormal"/>
    <w:next w:val="TableGrid"/>
    <w:uiPriority w:val="59"/>
    <w:rsid w:val="004A07D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6">
    <w:name w:val="Light Shading - Accent 116"/>
    <w:basedOn w:val="TableNormal"/>
    <w:uiPriority w:val="60"/>
    <w:rsid w:val="004A07DC"/>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7">
    <w:name w:val="Light Shading - Accent 117"/>
    <w:basedOn w:val="TableNormal"/>
    <w:uiPriority w:val="60"/>
    <w:rsid w:val="00BC6A30"/>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DarkList-Accent2">
    <w:name w:val="Dark List Accent 2"/>
    <w:basedOn w:val="TableNormal"/>
    <w:uiPriority w:val="61"/>
    <w:rsid w:val="006A67FE"/>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List2-Accent1">
    <w:name w:val="Medium List 2 Accent 1"/>
    <w:basedOn w:val="TableNormal"/>
    <w:uiPriority w:val="61"/>
    <w:rsid w:val="006A67FE"/>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next w:val="MediumList2-Accent1"/>
    <w:uiPriority w:val="61"/>
    <w:rsid w:val="006A67FE"/>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3">
    <w:name w:val="Dark List Accent 3"/>
    <w:basedOn w:val="TableNormal"/>
    <w:uiPriority w:val="61"/>
    <w:rsid w:val="006A67FE"/>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21">
    <w:name w:val="Light List - Accent 21"/>
    <w:basedOn w:val="TableNormal"/>
    <w:next w:val="DarkList-Accent2"/>
    <w:uiPriority w:val="61"/>
    <w:rsid w:val="006A67FE"/>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2">
    <w:name w:val="Light List - Accent 12"/>
    <w:basedOn w:val="TableNormal"/>
    <w:next w:val="MediumList2-Accent1"/>
    <w:uiPriority w:val="61"/>
    <w:rsid w:val="006A67FE"/>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31">
    <w:name w:val="Light List - Accent 31"/>
    <w:basedOn w:val="TableNormal"/>
    <w:next w:val="DarkList-Accent3"/>
    <w:uiPriority w:val="61"/>
    <w:rsid w:val="006A67FE"/>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22">
    <w:name w:val="Light List - Accent 22"/>
    <w:basedOn w:val="TableNormal"/>
    <w:next w:val="DarkList-Accent2"/>
    <w:uiPriority w:val="61"/>
    <w:rsid w:val="006A67FE"/>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3">
    <w:name w:val="Light List - Accent 13"/>
    <w:basedOn w:val="TableNormal"/>
    <w:next w:val="MediumList2-Accent1"/>
    <w:uiPriority w:val="61"/>
    <w:rsid w:val="006A67FE"/>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6">
    <w:name w:val="Table Grid6"/>
    <w:basedOn w:val="TableNormal"/>
    <w:next w:val="TableGrid"/>
    <w:rsid w:val="00F165A6"/>
    <w:pPr>
      <w:ind w:left="1080" w:hanging="360"/>
    </w:pPr>
    <w:rPr>
      <w:rFonts w:ascii="Calibri" w:eastAsia="Times New Roman" w:hAnsi="Calibri"/>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WSCSA">
    <w:name w:val="CWS CSA"/>
    <w:basedOn w:val="TableNormal"/>
    <w:uiPriority w:val="99"/>
    <w:rsid w:val="00071EEB"/>
    <w:rPr>
      <w:color w:val="FFFFFF"/>
    </w:rPr>
    <w:tblPr>
      <w:tblStyleRowBandSize w:val="1"/>
      <w:tblBorders>
        <w:top w:val="single" w:sz="18" w:space="0" w:color="F6872B"/>
        <w:bottom w:val="single" w:sz="18" w:space="0" w:color="F6872B"/>
      </w:tblBorders>
    </w:tblPr>
    <w:tblStylePr w:type="firstRow">
      <w:tblPr/>
      <w:tcPr>
        <w:shd w:val="clear" w:color="auto" w:fill="013161"/>
      </w:tcPr>
    </w:tblStylePr>
    <w:tblStylePr w:type="band1Horz">
      <w:tblPr/>
      <w:tcPr>
        <w:shd w:val="clear" w:color="auto" w:fill="DBE5F1"/>
      </w:tcPr>
    </w:tblStylePr>
  </w:style>
  <w:style w:type="numbering" w:customStyle="1" w:styleId="NoList1">
    <w:name w:val="No List1"/>
    <w:next w:val="NoList"/>
    <w:uiPriority w:val="99"/>
    <w:semiHidden/>
    <w:unhideWhenUsed/>
    <w:rsid w:val="00065AAE"/>
  </w:style>
  <w:style w:type="table" w:customStyle="1" w:styleId="TableGrid7">
    <w:name w:val="Table Grid7"/>
    <w:basedOn w:val="TableNormal"/>
    <w:next w:val="TableGrid"/>
    <w:uiPriority w:val="59"/>
    <w:rsid w:val="00065AA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8">
    <w:name w:val="Light Shading - Accent 118"/>
    <w:basedOn w:val="TableNormal"/>
    <w:uiPriority w:val="60"/>
    <w:rsid w:val="00065AAE"/>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
    <w:name w:val="Table Grid11"/>
    <w:basedOn w:val="TableNormal"/>
    <w:next w:val="TableGrid"/>
    <w:rsid w:val="00065AAE"/>
    <w:pPr>
      <w:ind w:left="1080" w:hanging="360"/>
    </w:pPr>
    <w:rPr>
      <w:rFonts w:ascii="Calibri" w:eastAsia="Times New Roman" w:hAnsi="Calibri"/>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3">
    <w:name w:val="Medium Shading 2 Accent 3"/>
    <w:basedOn w:val="TableNormal"/>
    <w:uiPriority w:val="69"/>
    <w:rsid w:val="00065AAE"/>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LightShading-Accent2Char">
    <w:name w:val="Light Shading - Accent 2 Char"/>
    <w:link w:val="LightShading-Accent21"/>
    <w:uiPriority w:val="30"/>
    <w:rsid w:val="000F131D"/>
    <w:rPr>
      <w:rFonts w:ascii="Franklin Gothic Book" w:hAnsi="Franklin Gothic Book"/>
      <w:i/>
      <w:color w:val="FFFFFF"/>
      <w:sz w:val="32"/>
      <w:shd w:val="clear" w:color="auto" w:fill="6F6F74"/>
    </w:rPr>
  </w:style>
  <w:style w:type="character" w:customStyle="1" w:styleId="author">
    <w:name w:val="author"/>
    <w:rsid w:val="000F131D"/>
  </w:style>
  <w:style w:type="character" w:customStyle="1" w:styleId="time">
    <w:name w:val="time"/>
    <w:rsid w:val="000F131D"/>
  </w:style>
  <w:style w:type="character" w:customStyle="1" w:styleId="Date1">
    <w:name w:val="Date1"/>
    <w:rsid w:val="000F131D"/>
  </w:style>
  <w:style w:type="character" w:customStyle="1" w:styleId="journaltitle">
    <w:name w:val="journal_title"/>
    <w:rsid w:val="000F131D"/>
  </w:style>
  <w:style w:type="character" w:customStyle="1" w:styleId="journalsubtitle">
    <w:name w:val="journal_subtitle"/>
    <w:rsid w:val="000F131D"/>
  </w:style>
  <w:style w:type="paragraph" w:customStyle="1" w:styleId="a4">
    <w:basedOn w:val="Heading1"/>
    <w:next w:val="Normal"/>
    <w:uiPriority w:val="39"/>
    <w:semiHidden/>
    <w:unhideWhenUsed/>
    <w:qFormat/>
    <w:rsid w:val="00A04B01"/>
    <w:pPr>
      <w:keepNext/>
      <w:keepLines/>
      <w:spacing w:before="400"/>
      <w:outlineLvl w:val="9"/>
    </w:pPr>
    <w:rPr>
      <w:rFonts w:ascii="Calibri Light" w:eastAsia="Times New Roman" w:hAnsi="Calibri Light"/>
      <w:b w:val="0"/>
      <w:color w:val="1F4E79"/>
      <w:spacing w:val="0"/>
      <w:sz w:val="36"/>
      <w:szCs w:val="36"/>
    </w:rPr>
  </w:style>
  <w:style w:type="table" w:customStyle="1" w:styleId="TableGrid8">
    <w:name w:val="Table Grid8"/>
    <w:basedOn w:val="TableNormal"/>
    <w:next w:val="TableGrid"/>
    <w:uiPriority w:val="59"/>
    <w:rsid w:val="00BA7CC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4">
    <w:name w:val="Light List - Accent 14"/>
    <w:basedOn w:val="TableNormal"/>
    <w:uiPriority w:val="61"/>
    <w:rsid w:val="009C72FE"/>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2-Accent61">
    <w:name w:val="Grid Table 2 - Accent 61"/>
    <w:basedOn w:val="TableNormal"/>
    <w:uiPriority w:val="47"/>
    <w:rsid w:val="009C72FE"/>
    <w:rPr>
      <w:rFonts w:ascii="Calibri" w:eastAsia="Calibri" w:hAnsi="Calibri"/>
      <w:sz w:val="22"/>
      <w:szCs w:val="22"/>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2-Accent21">
    <w:name w:val="Grid Table 2 - Accent 21"/>
    <w:basedOn w:val="TableNormal"/>
    <w:uiPriority w:val="47"/>
    <w:rsid w:val="009C72FE"/>
    <w:rPr>
      <w:rFonts w:ascii="Calibri" w:eastAsia="Calibri" w:hAnsi="Calibri"/>
      <w:sz w:val="22"/>
      <w:szCs w:val="22"/>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2-Accent11">
    <w:name w:val="Grid Table 2 - Accent 11"/>
    <w:basedOn w:val="TableNormal"/>
    <w:uiPriority w:val="47"/>
    <w:rsid w:val="009C72FE"/>
    <w:rPr>
      <w:rFonts w:ascii="Calibri" w:eastAsia="Calibri" w:hAnsi="Calibri"/>
      <w:sz w:val="22"/>
      <w:szCs w:val="22"/>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2-Accent31">
    <w:name w:val="Grid Table 2 - Accent 31"/>
    <w:basedOn w:val="TableNormal"/>
    <w:uiPriority w:val="47"/>
    <w:rsid w:val="009C72FE"/>
    <w:rPr>
      <w:rFonts w:ascii="Calibri" w:eastAsia="Calibri" w:hAnsi="Calibri"/>
      <w:sz w:val="22"/>
      <w:szCs w:val="22"/>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IntenseQuote">
    <w:name w:val="Intense Quote"/>
    <w:basedOn w:val="Normal"/>
    <w:link w:val="IntenseQuoteChar"/>
    <w:qFormat/>
    <w:rsid w:val="00417F6F"/>
    <w:pPr>
      <w:pBdr>
        <w:top w:val="single" w:sz="36" w:space="10" w:color="A8A8AB"/>
        <w:left w:val="single" w:sz="24" w:space="10" w:color="6F6F74"/>
        <w:bottom w:val="single" w:sz="36" w:space="10" w:color="BEAE98"/>
        <w:right w:val="single" w:sz="24" w:space="10" w:color="6F6F74"/>
      </w:pBdr>
      <w:shd w:val="clear" w:color="auto" w:fill="6F6F74"/>
      <w:ind w:left="1440" w:right="1440"/>
      <w:jc w:val="center"/>
    </w:pPr>
    <w:rPr>
      <w:rFonts w:ascii="Franklin Gothic Book" w:hAnsi="Franklin Gothic Book"/>
      <w:i/>
      <w:color w:val="FFFFFF"/>
      <w:sz w:val="32"/>
    </w:rPr>
  </w:style>
  <w:style w:type="character" w:customStyle="1" w:styleId="IntenseQuoteChar">
    <w:name w:val="Intense Quote Char"/>
    <w:basedOn w:val="DefaultParagraphFont"/>
    <w:link w:val="IntenseQuote"/>
    <w:rsid w:val="00417F6F"/>
    <w:rPr>
      <w:rFonts w:ascii="Franklin Gothic Book" w:hAnsi="Franklin Gothic Book"/>
      <w:i/>
      <w:color w:val="FFFFFF"/>
      <w:sz w:val="32"/>
      <w:shd w:val="clear" w:color="auto" w:fill="6F6F74"/>
    </w:rPr>
  </w:style>
  <w:style w:type="paragraph" w:styleId="NoSpacing">
    <w:name w:val="No Spacing"/>
    <w:basedOn w:val="Normal"/>
    <w:uiPriority w:val="1"/>
    <w:qFormat/>
    <w:rsid w:val="00417F6F"/>
    <w:pPr>
      <w:spacing w:after="0" w:line="240" w:lineRule="auto"/>
    </w:pPr>
  </w:style>
  <w:style w:type="character" w:styleId="PlaceholderText">
    <w:name w:val="Placeholder Text"/>
    <w:uiPriority w:val="99"/>
    <w:semiHidden/>
    <w:rsid w:val="00417F6F"/>
    <w:rPr>
      <w:color w:val="808080"/>
    </w:rPr>
  </w:style>
  <w:style w:type="paragraph" w:styleId="Quote">
    <w:name w:val="Quote"/>
    <w:basedOn w:val="Normal"/>
    <w:link w:val="QuoteChar"/>
    <w:uiPriority w:val="29"/>
    <w:qFormat/>
    <w:rsid w:val="00417F6F"/>
    <w:rPr>
      <w:i/>
      <w:color w:val="808080"/>
      <w:sz w:val="24"/>
    </w:rPr>
  </w:style>
  <w:style w:type="character" w:customStyle="1" w:styleId="QuoteChar">
    <w:name w:val="Quote Char"/>
    <w:basedOn w:val="DefaultParagraphFont"/>
    <w:link w:val="Quote"/>
    <w:uiPriority w:val="29"/>
    <w:rsid w:val="00417F6F"/>
    <w:rPr>
      <w:i/>
      <w:color w:val="808080"/>
      <w:sz w:val="24"/>
    </w:rPr>
  </w:style>
  <w:style w:type="paragraph" w:styleId="ListParagraph">
    <w:name w:val="List Paragraph"/>
    <w:basedOn w:val="Normal"/>
    <w:uiPriority w:val="34"/>
    <w:qFormat/>
    <w:rsid w:val="00417F6F"/>
    <w:pPr>
      <w:spacing w:after="0" w:line="240" w:lineRule="auto"/>
      <w:ind w:left="720"/>
      <w:contextualSpacing/>
    </w:pPr>
    <w:rPr>
      <w:rFonts w:ascii="Times New Roman" w:eastAsia="Times New Roman" w:hAnsi="Times New Roman"/>
      <w:color w:val="auto"/>
      <w:sz w:val="20"/>
    </w:rPr>
  </w:style>
  <w:style w:type="paragraph" w:styleId="Revision">
    <w:name w:val="Revision"/>
    <w:hidden/>
    <w:uiPriority w:val="99"/>
    <w:semiHidden/>
    <w:rsid w:val="00417F6F"/>
    <w:rPr>
      <w:color w:val="000000"/>
      <w:sz w:val="22"/>
    </w:rPr>
  </w:style>
  <w:style w:type="table" w:styleId="LightList-Accent2">
    <w:name w:val="Light List Accent 2"/>
    <w:basedOn w:val="TableNormal"/>
    <w:uiPriority w:val="61"/>
    <w:rsid w:val="00417F6F"/>
    <w:rPr>
      <w:rFonts w:ascii="Calibri" w:eastAsia="Calibri"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15">
    <w:name w:val="Light List - Accent 15"/>
    <w:basedOn w:val="TableNormal"/>
    <w:uiPriority w:val="61"/>
    <w:rsid w:val="00417F6F"/>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3">
    <w:name w:val="Light List Accent 3"/>
    <w:basedOn w:val="TableNormal"/>
    <w:uiPriority w:val="61"/>
    <w:rsid w:val="00417F6F"/>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Grid3-Accent2">
    <w:name w:val="Medium Grid 3 Accent 2"/>
    <w:basedOn w:val="TableNormal"/>
    <w:uiPriority w:val="69"/>
    <w:rsid w:val="00417F6F"/>
    <w:rPr>
      <w:rFonts w:ascii="Calibri" w:eastAsia="Times New Roman"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styleId="BookTitle">
    <w:name w:val="Book Title"/>
    <w:uiPriority w:val="33"/>
    <w:qFormat/>
    <w:rsid w:val="00486B2B"/>
    <w:rPr>
      <w:rFonts w:ascii="Franklin Gothic Book" w:hAnsi="Franklin Gothic Book" w:cs="Times New Roman"/>
      <w:i/>
      <w:color w:val="8D6974"/>
      <w:sz w:val="20"/>
      <w:szCs w:val="20"/>
    </w:rPr>
  </w:style>
  <w:style w:type="character" w:styleId="IntenseEmphasis">
    <w:name w:val="Intense Emphasis"/>
    <w:uiPriority w:val="21"/>
    <w:qFormat/>
    <w:rsid w:val="00486B2B"/>
    <w:rPr>
      <w:rFonts w:ascii="Perpetua" w:hAnsi="Perpetua" w:cs="Times New Roman"/>
      <w:b/>
      <w:i/>
      <w:smallCaps/>
      <w:color w:val="A7B789"/>
      <w:spacing w:val="2"/>
      <w:w w:val="100"/>
      <w:sz w:val="20"/>
      <w:szCs w:val="20"/>
    </w:rPr>
  </w:style>
  <w:style w:type="character" w:styleId="IntenseReference">
    <w:name w:val="Intense Reference"/>
    <w:uiPriority w:val="32"/>
    <w:qFormat/>
    <w:rsid w:val="00486B2B"/>
    <w:rPr>
      <w:rFonts w:cs="Times New Roman"/>
      <w:b/>
      <w:color w:val="6F6F74"/>
      <w:sz w:val="22"/>
      <w:szCs w:val="20"/>
      <w:u w:val="single"/>
    </w:rPr>
  </w:style>
  <w:style w:type="character" w:styleId="SubtleEmphasis">
    <w:name w:val="Subtle Emphasis"/>
    <w:uiPriority w:val="19"/>
    <w:qFormat/>
    <w:rsid w:val="00486B2B"/>
    <w:rPr>
      <w:rFonts w:ascii="Perpetua" w:hAnsi="Perpetua" w:cs="Times New Roman"/>
      <w:i/>
      <w:color w:val="737373"/>
      <w:spacing w:val="2"/>
      <w:w w:val="100"/>
      <w:kern w:val="0"/>
      <w:sz w:val="22"/>
      <w:szCs w:val="24"/>
    </w:rPr>
  </w:style>
  <w:style w:type="character" w:styleId="SubtleReference">
    <w:name w:val="Subtle Reference"/>
    <w:uiPriority w:val="31"/>
    <w:qFormat/>
    <w:rsid w:val="00486B2B"/>
    <w:rPr>
      <w:rFonts w:cs="Times New Roman"/>
      <w:color w:val="737373"/>
      <w:sz w:val="22"/>
      <w:szCs w:val="20"/>
      <w:u w:val="single"/>
    </w:rPr>
  </w:style>
  <w:style w:type="paragraph" w:customStyle="1" w:styleId="MediumGrid22">
    <w:name w:val="Medium Grid 22"/>
    <w:basedOn w:val="Normal"/>
    <w:uiPriority w:val="1"/>
    <w:qFormat/>
    <w:rsid w:val="007D1A55"/>
    <w:pPr>
      <w:spacing w:after="0" w:line="240" w:lineRule="auto"/>
    </w:pPr>
  </w:style>
  <w:style w:type="character" w:customStyle="1" w:styleId="MediumGrid12">
    <w:name w:val="Medium Grid 12"/>
    <w:uiPriority w:val="99"/>
    <w:semiHidden/>
    <w:rsid w:val="007D1A55"/>
    <w:rPr>
      <w:color w:val="808080"/>
    </w:rPr>
  </w:style>
  <w:style w:type="paragraph" w:customStyle="1" w:styleId="TOCHeading1">
    <w:name w:val="TOC Heading1"/>
    <w:basedOn w:val="Heading1"/>
    <w:next w:val="Normal"/>
    <w:uiPriority w:val="39"/>
    <w:semiHidden/>
    <w:unhideWhenUsed/>
    <w:qFormat/>
    <w:rsid w:val="007D1A55"/>
    <w:pPr>
      <w:keepNext/>
      <w:keepLines/>
      <w:spacing w:before="400"/>
      <w:outlineLvl w:val="9"/>
    </w:pPr>
    <w:rPr>
      <w:rFonts w:ascii="Calibri Light" w:eastAsia="Times New Roman" w:hAnsi="Calibri Light"/>
      <w:b w:val="0"/>
      <w:color w:val="1F4E79"/>
      <w:spacing w:val="0"/>
      <w:sz w:val="36"/>
      <w:szCs w:val="36"/>
    </w:rPr>
  </w:style>
  <w:style w:type="paragraph" w:customStyle="1" w:styleId="MediumGrid23">
    <w:name w:val="Medium Grid 23"/>
    <w:basedOn w:val="Normal"/>
    <w:uiPriority w:val="1"/>
    <w:qFormat/>
    <w:rsid w:val="00486B2B"/>
    <w:pPr>
      <w:spacing w:after="0" w:line="240" w:lineRule="auto"/>
    </w:pPr>
  </w:style>
  <w:style w:type="character" w:customStyle="1" w:styleId="MediumGrid13">
    <w:name w:val="Medium Grid 13"/>
    <w:uiPriority w:val="99"/>
    <w:semiHidden/>
    <w:rsid w:val="00486B2B"/>
    <w:rPr>
      <w:color w:val="808080"/>
    </w:rPr>
  </w:style>
  <w:style w:type="paragraph" w:customStyle="1" w:styleId="TOCHeading2">
    <w:name w:val="TOC Heading2"/>
    <w:basedOn w:val="Heading1"/>
    <w:next w:val="Normal"/>
    <w:uiPriority w:val="39"/>
    <w:semiHidden/>
    <w:unhideWhenUsed/>
    <w:qFormat/>
    <w:rsid w:val="00486B2B"/>
    <w:pPr>
      <w:keepNext/>
      <w:keepLines/>
      <w:spacing w:before="400"/>
      <w:outlineLvl w:val="9"/>
    </w:pPr>
    <w:rPr>
      <w:rFonts w:ascii="Calibri Light" w:eastAsia="Times New Roman" w:hAnsi="Calibri Light"/>
      <w:b w:val="0"/>
      <w:color w:val="1F4E79"/>
      <w:spacing w:val="0"/>
      <w:sz w:val="36"/>
      <w:szCs w:val="36"/>
    </w:rPr>
  </w:style>
  <w:style w:type="character" w:customStyle="1" w:styleId="BookTitle1">
    <w:name w:val="Book Title1"/>
    <w:uiPriority w:val="33"/>
    <w:qFormat/>
    <w:rsid w:val="00B05E67"/>
    <w:rPr>
      <w:rFonts w:ascii="Franklin Gothic Book" w:hAnsi="Franklin Gothic Book" w:cs="Times New Roman"/>
      <w:i/>
      <w:color w:val="8D6974"/>
      <w:sz w:val="20"/>
      <w:szCs w:val="20"/>
    </w:rPr>
  </w:style>
  <w:style w:type="character" w:customStyle="1" w:styleId="IntenseEmphasis1">
    <w:name w:val="Intense Emphasis1"/>
    <w:uiPriority w:val="21"/>
    <w:qFormat/>
    <w:rsid w:val="00B05E67"/>
    <w:rPr>
      <w:rFonts w:ascii="Perpetua" w:hAnsi="Perpetua" w:cs="Times New Roman"/>
      <w:b/>
      <w:i/>
      <w:smallCaps/>
      <w:color w:val="A7B789"/>
      <w:spacing w:val="2"/>
      <w:w w:val="100"/>
      <w:sz w:val="20"/>
      <w:szCs w:val="20"/>
    </w:rPr>
  </w:style>
  <w:style w:type="character" w:customStyle="1" w:styleId="IntenseReference1">
    <w:name w:val="Intense Reference1"/>
    <w:uiPriority w:val="32"/>
    <w:qFormat/>
    <w:rsid w:val="00B05E67"/>
    <w:rPr>
      <w:rFonts w:cs="Times New Roman"/>
      <w:b/>
      <w:color w:val="6F6F74"/>
      <w:sz w:val="22"/>
      <w:szCs w:val="20"/>
      <w:u w:val="single"/>
    </w:rPr>
  </w:style>
  <w:style w:type="character" w:customStyle="1" w:styleId="SubtleEmphasis1">
    <w:name w:val="Subtle Emphasis1"/>
    <w:uiPriority w:val="19"/>
    <w:qFormat/>
    <w:rsid w:val="00B05E67"/>
    <w:rPr>
      <w:rFonts w:ascii="Perpetua" w:hAnsi="Perpetua" w:cs="Times New Roman"/>
      <w:i/>
      <w:color w:val="737373"/>
      <w:spacing w:val="2"/>
      <w:w w:val="100"/>
      <w:kern w:val="0"/>
      <w:sz w:val="22"/>
      <w:szCs w:val="24"/>
    </w:rPr>
  </w:style>
  <w:style w:type="character" w:customStyle="1" w:styleId="SubtleReference1">
    <w:name w:val="Subtle Reference1"/>
    <w:uiPriority w:val="31"/>
    <w:qFormat/>
    <w:rsid w:val="00B05E67"/>
    <w:rPr>
      <w:rFonts w:cs="Times New Roman"/>
      <w:color w:val="737373"/>
      <w:sz w:val="22"/>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40980">
      <w:bodyDiv w:val="1"/>
      <w:marLeft w:val="0"/>
      <w:marRight w:val="0"/>
      <w:marTop w:val="0"/>
      <w:marBottom w:val="0"/>
      <w:divBdr>
        <w:top w:val="none" w:sz="0" w:space="0" w:color="auto"/>
        <w:left w:val="none" w:sz="0" w:space="0" w:color="auto"/>
        <w:bottom w:val="none" w:sz="0" w:space="0" w:color="auto"/>
        <w:right w:val="none" w:sz="0" w:space="0" w:color="auto"/>
      </w:divBdr>
    </w:div>
    <w:div w:id="174809323">
      <w:bodyDiv w:val="1"/>
      <w:marLeft w:val="0"/>
      <w:marRight w:val="0"/>
      <w:marTop w:val="0"/>
      <w:marBottom w:val="0"/>
      <w:divBdr>
        <w:top w:val="none" w:sz="0" w:space="0" w:color="auto"/>
        <w:left w:val="none" w:sz="0" w:space="0" w:color="auto"/>
        <w:bottom w:val="none" w:sz="0" w:space="0" w:color="auto"/>
        <w:right w:val="none" w:sz="0" w:space="0" w:color="auto"/>
      </w:divBdr>
    </w:div>
    <w:div w:id="215704404">
      <w:bodyDiv w:val="1"/>
      <w:marLeft w:val="0"/>
      <w:marRight w:val="0"/>
      <w:marTop w:val="0"/>
      <w:marBottom w:val="0"/>
      <w:divBdr>
        <w:top w:val="none" w:sz="0" w:space="0" w:color="auto"/>
        <w:left w:val="none" w:sz="0" w:space="0" w:color="auto"/>
        <w:bottom w:val="none" w:sz="0" w:space="0" w:color="auto"/>
        <w:right w:val="none" w:sz="0" w:space="0" w:color="auto"/>
      </w:divBdr>
      <w:divsChild>
        <w:div w:id="1133981222">
          <w:marLeft w:val="274"/>
          <w:marRight w:val="0"/>
          <w:marTop w:val="0"/>
          <w:marBottom w:val="0"/>
          <w:divBdr>
            <w:top w:val="none" w:sz="0" w:space="0" w:color="auto"/>
            <w:left w:val="none" w:sz="0" w:space="0" w:color="auto"/>
            <w:bottom w:val="none" w:sz="0" w:space="0" w:color="auto"/>
            <w:right w:val="none" w:sz="0" w:space="0" w:color="auto"/>
          </w:divBdr>
        </w:div>
        <w:div w:id="2040429975">
          <w:marLeft w:val="274"/>
          <w:marRight w:val="0"/>
          <w:marTop w:val="0"/>
          <w:marBottom w:val="0"/>
          <w:divBdr>
            <w:top w:val="none" w:sz="0" w:space="0" w:color="auto"/>
            <w:left w:val="none" w:sz="0" w:space="0" w:color="auto"/>
            <w:bottom w:val="none" w:sz="0" w:space="0" w:color="auto"/>
            <w:right w:val="none" w:sz="0" w:space="0" w:color="auto"/>
          </w:divBdr>
        </w:div>
      </w:divsChild>
    </w:div>
    <w:div w:id="286159021">
      <w:bodyDiv w:val="1"/>
      <w:marLeft w:val="0"/>
      <w:marRight w:val="0"/>
      <w:marTop w:val="0"/>
      <w:marBottom w:val="0"/>
      <w:divBdr>
        <w:top w:val="none" w:sz="0" w:space="0" w:color="auto"/>
        <w:left w:val="none" w:sz="0" w:space="0" w:color="auto"/>
        <w:bottom w:val="none" w:sz="0" w:space="0" w:color="auto"/>
        <w:right w:val="none" w:sz="0" w:space="0" w:color="auto"/>
      </w:divBdr>
    </w:div>
    <w:div w:id="410782213">
      <w:bodyDiv w:val="1"/>
      <w:marLeft w:val="0"/>
      <w:marRight w:val="0"/>
      <w:marTop w:val="0"/>
      <w:marBottom w:val="0"/>
      <w:divBdr>
        <w:top w:val="none" w:sz="0" w:space="0" w:color="auto"/>
        <w:left w:val="none" w:sz="0" w:space="0" w:color="auto"/>
        <w:bottom w:val="none" w:sz="0" w:space="0" w:color="auto"/>
        <w:right w:val="none" w:sz="0" w:space="0" w:color="auto"/>
      </w:divBdr>
    </w:div>
    <w:div w:id="471869693">
      <w:bodyDiv w:val="1"/>
      <w:marLeft w:val="0"/>
      <w:marRight w:val="0"/>
      <w:marTop w:val="0"/>
      <w:marBottom w:val="0"/>
      <w:divBdr>
        <w:top w:val="none" w:sz="0" w:space="0" w:color="auto"/>
        <w:left w:val="none" w:sz="0" w:space="0" w:color="auto"/>
        <w:bottom w:val="none" w:sz="0" w:space="0" w:color="auto"/>
        <w:right w:val="none" w:sz="0" w:space="0" w:color="auto"/>
      </w:divBdr>
    </w:div>
    <w:div w:id="489253202">
      <w:bodyDiv w:val="1"/>
      <w:marLeft w:val="0"/>
      <w:marRight w:val="0"/>
      <w:marTop w:val="0"/>
      <w:marBottom w:val="0"/>
      <w:divBdr>
        <w:top w:val="none" w:sz="0" w:space="0" w:color="auto"/>
        <w:left w:val="none" w:sz="0" w:space="0" w:color="auto"/>
        <w:bottom w:val="none" w:sz="0" w:space="0" w:color="auto"/>
        <w:right w:val="none" w:sz="0" w:space="0" w:color="auto"/>
      </w:divBdr>
    </w:div>
    <w:div w:id="756554775">
      <w:bodyDiv w:val="1"/>
      <w:marLeft w:val="0"/>
      <w:marRight w:val="0"/>
      <w:marTop w:val="0"/>
      <w:marBottom w:val="0"/>
      <w:divBdr>
        <w:top w:val="none" w:sz="0" w:space="0" w:color="auto"/>
        <w:left w:val="none" w:sz="0" w:space="0" w:color="auto"/>
        <w:bottom w:val="none" w:sz="0" w:space="0" w:color="auto"/>
        <w:right w:val="none" w:sz="0" w:space="0" w:color="auto"/>
      </w:divBdr>
    </w:div>
    <w:div w:id="830607236">
      <w:bodyDiv w:val="1"/>
      <w:marLeft w:val="0"/>
      <w:marRight w:val="0"/>
      <w:marTop w:val="0"/>
      <w:marBottom w:val="0"/>
      <w:divBdr>
        <w:top w:val="none" w:sz="0" w:space="0" w:color="auto"/>
        <w:left w:val="none" w:sz="0" w:space="0" w:color="auto"/>
        <w:bottom w:val="none" w:sz="0" w:space="0" w:color="auto"/>
        <w:right w:val="none" w:sz="0" w:space="0" w:color="auto"/>
      </w:divBdr>
    </w:div>
    <w:div w:id="837770486">
      <w:bodyDiv w:val="1"/>
      <w:marLeft w:val="0"/>
      <w:marRight w:val="0"/>
      <w:marTop w:val="0"/>
      <w:marBottom w:val="0"/>
      <w:divBdr>
        <w:top w:val="none" w:sz="0" w:space="0" w:color="auto"/>
        <w:left w:val="none" w:sz="0" w:space="0" w:color="auto"/>
        <w:bottom w:val="none" w:sz="0" w:space="0" w:color="auto"/>
        <w:right w:val="none" w:sz="0" w:space="0" w:color="auto"/>
      </w:divBdr>
    </w:div>
    <w:div w:id="867110184">
      <w:bodyDiv w:val="1"/>
      <w:marLeft w:val="0"/>
      <w:marRight w:val="0"/>
      <w:marTop w:val="0"/>
      <w:marBottom w:val="0"/>
      <w:divBdr>
        <w:top w:val="none" w:sz="0" w:space="0" w:color="auto"/>
        <w:left w:val="none" w:sz="0" w:space="0" w:color="auto"/>
        <w:bottom w:val="none" w:sz="0" w:space="0" w:color="auto"/>
        <w:right w:val="none" w:sz="0" w:space="0" w:color="auto"/>
      </w:divBdr>
    </w:div>
    <w:div w:id="908729480">
      <w:bodyDiv w:val="1"/>
      <w:marLeft w:val="0"/>
      <w:marRight w:val="0"/>
      <w:marTop w:val="0"/>
      <w:marBottom w:val="0"/>
      <w:divBdr>
        <w:top w:val="none" w:sz="0" w:space="0" w:color="auto"/>
        <w:left w:val="none" w:sz="0" w:space="0" w:color="auto"/>
        <w:bottom w:val="none" w:sz="0" w:space="0" w:color="auto"/>
        <w:right w:val="none" w:sz="0" w:space="0" w:color="auto"/>
      </w:divBdr>
    </w:div>
    <w:div w:id="918443097">
      <w:bodyDiv w:val="1"/>
      <w:marLeft w:val="0"/>
      <w:marRight w:val="0"/>
      <w:marTop w:val="0"/>
      <w:marBottom w:val="0"/>
      <w:divBdr>
        <w:top w:val="none" w:sz="0" w:space="0" w:color="auto"/>
        <w:left w:val="none" w:sz="0" w:space="0" w:color="auto"/>
        <w:bottom w:val="none" w:sz="0" w:space="0" w:color="auto"/>
        <w:right w:val="none" w:sz="0" w:space="0" w:color="auto"/>
      </w:divBdr>
    </w:div>
    <w:div w:id="1084692362">
      <w:bodyDiv w:val="1"/>
      <w:marLeft w:val="0"/>
      <w:marRight w:val="0"/>
      <w:marTop w:val="0"/>
      <w:marBottom w:val="0"/>
      <w:divBdr>
        <w:top w:val="none" w:sz="0" w:space="0" w:color="auto"/>
        <w:left w:val="none" w:sz="0" w:space="0" w:color="auto"/>
        <w:bottom w:val="none" w:sz="0" w:space="0" w:color="auto"/>
        <w:right w:val="none" w:sz="0" w:space="0" w:color="auto"/>
      </w:divBdr>
    </w:div>
    <w:div w:id="1090809212">
      <w:bodyDiv w:val="1"/>
      <w:marLeft w:val="0"/>
      <w:marRight w:val="0"/>
      <w:marTop w:val="0"/>
      <w:marBottom w:val="0"/>
      <w:divBdr>
        <w:top w:val="none" w:sz="0" w:space="0" w:color="auto"/>
        <w:left w:val="none" w:sz="0" w:space="0" w:color="auto"/>
        <w:bottom w:val="none" w:sz="0" w:space="0" w:color="auto"/>
        <w:right w:val="none" w:sz="0" w:space="0" w:color="auto"/>
      </w:divBdr>
    </w:div>
    <w:div w:id="1142118758">
      <w:bodyDiv w:val="1"/>
      <w:marLeft w:val="0"/>
      <w:marRight w:val="0"/>
      <w:marTop w:val="0"/>
      <w:marBottom w:val="0"/>
      <w:divBdr>
        <w:top w:val="none" w:sz="0" w:space="0" w:color="auto"/>
        <w:left w:val="none" w:sz="0" w:space="0" w:color="auto"/>
        <w:bottom w:val="none" w:sz="0" w:space="0" w:color="auto"/>
        <w:right w:val="none" w:sz="0" w:space="0" w:color="auto"/>
      </w:divBdr>
      <w:divsChild>
        <w:div w:id="1665544798">
          <w:marLeft w:val="547"/>
          <w:marRight w:val="0"/>
          <w:marTop w:val="0"/>
          <w:marBottom w:val="0"/>
          <w:divBdr>
            <w:top w:val="none" w:sz="0" w:space="0" w:color="auto"/>
            <w:left w:val="none" w:sz="0" w:space="0" w:color="auto"/>
            <w:bottom w:val="none" w:sz="0" w:space="0" w:color="auto"/>
            <w:right w:val="none" w:sz="0" w:space="0" w:color="auto"/>
          </w:divBdr>
        </w:div>
      </w:divsChild>
    </w:div>
    <w:div w:id="1194147066">
      <w:bodyDiv w:val="1"/>
      <w:marLeft w:val="0"/>
      <w:marRight w:val="0"/>
      <w:marTop w:val="0"/>
      <w:marBottom w:val="0"/>
      <w:divBdr>
        <w:top w:val="none" w:sz="0" w:space="0" w:color="auto"/>
        <w:left w:val="none" w:sz="0" w:space="0" w:color="auto"/>
        <w:bottom w:val="none" w:sz="0" w:space="0" w:color="auto"/>
        <w:right w:val="none" w:sz="0" w:space="0" w:color="auto"/>
      </w:divBdr>
    </w:div>
    <w:div w:id="1227642793">
      <w:bodyDiv w:val="1"/>
      <w:marLeft w:val="0"/>
      <w:marRight w:val="0"/>
      <w:marTop w:val="0"/>
      <w:marBottom w:val="0"/>
      <w:divBdr>
        <w:top w:val="none" w:sz="0" w:space="0" w:color="auto"/>
        <w:left w:val="none" w:sz="0" w:space="0" w:color="auto"/>
        <w:bottom w:val="none" w:sz="0" w:space="0" w:color="auto"/>
        <w:right w:val="none" w:sz="0" w:space="0" w:color="auto"/>
      </w:divBdr>
    </w:div>
    <w:div w:id="1348286264">
      <w:bodyDiv w:val="1"/>
      <w:marLeft w:val="0"/>
      <w:marRight w:val="0"/>
      <w:marTop w:val="0"/>
      <w:marBottom w:val="0"/>
      <w:divBdr>
        <w:top w:val="none" w:sz="0" w:space="0" w:color="auto"/>
        <w:left w:val="none" w:sz="0" w:space="0" w:color="auto"/>
        <w:bottom w:val="none" w:sz="0" w:space="0" w:color="auto"/>
        <w:right w:val="none" w:sz="0" w:space="0" w:color="auto"/>
      </w:divBdr>
      <w:divsChild>
        <w:div w:id="190462532">
          <w:marLeft w:val="547"/>
          <w:marRight w:val="0"/>
          <w:marTop w:val="0"/>
          <w:marBottom w:val="0"/>
          <w:divBdr>
            <w:top w:val="none" w:sz="0" w:space="0" w:color="auto"/>
            <w:left w:val="none" w:sz="0" w:space="0" w:color="auto"/>
            <w:bottom w:val="none" w:sz="0" w:space="0" w:color="auto"/>
            <w:right w:val="none" w:sz="0" w:space="0" w:color="auto"/>
          </w:divBdr>
        </w:div>
      </w:divsChild>
    </w:div>
    <w:div w:id="1357387074">
      <w:bodyDiv w:val="1"/>
      <w:marLeft w:val="0"/>
      <w:marRight w:val="0"/>
      <w:marTop w:val="0"/>
      <w:marBottom w:val="0"/>
      <w:divBdr>
        <w:top w:val="none" w:sz="0" w:space="0" w:color="auto"/>
        <w:left w:val="none" w:sz="0" w:space="0" w:color="auto"/>
        <w:bottom w:val="none" w:sz="0" w:space="0" w:color="auto"/>
        <w:right w:val="none" w:sz="0" w:space="0" w:color="auto"/>
      </w:divBdr>
    </w:div>
    <w:div w:id="1427000306">
      <w:bodyDiv w:val="1"/>
      <w:marLeft w:val="0"/>
      <w:marRight w:val="0"/>
      <w:marTop w:val="0"/>
      <w:marBottom w:val="0"/>
      <w:divBdr>
        <w:top w:val="none" w:sz="0" w:space="0" w:color="auto"/>
        <w:left w:val="none" w:sz="0" w:space="0" w:color="auto"/>
        <w:bottom w:val="none" w:sz="0" w:space="0" w:color="auto"/>
        <w:right w:val="none" w:sz="0" w:space="0" w:color="auto"/>
      </w:divBdr>
    </w:div>
    <w:div w:id="1427379767">
      <w:bodyDiv w:val="1"/>
      <w:marLeft w:val="0"/>
      <w:marRight w:val="0"/>
      <w:marTop w:val="0"/>
      <w:marBottom w:val="0"/>
      <w:divBdr>
        <w:top w:val="none" w:sz="0" w:space="0" w:color="auto"/>
        <w:left w:val="none" w:sz="0" w:space="0" w:color="auto"/>
        <w:bottom w:val="none" w:sz="0" w:space="0" w:color="auto"/>
        <w:right w:val="none" w:sz="0" w:space="0" w:color="auto"/>
      </w:divBdr>
    </w:div>
    <w:div w:id="1500734750">
      <w:bodyDiv w:val="1"/>
      <w:marLeft w:val="0"/>
      <w:marRight w:val="0"/>
      <w:marTop w:val="0"/>
      <w:marBottom w:val="0"/>
      <w:divBdr>
        <w:top w:val="none" w:sz="0" w:space="0" w:color="auto"/>
        <w:left w:val="none" w:sz="0" w:space="0" w:color="auto"/>
        <w:bottom w:val="none" w:sz="0" w:space="0" w:color="auto"/>
        <w:right w:val="none" w:sz="0" w:space="0" w:color="auto"/>
      </w:divBdr>
    </w:div>
    <w:div w:id="1524396354">
      <w:bodyDiv w:val="1"/>
      <w:marLeft w:val="0"/>
      <w:marRight w:val="0"/>
      <w:marTop w:val="0"/>
      <w:marBottom w:val="0"/>
      <w:divBdr>
        <w:top w:val="none" w:sz="0" w:space="0" w:color="auto"/>
        <w:left w:val="none" w:sz="0" w:space="0" w:color="auto"/>
        <w:bottom w:val="none" w:sz="0" w:space="0" w:color="auto"/>
        <w:right w:val="none" w:sz="0" w:space="0" w:color="auto"/>
      </w:divBdr>
    </w:div>
    <w:div w:id="1597713169">
      <w:bodyDiv w:val="1"/>
      <w:marLeft w:val="0"/>
      <w:marRight w:val="0"/>
      <w:marTop w:val="0"/>
      <w:marBottom w:val="0"/>
      <w:divBdr>
        <w:top w:val="none" w:sz="0" w:space="0" w:color="auto"/>
        <w:left w:val="none" w:sz="0" w:space="0" w:color="auto"/>
        <w:bottom w:val="none" w:sz="0" w:space="0" w:color="auto"/>
        <w:right w:val="none" w:sz="0" w:space="0" w:color="auto"/>
      </w:divBdr>
    </w:div>
    <w:div w:id="1629161060">
      <w:bodyDiv w:val="1"/>
      <w:marLeft w:val="0"/>
      <w:marRight w:val="0"/>
      <w:marTop w:val="0"/>
      <w:marBottom w:val="0"/>
      <w:divBdr>
        <w:top w:val="none" w:sz="0" w:space="0" w:color="auto"/>
        <w:left w:val="none" w:sz="0" w:space="0" w:color="auto"/>
        <w:bottom w:val="none" w:sz="0" w:space="0" w:color="auto"/>
        <w:right w:val="none" w:sz="0" w:space="0" w:color="auto"/>
      </w:divBdr>
    </w:div>
    <w:div w:id="1638216235">
      <w:bodyDiv w:val="1"/>
      <w:marLeft w:val="0"/>
      <w:marRight w:val="0"/>
      <w:marTop w:val="0"/>
      <w:marBottom w:val="0"/>
      <w:divBdr>
        <w:top w:val="none" w:sz="0" w:space="0" w:color="auto"/>
        <w:left w:val="none" w:sz="0" w:space="0" w:color="auto"/>
        <w:bottom w:val="none" w:sz="0" w:space="0" w:color="auto"/>
        <w:right w:val="none" w:sz="0" w:space="0" w:color="auto"/>
      </w:divBdr>
      <w:divsChild>
        <w:div w:id="461466093">
          <w:marLeft w:val="720"/>
          <w:marRight w:val="0"/>
          <w:marTop w:val="0"/>
          <w:marBottom w:val="200"/>
          <w:divBdr>
            <w:top w:val="none" w:sz="0" w:space="0" w:color="auto"/>
            <w:left w:val="none" w:sz="0" w:space="0" w:color="auto"/>
            <w:bottom w:val="none" w:sz="0" w:space="0" w:color="auto"/>
            <w:right w:val="none" w:sz="0" w:space="0" w:color="auto"/>
          </w:divBdr>
        </w:div>
        <w:div w:id="1431580909">
          <w:marLeft w:val="720"/>
          <w:marRight w:val="0"/>
          <w:marTop w:val="0"/>
          <w:marBottom w:val="200"/>
          <w:divBdr>
            <w:top w:val="none" w:sz="0" w:space="0" w:color="auto"/>
            <w:left w:val="none" w:sz="0" w:space="0" w:color="auto"/>
            <w:bottom w:val="none" w:sz="0" w:space="0" w:color="auto"/>
            <w:right w:val="none" w:sz="0" w:space="0" w:color="auto"/>
          </w:divBdr>
        </w:div>
        <w:div w:id="1451897195">
          <w:marLeft w:val="720"/>
          <w:marRight w:val="0"/>
          <w:marTop w:val="0"/>
          <w:marBottom w:val="200"/>
          <w:divBdr>
            <w:top w:val="none" w:sz="0" w:space="0" w:color="auto"/>
            <w:left w:val="none" w:sz="0" w:space="0" w:color="auto"/>
            <w:bottom w:val="none" w:sz="0" w:space="0" w:color="auto"/>
            <w:right w:val="none" w:sz="0" w:space="0" w:color="auto"/>
          </w:divBdr>
        </w:div>
      </w:divsChild>
    </w:div>
    <w:div w:id="1946885126">
      <w:bodyDiv w:val="1"/>
      <w:marLeft w:val="0"/>
      <w:marRight w:val="0"/>
      <w:marTop w:val="0"/>
      <w:marBottom w:val="0"/>
      <w:divBdr>
        <w:top w:val="none" w:sz="0" w:space="0" w:color="auto"/>
        <w:left w:val="none" w:sz="0" w:space="0" w:color="auto"/>
        <w:bottom w:val="none" w:sz="0" w:space="0" w:color="auto"/>
        <w:right w:val="none" w:sz="0" w:space="0" w:color="auto"/>
      </w:divBdr>
    </w:div>
    <w:div w:id="1963150438">
      <w:bodyDiv w:val="1"/>
      <w:marLeft w:val="0"/>
      <w:marRight w:val="0"/>
      <w:marTop w:val="0"/>
      <w:marBottom w:val="0"/>
      <w:divBdr>
        <w:top w:val="none" w:sz="0" w:space="0" w:color="auto"/>
        <w:left w:val="none" w:sz="0" w:space="0" w:color="auto"/>
        <w:bottom w:val="none" w:sz="0" w:space="0" w:color="auto"/>
        <w:right w:val="none" w:sz="0" w:space="0" w:color="auto"/>
      </w:divBdr>
      <w:divsChild>
        <w:div w:id="1106731521">
          <w:marLeft w:val="274"/>
          <w:marRight w:val="0"/>
          <w:marTop w:val="0"/>
          <w:marBottom w:val="0"/>
          <w:divBdr>
            <w:top w:val="none" w:sz="0" w:space="0" w:color="auto"/>
            <w:left w:val="none" w:sz="0" w:space="0" w:color="auto"/>
            <w:bottom w:val="none" w:sz="0" w:space="0" w:color="auto"/>
            <w:right w:val="none" w:sz="0" w:space="0" w:color="auto"/>
          </w:divBdr>
        </w:div>
        <w:div w:id="2126843745">
          <w:marLeft w:val="274"/>
          <w:marRight w:val="0"/>
          <w:marTop w:val="0"/>
          <w:marBottom w:val="0"/>
          <w:divBdr>
            <w:top w:val="none" w:sz="0" w:space="0" w:color="auto"/>
            <w:left w:val="none" w:sz="0" w:space="0" w:color="auto"/>
            <w:bottom w:val="none" w:sz="0" w:space="0" w:color="auto"/>
            <w:right w:val="none" w:sz="0" w:space="0" w:color="auto"/>
          </w:divBdr>
        </w:div>
      </w:divsChild>
    </w:div>
    <w:div w:id="2006591281">
      <w:bodyDiv w:val="1"/>
      <w:marLeft w:val="0"/>
      <w:marRight w:val="0"/>
      <w:marTop w:val="0"/>
      <w:marBottom w:val="0"/>
      <w:divBdr>
        <w:top w:val="none" w:sz="0" w:space="0" w:color="auto"/>
        <w:left w:val="none" w:sz="0" w:space="0" w:color="auto"/>
        <w:bottom w:val="none" w:sz="0" w:space="0" w:color="auto"/>
        <w:right w:val="none" w:sz="0" w:space="0" w:color="auto"/>
      </w:divBdr>
    </w:div>
    <w:div w:id="2051608389">
      <w:bodyDiv w:val="1"/>
      <w:marLeft w:val="0"/>
      <w:marRight w:val="0"/>
      <w:marTop w:val="0"/>
      <w:marBottom w:val="0"/>
      <w:divBdr>
        <w:top w:val="none" w:sz="0" w:space="0" w:color="auto"/>
        <w:left w:val="none" w:sz="0" w:space="0" w:color="auto"/>
        <w:bottom w:val="none" w:sz="0" w:space="0" w:color="auto"/>
        <w:right w:val="none" w:sz="0" w:space="0" w:color="auto"/>
      </w:divBdr>
      <w:divsChild>
        <w:div w:id="202641497">
          <w:marLeft w:val="1008"/>
          <w:marRight w:val="0"/>
          <w:marTop w:val="0"/>
          <w:marBottom w:val="0"/>
          <w:divBdr>
            <w:top w:val="none" w:sz="0" w:space="0" w:color="auto"/>
            <w:left w:val="none" w:sz="0" w:space="0" w:color="auto"/>
            <w:bottom w:val="none" w:sz="0" w:space="0" w:color="auto"/>
            <w:right w:val="none" w:sz="0" w:space="0" w:color="auto"/>
          </w:divBdr>
        </w:div>
        <w:div w:id="1015307273">
          <w:marLeft w:val="1008"/>
          <w:marRight w:val="0"/>
          <w:marTop w:val="0"/>
          <w:marBottom w:val="0"/>
          <w:divBdr>
            <w:top w:val="none" w:sz="0" w:space="0" w:color="auto"/>
            <w:left w:val="none" w:sz="0" w:space="0" w:color="auto"/>
            <w:bottom w:val="none" w:sz="0" w:space="0" w:color="auto"/>
            <w:right w:val="none" w:sz="0" w:space="0" w:color="auto"/>
          </w:divBdr>
        </w:div>
        <w:div w:id="1435320740">
          <w:marLeft w:val="432"/>
          <w:marRight w:val="0"/>
          <w:marTop w:val="0"/>
          <w:marBottom w:val="0"/>
          <w:divBdr>
            <w:top w:val="none" w:sz="0" w:space="0" w:color="auto"/>
            <w:left w:val="none" w:sz="0" w:space="0" w:color="auto"/>
            <w:bottom w:val="none" w:sz="0" w:space="0" w:color="auto"/>
            <w:right w:val="none" w:sz="0" w:space="0" w:color="auto"/>
          </w:divBdr>
        </w:div>
        <w:div w:id="1486626651">
          <w:marLeft w:val="432"/>
          <w:marRight w:val="0"/>
          <w:marTop w:val="0"/>
          <w:marBottom w:val="0"/>
          <w:divBdr>
            <w:top w:val="none" w:sz="0" w:space="0" w:color="auto"/>
            <w:left w:val="none" w:sz="0" w:space="0" w:color="auto"/>
            <w:bottom w:val="none" w:sz="0" w:space="0" w:color="auto"/>
            <w:right w:val="none" w:sz="0" w:space="0" w:color="auto"/>
          </w:divBdr>
        </w:div>
        <w:div w:id="1791122102">
          <w:marLeft w:val="1008"/>
          <w:marRight w:val="0"/>
          <w:marTop w:val="0"/>
          <w:marBottom w:val="0"/>
          <w:divBdr>
            <w:top w:val="none" w:sz="0" w:space="0" w:color="auto"/>
            <w:left w:val="none" w:sz="0" w:space="0" w:color="auto"/>
            <w:bottom w:val="none" w:sz="0" w:space="0" w:color="auto"/>
            <w:right w:val="none" w:sz="0" w:space="0" w:color="auto"/>
          </w:divBdr>
        </w:div>
        <w:div w:id="2107268818">
          <w:marLeft w:val="432"/>
          <w:marRight w:val="0"/>
          <w:marTop w:val="0"/>
          <w:marBottom w:val="0"/>
          <w:divBdr>
            <w:top w:val="none" w:sz="0" w:space="0" w:color="auto"/>
            <w:left w:val="none" w:sz="0" w:space="0" w:color="auto"/>
            <w:bottom w:val="none" w:sz="0" w:space="0" w:color="auto"/>
            <w:right w:val="none" w:sz="0" w:space="0" w:color="auto"/>
          </w:divBdr>
        </w:div>
      </w:divsChild>
    </w:div>
    <w:div w:id="211709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evin.Hauck@sdcounty.ca.gov" TargetMode="External"/><Relationship Id="rId117" Type="http://schemas.openxmlformats.org/officeDocument/2006/relationships/hyperlink" Target="https://www.childwelfare.gov/survey/?target=http%3A%2F%2Fwww.ocwtp.net%2FPDFs%2FReun-Reentry%2520Final%2520Report.pdf&amp;referrer=%27https://www.childwelfare.gov/topics/permanency/reunification/prev-reentry/%27" TargetMode="External"/><Relationship Id="rId21" Type="http://schemas.openxmlformats.org/officeDocument/2006/relationships/image" Target="media/image4.jpeg"/><Relationship Id="rId42" Type="http://schemas.openxmlformats.org/officeDocument/2006/relationships/image" Target="media/image14.jpeg"/><Relationship Id="rId47" Type="http://schemas.openxmlformats.org/officeDocument/2006/relationships/image" Target="media/image18.jpeg"/><Relationship Id="rId63" Type="http://schemas.openxmlformats.org/officeDocument/2006/relationships/chart" Target="charts/chart18.xml"/><Relationship Id="rId68" Type="http://schemas.openxmlformats.org/officeDocument/2006/relationships/chart" Target="charts/chart23.xml"/><Relationship Id="rId84" Type="http://schemas.openxmlformats.org/officeDocument/2006/relationships/hyperlink" Target="http://www.childsworld.ca.gov/PG1356.htm" TargetMode="External"/><Relationship Id="rId89" Type="http://schemas.openxmlformats.org/officeDocument/2006/relationships/hyperlink" Target="http://www.cssp.org/reform/child-welfare/youth-thrive/ei-profiles/Child-Wellbeing-Profile-2-27.pdf" TargetMode="External"/><Relationship Id="rId112" Type="http://schemas.openxmlformats.org/officeDocument/2006/relationships/hyperlink" Target="http://www.sphereinstitute.org/publications/Reentry_Final.pdf" TargetMode="External"/><Relationship Id="rId133" Type="http://schemas.openxmlformats.org/officeDocument/2006/relationships/hyperlink" Target="http://digitalcommons.library.tmc.edu/jfs/vol11/iss1/14" TargetMode="External"/><Relationship Id="rId138" Type="http://schemas.openxmlformats.org/officeDocument/2006/relationships/hyperlink" Target="http://www.childsworld.ca.gov/PG1356.htm" TargetMode="External"/><Relationship Id="rId154" Type="http://schemas.openxmlformats.org/officeDocument/2006/relationships/hyperlink" Target="http://academy.extensiondlc.net/file.php/1/resources/LR-ReentryReunificaton.pdf" TargetMode="External"/><Relationship Id="rId159" Type="http://schemas.openxmlformats.org/officeDocument/2006/relationships/hyperlink" Target="https://web.unlv.edu/labs/frs/Documents/FBT%20Eval%20Report.pdf" TargetMode="External"/><Relationship Id="rId175" Type="http://schemas.openxmlformats.org/officeDocument/2006/relationships/header" Target="header1.xml"/><Relationship Id="rId170" Type="http://schemas.openxmlformats.org/officeDocument/2006/relationships/hyperlink" Target="http://cascw.umn.edu/wp-content/uploads/2015/03/CW360-Winter2015.pdf" TargetMode="External"/><Relationship Id="rId16" Type="http://schemas.openxmlformats.org/officeDocument/2006/relationships/image" Target="media/image2.jpeg"/><Relationship Id="rId107" Type="http://schemas.openxmlformats.org/officeDocument/2006/relationships/hyperlink" Target="https://edocs.dhs.state.mn.us/lfserver/Public/DHS-6637A-ENG" TargetMode="External"/><Relationship Id="rId11" Type="http://schemas.openxmlformats.org/officeDocument/2006/relationships/settings" Target="settings.xml"/><Relationship Id="rId32" Type="http://schemas.openxmlformats.org/officeDocument/2006/relationships/image" Target="media/image9.jpeg"/><Relationship Id="rId37" Type="http://schemas.openxmlformats.org/officeDocument/2006/relationships/image" Target="media/image12.png"/><Relationship Id="rId53" Type="http://schemas.openxmlformats.org/officeDocument/2006/relationships/chart" Target="charts/chart8.xml"/><Relationship Id="rId58" Type="http://schemas.openxmlformats.org/officeDocument/2006/relationships/chart" Target="charts/chart13.xml"/><Relationship Id="rId74" Type="http://schemas.openxmlformats.org/officeDocument/2006/relationships/chart" Target="charts/chart29.xml"/><Relationship Id="rId79" Type="http://schemas.openxmlformats.org/officeDocument/2006/relationships/hyperlink" Target="http://www.catawbacountync.gov/dss/PW/ChildWellbeing.asp" TargetMode="External"/><Relationship Id="rId102" Type="http://schemas.openxmlformats.org/officeDocument/2006/relationships/hyperlink" Target="http://cascw.umn.edu/wp-content/uploads/2014/02/Re-entry-Report_Feb-2010_Final_rev.pdf" TargetMode="External"/><Relationship Id="rId123" Type="http://schemas.openxmlformats.org/officeDocument/2006/relationships/hyperlink" Target="http://www.fatherhoodqic.org" TargetMode="External"/><Relationship Id="rId128" Type="http://schemas.openxmlformats.org/officeDocument/2006/relationships/hyperlink" Target="http://www.americanhumane.org/assets/pdfs/children/fatherhood/pc262.pdf" TargetMode="External"/><Relationship Id="rId144" Type="http://schemas.openxmlformats.org/officeDocument/2006/relationships/hyperlink" Target="https://www.childwelfare.gov/pubPDFs/family_reunification.pdf" TargetMode="External"/><Relationship Id="rId149" Type="http://schemas.openxmlformats.org/officeDocument/2006/relationships/hyperlink" Target="https://sswr.confex.com/sswr/2015/webprogram/Paper24219.html" TargetMode="External"/><Relationship Id="rId5" Type="http://schemas.openxmlformats.org/officeDocument/2006/relationships/customXml" Target="../customXml/item5.xml"/><Relationship Id="rId90" Type="http://schemas.openxmlformats.org/officeDocument/2006/relationships/hyperlink" Target="http://www.cssp.org/reform/child-welfare/youth-thrive/ei-profiles/Child-Wellbeing-Profile-2-27.pdf" TargetMode="External"/><Relationship Id="rId95" Type="http://schemas.openxmlformats.org/officeDocument/2006/relationships/hyperlink" Target="http://www.childsworld.ca.gov/res/pdf/PreventingRe-entry.pdf" TargetMode="External"/><Relationship Id="rId160" Type="http://schemas.openxmlformats.org/officeDocument/2006/relationships/hyperlink" Target="http://www.cssp.org/publications/child-welfare/alliance/Strategies-to-Reduce-Racially-Disparate-Outcomes-in-Child-Welfare-March-2015.pdf" TargetMode="External"/><Relationship Id="rId165" Type="http://schemas.openxmlformats.org/officeDocument/2006/relationships/hyperlink" Target="http://www.courts.state.ny.us/ip/cwcip/Publications/CIPBBulletin6_11.pdf" TargetMode="External"/><Relationship Id="rId181" Type="http://schemas.openxmlformats.org/officeDocument/2006/relationships/theme" Target="theme/theme1.xml"/><Relationship Id="rId22" Type="http://schemas.openxmlformats.org/officeDocument/2006/relationships/image" Target="media/image7.jpeg"/><Relationship Id="rId27" Type="http://schemas.openxmlformats.org/officeDocument/2006/relationships/hyperlink" Target="mailto:Kevin.Hauck@sdcounty.ca.gov" TargetMode="External"/><Relationship Id="rId43" Type="http://schemas.openxmlformats.org/officeDocument/2006/relationships/image" Target="media/image16.jpeg"/><Relationship Id="rId48" Type="http://schemas.openxmlformats.org/officeDocument/2006/relationships/chart" Target="charts/chart3.xml"/><Relationship Id="rId64" Type="http://schemas.openxmlformats.org/officeDocument/2006/relationships/chart" Target="charts/chart19.xml"/><Relationship Id="rId69" Type="http://schemas.openxmlformats.org/officeDocument/2006/relationships/chart" Target="charts/chart24.xml"/><Relationship Id="rId113" Type="http://schemas.openxmlformats.org/officeDocument/2006/relationships/hyperlink" Target="http://www.sphereinstitute.org/publications/Reentry_Final.pdf" TargetMode="External"/><Relationship Id="rId118" Type="http://schemas.openxmlformats.org/officeDocument/2006/relationships/hyperlink" Target="http://www.ocwtp.net/pdfs/reun-reentry%20final%20report.pdf" TargetMode="External"/><Relationship Id="rId134" Type="http://schemas.openxmlformats.org/officeDocument/2006/relationships/hyperlink" Target="http://digitalcommons.library.tmc.edu/jfs/vol11/iss1/14" TargetMode="External"/><Relationship Id="rId139" Type="http://schemas.openxmlformats.org/officeDocument/2006/relationships/hyperlink" Target="http://www.casey.org/media/TimelyPermanency.pdf" TargetMode="External"/><Relationship Id="rId80" Type="http://schemas.openxmlformats.org/officeDocument/2006/relationships/hyperlink" Target="http://www.catawbacountync.gov/dss/PW/ChildWellbeing.asp" TargetMode="External"/><Relationship Id="rId85" Type="http://schemas.openxmlformats.org/officeDocument/2006/relationships/hyperlink" Target="http://www.childsworld.ca.gov/PG1356.htm" TargetMode="External"/><Relationship Id="rId150" Type="http://schemas.openxmlformats.org/officeDocument/2006/relationships/hyperlink" Target="https://sswr.confex.com/sswr/2015/webprogram/Paper24219.html" TargetMode="External"/><Relationship Id="rId155" Type="http://schemas.openxmlformats.org/officeDocument/2006/relationships/hyperlink" Target="http://academy.extensiondlc.net/file.php/1/resources/LR-ReentryReunificaton.pdf" TargetMode="External"/><Relationship Id="rId171" Type="http://schemas.openxmlformats.org/officeDocument/2006/relationships/hyperlink" Target="http://cascw.umn.edu/wp-content/uploads/2015/03/CW360-Winter2015.pdf" TargetMode="External"/><Relationship Id="rId176" Type="http://schemas.openxmlformats.org/officeDocument/2006/relationships/header" Target="header2.xml"/><Relationship Id="rId12" Type="http://schemas.openxmlformats.org/officeDocument/2006/relationships/webSettings" Target="webSettings.xml"/><Relationship Id="rId17" Type="http://schemas.openxmlformats.org/officeDocument/2006/relationships/image" Target="media/image3.png"/><Relationship Id="rId33" Type="http://schemas.openxmlformats.org/officeDocument/2006/relationships/hyperlink" Target="http://211sandiego.org/grandparents" TargetMode="External"/><Relationship Id="rId38" Type="http://schemas.openxmlformats.org/officeDocument/2006/relationships/chart" Target="charts/chart1.xml"/><Relationship Id="rId59" Type="http://schemas.openxmlformats.org/officeDocument/2006/relationships/chart" Target="charts/chart14.xml"/><Relationship Id="rId103" Type="http://schemas.openxmlformats.org/officeDocument/2006/relationships/hyperlink" Target="http://cssr.berkeley.edu/bassc/cases/2005/McGhee.pdf" TargetMode="External"/><Relationship Id="rId108" Type="http://schemas.openxmlformats.org/officeDocument/2006/relationships/hyperlink" Target="https://edocs.dhs.state.mn.us/lfserver/Public/DHS-6637A-ENG" TargetMode="External"/><Relationship Id="rId124" Type="http://schemas.openxmlformats.org/officeDocument/2006/relationships/hyperlink" Target="https://www.childwelfare.gov/topics/famcentered/engaging/fathers/" TargetMode="External"/><Relationship Id="rId129" Type="http://schemas.openxmlformats.org/officeDocument/2006/relationships/hyperlink" Target="http://www.americanhumane.org/assets/pdfs/children/fatherhood/pc262.pdf" TargetMode="External"/><Relationship Id="rId54" Type="http://schemas.openxmlformats.org/officeDocument/2006/relationships/chart" Target="charts/chart9.xml"/><Relationship Id="rId70" Type="http://schemas.openxmlformats.org/officeDocument/2006/relationships/chart" Target="charts/chart25.xml"/><Relationship Id="rId75" Type="http://schemas.openxmlformats.org/officeDocument/2006/relationships/chart" Target="charts/chart30.xml"/><Relationship Id="rId91" Type="http://schemas.openxmlformats.org/officeDocument/2006/relationships/hyperlink" Target="http://www.childwelfare.gov/pubPDFs/srpr.pdf" TargetMode="External"/><Relationship Id="rId96" Type="http://schemas.openxmlformats.org/officeDocument/2006/relationships/hyperlink" Target="http://www.childsworld.ca.gov/res/pdf/PreventingRe-entry.pdf" TargetMode="External"/><Relationship Id="rId140" Type="http://schemas.openxmlformats.org/officeDocument/2006/relationships/hyperlink" Target="http://www.casey.org/media/TimelyPermanency.pdf" TargetMode="External"/><Relationship Id="rId145" Type="http://schemas.openxmlformats.org/officeDocument/2006/relationships/hyperlink" Target="http://www.childwelfare.gov/pubPDFs/srpr.pdf" TargetMode="External"/><Relationship Id="rId161" Type="http://schemas.openxmlformats.org/officeDocument/2006/relationships/hyperlink" Target="http://www.cssp.org/publications/child-welfare/alliance/Strategies-to-Reduce-Racially-Disparate-Outcomes-in-Child-Welfare-March-2015.pdf" TargetMode="External"/><Relationship Id="rId166" Type="http://schemas.openxmlformats.org/officeDocument/2006/relationships/hyperlink" Target="https://crcc.usc.edu/files/2015/02/childwelfare.pdf"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mailto:Kimberly.Giardina@sdcounty.ca.gov" TargetMode="External"/><Relationship Id="rId28" Type="http://schemas.openxmlformats.org/officeDocument/2006/relationships/hyperlink" Target="mailto:Kevin.Hauck@sdcounty.ca.gov" TargetMode="External"/><Relationship Id="rId49" Type="http://schemas.openxmlformats.org/officeDocument/2006/relationships/chart" Target="charts/chart4.xml"/><Relationship Id="rId114" Type="http://schemas.openxmlformats.org/officeDocument/2006/relationships/hyperlink" Target="http://www.uiowa.edu/nrcihs/files/nrcihs/files/In-Home%20Services%20and%20EBP%20registries.pdf" TargetMode="External"/><Relationship Id="rId119" Type="http://schemas.openxmlformats.org/officeDocument/2006/relationships/hyperlink" Target="http://www.cebc4cw.org/" TargetMode="External"/><Relationship Id="rId44" Type="http://schemas.openxmlformats.org/officeDocument/2006/relationships/image" Target="media/image15.jpeg"/><Relationship Id="rId60" Type="http://schemas.openxmlformats.org/officeDocument/2006/relationships/chart" Target="charts/chart15.xml"/><Relationship Id="rId65" Type="http://schemas.openxmlformats.org/officeDocument/2006/relationships/chart" Target="charts/chart20.xml"/><Relationship Id="rId81" Type="http://schemas.openxmlformats.org/officeDocument/2006/relationships/hyperlink" Target="http://www.catawbacountync.gov/dss/PW/ChildWellbeing.asp" TargetMode="External"/><Relationship Id="rId86" Type="http://schemas.openxmlformats.org/officeDocument/2006/relationships/hyperlink" Target="http://centerforchildwelfare.fmhi.usf.edu/kb/cirres/CaseyPracticeDigest3-ReEntries.pdf" TargetMode="External"/><Relationship Id="rId130" Type="http://schemas.openxmlformats.org/officeDocument/2006/relationships/hyperlink" Target="http://www.americanhumane.org/assets/pdfs/children/advocacy/reunification_paper.pdf" TargetMode="External"/><Relationship Id="rId135" Type="http://schemas.openxmlformats.org/officeDocument/2006/relationships/hyperlink" Target="https://www.childwelfare.gov/survey/?target=http%3A%2F%2Fwww.ocwtp.net%2FPDFs%2FReun-Reentry%2520Final%2520Report.pdf&amp;referrer=%27https://www.childwelfare.gov/topics/permanency/reunification/prev-reentry/%27" TargetMode="External"/><Relationship Id="rId151" Type="http://schemas.openxmlformats.org/officeDocument/2006/relationships/hyperlink" Target="http://slideplayer.com/slide/4668902/" TargetMode="External"/><Relationship Id="rId156" Type="http://schemas.openxmlformats.org/officeDocument/2006/relationships/hyperlink" Target="http://academy.extensiondlc.net/file.php/1/resources/LR-ReentryReunificaton.pdf" TargetMode="Externa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72" Type="http://schemas.openxmlformats.org/officeDocument/2006/relationships/hyperlink" Target="http://pocweb.cac.washington.edu/sites/default/files/Family%20Visitation%20in%20the%20Child%20Welfare%20System%201-14-16_0.pdf" TargetMode="External"/><Relationship Id="rId180" Type="http://schemas.openxmlformats.org/officeDocument/2006/relationships/fontTable" Target="fontTable.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chart" Target="charts/chart2.xml"/><Relationship Id="rId109" Type="http://schemas.openxmlformats.org/officeDocument/2006/relationships/hyperlink" Target="http://www.uiowa.edu/nrcihs/files/nrcihs/files/In-Home%20Services%20and%20EBP%20registries.pdf" TargetMode="External"/><Relationship Id="rId34" Type="http://schemas.openxmlformats.org/officeDocument/2006/relationships/hyperlink" Target="http://cssr.berkeley.edu/ucb_childwelfare" TargetMode="External"/><Relationship Id="rId50" Type="http://schemas.openxmlformats.org/officeDocument/2006/relationships/chart" Target="charts/chart5.xml"/><Relationship Id="rId55" Type="http://schemas.openxmlformats.org/officeDocument/2006/relationships/chart" Target="charts/chart10.xml"/><Relationship Id="rId76" Type="http://schemas.openxmlformats.org/officeDocument/2006/relationships/chart" Target="charts/chart31.xml"/><Relationship Id="rId97" Type="http://schemas.openxmlformats.org/officeDocument/2006/relationships/hyperlink" Target="http://academy.extensiondlc.net/file.php/1/resources/LR-ReentryReunificaton.pdf" TargetMode="External"/><Relationship Id="rId104" Type="http://schemas.openxmlformats.org/officeDocument/2006/relationships/hyperlink" Target="http://cssr.berkeley.edu/bassc/cases/2005/McGhee.pdf" TargetMode="External"/><Relationship Id="rId120" Type="http://schemas.openxmlformats.org/officeDocument/2006/relationships/hyperlink" Target="https://dhs.iowa.gov/sites/default/files/10.09_Family_Interaction_Practice_Bulletin.pdf" TargetMode="External"/><Relationship Id="rId125" Type="http://schemas.openxmlformats.org/officeDocument/2006/relationships/hyperlink" Target="https://crcc.usc.edu/files/2015/02/childwelfare.pdf" TargetMode="External"/><Relationship Id="rId141" Type="http://schemas.openxmlformats.org/officeDocument/2006/relationships/hyperlink" Target="http://www.casey.org/media/TimelyPermanency.pdf" TargetMode="External"/><Relationship Id="rId146" Type="http://schemas.openxmlformats.org/officeDocument/2006/relationships/hyperlink" Target="http://www.childwelfare.gov/pubPDFs/srpr.pdf" TargetMode="External"/><Relationship Id="rId167" Type="http://schemas.openxmlformats.org/officeDocument/2006/relationships/hyperlink" Target="https://crcc.usc.edu/files/2015/02/childwelfare.pdf" TargetMode="External"/><Relationship Id="rId7" Type="http://schemas.openxmlformats.org/officeDocument/2006/relationships/customXml" Target="../customXml/item7.xml"/><Relationship Id="rId71" Type="http://schemas.openxmlformats.org/officeDocument/2006/relationships/chart" Target="charts/chart26.xml"/><Relationship Id="rId92" Type="http://schemas.openxmlformats.org/officeDocument/2006/relationships/hyperlink" Target="http://www.childwelfare.gov/pubPDFs/srpr.pdf" TargetMode="External"/><Relationship Id="rId162" Type="http://schemas.openxmlformats.org/officeDocument/2006/relationships/hyperlink" Target="http://www.cssp.org/publications/child-welfare/alliance/Strategies-to-Reduce-Racially-Disparate-Outcomes-in-Child-Welfare-March-2015.pdf" TargetMode="External"/><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hyperlink" Target="mailto:Lisa.Sawin@sdcounty.ca.gov" TargetMode="External"/><Relationship Id="rId40" Type="http://schemas.openxmlformats.org/officeDocument/2006/relationships/hyperlink" Target="http://www.kidsdata.org" TargetMode="External"/><Relationship Id="rId45" Type="http://schemas.openxmlformats.org/officeDocument/2006/relationships/image" Target="media/image17.jpeg"/><Relationship Id="rId66" Type="http://schemas.openxmlformats.org/officeDocument/2006/relationships/chart" Target="charts/chart21.xml"/><Relationship Id="rId87" Type="http://schemas.openxmlformats.org/officeDocument/2006/relationships/hyperlink" Target="http://centerforchildwelfare.fmhi.usf.edu/kb/cirres/CaseyPracticeDigest3-ReEntries.pdf" TargetMode="External"/><Relationship Id="rId110" Type="http://schemas.openxmlformats.org/officeDocument/2006/relationships/hyperlink" Target="http://www.uiowa.edu/nrcihs/files/nrcihs/files/In-Home%20Services%20and%20EBP%20registries.pdf" TargetMode="External"/><Relationship Id="rId115" Type="http://schemas.openxmlformats.org/officeDocument/2006/relationships/hyperlink" Target="http://www.uiowa.edu/nrcihs/files/nrcihs/files/In-Home%20Services%20and%20EBP%20registries.pdf" TargetMode="External"/><Relationship Id="rId131" Type="http://schemas.openxmlformats.org/officeDocument/2006/relationships/hyperlink" Target="http://www.americanhumane.org/assets/pdfs/children/advocacy/reunification_paper.pdf" TargetMode="External"/><Relationship Id="rId136" Type="http://schemas.openxmlformats.org/officeDocument/2006/relationships/hyperlink" Target="http://www.childsworld.ca.gov/PG1356.htm" TargetMode="External"/><Relationship Id="rId157" Type="http://schemas.openxmlformats.org/officeDocument/2006/relationships/hyperlink" Target="https://web.unlv.edu/labs/frs/Documents/FBT%20Eval%20Report.pdf" TargetMode="External"/><Relationship Id="rId178" Type="http://schemas.openxmlformats.org/officeDocument/2006/relationships/footer" Target="footer2.xml"/><Relationship Id="rId61" Type="http://schemas.openxmlformats.org/officeDocument/2006/relationships/chart" Target="charts/chart16.xml"/><Relationship Id="rId82" Type="http://schemas.openxmlformats.org/officeDocument/2006/relationships/hyperlink" Target="https://www.childwelfare.gov/survey/?target=http%3A%2F%2Fwww.ocwtp.net%2FPDFs%2FReun-Reentry%2520Final%2520Report.pdf&amp;referrer=%27https://www.childwelfare.gov/topics/permanency/reunification/prev-reentry/%27" TargetMode="External"/><Relationship Id="rId152" Type="http://schemas.openxmlformats.org/officeDocument/2006/relationships/hyperlink" Target="http://slideplayer.com/slide/4668902/" TargetMode="External"/><Relationship Id="rId173" Type="http://schemas.openxmlformats.org/officeDocument/2006/relationships/hyperlink" Target="http://pocweb.cac.washington.edu/sites/default/files/Family%20Visitation%20in%20the%20Child%20Welfare%20System%201-14-16_0.pdf" TargetMode="External"/><Relationship Id="rId19" Type="http://schemas.openxmlformats.org/officeDocument/2006/relationships/image" Target="media/image5.jpeg"/><Relationship Id="rId14" Type="http://schemas.openxmlformats.org/officeDocument/2006/relationships/endnotes" Target="endnotes.xml"/><Relationship Id="rId30" Type="http://schemas.openxmlformats.org/officeDocument/2006/relationships/image" Target="media/image7.png"/><Relationship Id="rId35" Type="http://schemas.openxmlformats.org/officeDocument/2006/relationships/image" Target="media/image10.png"/><Relationship Id="rId56" Type="http://schemas.openxmlformats.org/officeDocument/2006/relationships/chart" Target="charts/chart11.xml"/><Relationship Id="rId77" Type="http://schemas.openxmlformats.org/officeDocument/2006/relationships/chart" Target="charts/chart32.xml"/><Relationship Id="rId100" Type="http://schemas.openxmlformats.org/officeDocument/2006/relationships/hyperlink" Target="http://cascw.umn.edu/wp-content/uploads/2014/02/Re-entry-Report_Feb-2010_Final_rev.pdf" TargetMode="External"/><Relationship Id="rId105" Type="http://schemas.openxmlformats.org/officeDocument/2006/relationships/hyperlink" Target="http://cssr.berkeley.edu/bassc/cases/2005/McGhee.pdf" TargetMode="External"/><Relationship Id="rId126" Type="http://schemas.openxmlformats.org/officeDocument/2006/relationships/hyperlink" Target="http://www.nationalococ.org/index.html" TargetMode="External"/><Relationship Id="rId147" Type="http://schemas.openxmlformats.org/officeDocument/2006/relationships/hyperlink" Target="http://www.childwelfare.gov/pubPDFs/srpr.pdf" TargetMode="External"/><Relationship Id="rId168" Type="http://schemas.openxmlformats.org/officeDocument/2006/relationships/hyperlink" Target="https://crcc.usc.edu/files/2015/02/childwelfare.pdf" TargetMode="External"/><Relationship Id="rId8" Type="http://schemas.openxmlformats.org/officeDocument/2006/relationships/customXml" Target="../customXml/item8.xml"/><Relationship Id="rId51" Type="http://schemas.openxmlformats.org/officeDocument/2006/relationships/chart" Target="charts/chart6.xml"/><Relationship Id="rId72" Type="http://schemas.openxmlformats.org/officeDocument/2006/relationships/chart" Target="charts/chart27.xml"/><Relationship Id="rId93" Type="http://schemas.openxmlformats.org/officeDocument/2006/relationships/hyperlink" Target="http://www.childwelfare.gov/pubPDFs/srpr.pdf" TargetMode="External"/><Relationship Id="rId98" Type="http://schemas.openxmlformats.org/officeDocument/2006/relationships/hyperlink" Target="http://academy.extensiondlc.net/file.php/1/resources/LR-ReentryReunificaton.pdf" TargetMode="External"/><Relationship Id="rId121" Type="http://schemas.openxmlformats.org/officeDocument/2006/relationships/hyperlink" Target="https://www.dshs.wa.gov/ca/4250-assessment-out-home-placement/4254-parent-child-and-sibling-visits" TargetMode="External"/><Relationship Id="rId142" Type="http://schemas.openxmlformats.org/officeDocument/2006/relationships/hyperlink" Target="https://www.childwelfare.gov/pubPDFs/family_reunification.pdf" TargetMode="External"/><Relationship Id="rId163" Type="http://schemas.openxmlformats.org/officeDocument/2006/relationships/hyperlink" Target="http://www.foster-adopt.org/wp-content/uploads/2015/04/Missouri-Diligent-Recruitment-Grant-FINAL-REPORT.pdf" TargetMode="External"/><Relationship Id="rId3" Type="http://schemas.openxmlformats.org/officeDocument/2006/relationships/customXml" Target="../customXml/item3.xml"/><Relationship Id="rId25" Type="http://schemas.openxmlformats.org/officeDocument/2006/relationships/hyperlink" Target="mailto:Kimberly.Giardina@sdcounty.ca.gov" TargetMode="External"/><Relationship Id="rId46" Type="http://schemas.openxmlformats.org/officeDocument/2006/relationships/image" Target="media/image16.png"/><Relationship Id="rId67" Type="http://schemas.openxmlformats.org/officeDocument/2006/relationships/chart" Target="charts/chart22.xml"/><Relationship Id="rId116" Type="http://schemas.openxmlformats.org/officeDocument/2006/relationships/hyperlink" Target="http://www.uiowa.edu/nrcihs/files/nrcihs/files/In-Home%20Services%20and%20EBP%20registries.pdf" TargetMode="External"/><Relationship Id="rId137" Type="http://schemas.openxmlformats.org/officeDocument/2006/relationships/hyperlink" Target="http://www.childsworld.ca.gov/PG1356.htm" TargetMode="External"/><Relationship Id="rId158" Type="http://schemas.openxmlformats.org/officeDocument/2006/relationships/hyperlink" Target="https://web.unlv.edu/labs/frs/Documents/FBT%20Eval%20Report.pdf" TargetMode="External"/><Relationship Id="rId20" Type="http://schemas.openxmlformats.org/officeDocument/2006/relationships/image" Target="media/image6.png"/><Relationship Id="rId41" Type="http://schemas.openxmlformats.org/officeDocument/2006/relationships/image" Target="media/image13.jpeg"/><Relationship Id="rId62" Type="http://schemas.openxmlformats.org/officeDocument/2006/relationships/chart" Target="charts/chart17.xml"/><Relationship Id="rId83" Type="http://schemas.openxmlformats.org/officeDocument/2006/relationships/hyperlink" Target="http://www.childsworld.ca.gov/PG1356.htm" TargetMode="External"/><Relationship Id="rId88" Type="http://schemas.openxmlformats.org/officeDocument/2006/relationships/hyperlink" Target="http://centerforchildwelfare.fmhi.usf.edu/kb/cirres/CaseyPracticeDigest3-ReEntries.pdf" TargetMode="External"/><Relationship Id="rId111" Type="http://schemas.openxmlformats.org/officeDocument/2006/relationships/hyperlink" Target="http://www.uiowa.edu/nrcihs/files/nrcihs/files/In-Home%20Services%20and%20EBP%20registries.pdf" TargetMode="External"/><Relationship Id="rId132" Type="http://schemas.openxmlformats.org/officeDocument/2006/relationships/hyperlink" Target="http://digitalcommons.library.tmc.edu/jfs/vol11/iss1/14" TargetMode="External"/><Relationship Id="rId153" Type="http://schemas.openxmlformats.org/officeDocument/2006/relationships/hyperlink" Target="http://slideplayer.com/slide/4668902/" TargetMode="External"/><Relationship Id="rId174" Type="http://schemas.openxmlformats.org/officeDocument/2006/relationships/hyperlink" Target="http://pocweb.cac.washington.edu/sites/default/files/Family%20Visitation%20in%20the%20Child%20Welfare%20System%201-14-16_0.pdf" TargetMode="External"/><Relationship Id="rId179" Type="http://schemas.openxmlformats.org/officeDocument/2006/relationships/footer" Target="footer3.xml"/><Relationship Id="rId15" Type="http://schemas.openxmlformats.org/officeDocument/2006/relationships/image" Target="media/image1.png"/><Relationship Id="rId36" Type="http://schemas.openxmlformats.org/officeDocument/2006/relationships/image" Target="media/image11.png"/><Relationship Id="rId57" Type="http://schemas.openxmlformats.org/officeDocument/2006/relationships/chart" Target="charts/chart12.xml"/><Relationship Id="rId106" Type="http://schemas.openxmlformats.org/officeDocument/2006/relationships/hyperlink" Target="https://edocs.dhs.state.mn.us/lfserver/Public/DHS-6637A-ENG" TargetMode="External"/><Relationship Id="rId127" Type="http://schemas.openxmlformats.org/officeDocument/2006/relationships/hyperlink" Target="http://www.americanhumane.org/assets/pdfs/children/fatherhood/pc262.pdf" TargetMode="External"/><Relationship Id="rId10" Type="http://schemas.openxmlformats.org/officeDocument/2006/relationships/styles" Target="styles.xml"/><Relationship Id="rId31" Type="http://schemas.openxmlformats.org/officeDocument/2006/relationships/image" Target="media/image8.png"/><Relationship Id="rId52" Type="http://schemas.openxmlformats.org/officeDocument/2006/relationships/chart" Target="charts/chart7.xml"/><Relationship Id="rId73" Type="http://schemas.openxmlformats.org/officeDocument/2006/relationships/chart" Target="charts/chart28.xml"/><Relationship Id="rId78" Type="http://schemas.openxmlformats.org/officeDocument/2006/relationships/hyperlink" Target="https://www.childwelfare.gov/survey/?target=http%3A%2F%2Fcascw.umn.edu%2Fwp-content%2Fuploads%2F2014%2F02%2FRe-entry-Report_Feb-2010_Final_rev.pdf&amp;referrer=%27https://www.childwelfare.gov/topics/permanency/reunification/prev-reentry/%27" TargetMode="External"/><Relationship Id="rId94" Type="http://schemas.openxmlformats.org/officeDocument/2006/relationships/hyperlink" Target="http://www.childsworld.ca.gov/res/pdf/PreventingRe-entry.pdf" TargetMode="External"/><Relationship Id="rId99" Type="http://schemas.openxmlformats.org/officeDocument/2006/relationships/hyperlink" Target="http://academy.extensiondlc.net/file.php/1/resources/LR-ReentryReunificaton.pdf" TargetMode="External"/><Relationship Id="rId101" Type="http://schemas.openxmlformats.org/officeDocument/2006/relationships/hyperlink" Target="http://cascw.umn.edu/wp-content/uploads/2014/02/Re-entry-Report_Feb-2010_Final_rev.pdf" TargetMode="External"/><Relationship Id="rId122" Type="http://schemas.openxmlformats.org/officeDocument/2006/relationships/hyperlink" Target="https://www.childwelfare.gov/topics/outofhome/casework/casework-practice-with-birth-families/visiting/" TargetMode="External"/><Relationship Id="rId143" Type="http://schemas.openxmlformats.org/officeDocument/2006/relationships/hyperlink" Target="https://www.childwelfare.gov/pubPDFs/family_reunification.pdf" TargetMode="External"/><Relationship Id="rId148" Type="http://schemas.openxmlformats.org/officeDocument/2006/relationships/hyperlink" Target="https://sswr.confex.com/sswr/2015/webprogram/Paper24219.html" TargetMode="External"/><Relationship Id="rId164" Type="http://schemas.openxmlformats.org/officeDocument/2006/relationships/hyperlink" Target="http://www.foster-adopt.org/wp-content/uploads/2015/04/Missouri-Diligent-Recruitment-Grant-FINAL-REPORT.pdf" TargetMode="External"/><Relationship Id="rId169" Type="http://schemas.openxmlformats.org/officeDocument/2006/relationships/hyperlink" Target="http://cascw.umn.edu/wp-content/uploads/2015/03/CW360-Winter2015.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factfinder.census.gov/faces/tableservices/jsf/pages/productview.xhtml?pid=ACS_14_5YR_S1701&amp;prodType=table" TargetMode="External"/><Relationship Id="rId13" Type="http://schemas.openxmlformats.org/officeDocument/2006/relationships/hyperlink" Target="http://www.rtfhsd.org/publications/" TargetMode="External"/><Relationship Id="rId18" Type="http://schemas.openxmlformats.org/officeDocument/2006/relationships/hyperlink" Target="http://www.kidsdata.org" TargetMode="External"/><Relationship Id="rId26" Type="http://schemas.openxmlformats.org/officeDocument/2006/relationships/hyperlink" Target="https://www.justice.gov/usao-sdca/file/796391/download" TargetMode="External"/><Relationship Id="rId3" Type="http://schemas.openxmlformats.org/officeDocument/2006/relationships/hyperlink" Target="http://www.bls.gov" TargetMode="External"/><Relationship Id="rId21" Type="http://schemas.openxmlformats.org/officeDocument/2006/relationships/hyperlink" Target="http://www.futureofchildren.org/publications/journals/article/index.xml?journalid=73&amp;articleid=532&amp;sectionid=3661" TargetMode="External"/><Relationship Id="rId7" Type="http://schemas.openxmlformats.org/officeDocument/2006/relationships/hyperlink" Target="http://factfinder.census.gov/faces/tableservices/jsf/pages/productview.xhtml?pid=ACS_10_3YR_S1701&amp;prodType=table" TargetMode="External"/><Relationship Id="rId12" Type="http://schemas.openxmlformats.org/officeDocument/2006/relationships/hyperlink" Target="http://www.rtfhsd.org/publications/" TargetMode="External"/><Relationship Id="rId17" Type="http://schemas.openxmlformats.org/officeDocument/2006/relationships/hyperlink" Target="http://www.kidsdata.org/region/368/san-diego-county/results" TargetMode="External"/><Relationship Id="rId25" Type="http://schemas.openxmlformats.org/officeDocument/2006/relationships/hyperlink" Target="http://www.countyhealthrankings.org/app/california/2016/rankings/san-diego/county/outcomes/overall/snapshot" TargetMode="External"/><Relationship Id="rId2" Type="http://schemas.openxmlformats.org/officeDocument/2006/relationships/hyperlink" Target="http://factfinder.census.gov/faces/tableservices/jsf/pages/productview.xhtml?pid=ACS_14_5YR_S1501&amp;prodType=table" TargetMode="External"/><Relationship Id="rId16" Type="http://schemas.openxmlformats.org/officeDocument/2006/relationships/hyperlink" Target="http://data1.cde.ca.gov/dataquest/cohortmulti/CohortMultiYear.aspx?agglevel=O&amp;cdscode=37000000000000" TargetMode="External"/><Relationship Id="rId20" Type="http://schemas.openxmlformats.org/officeDocument/2006/relationships/hyperlink" Target="http://www.kidsdata.org/region/368/san-diego-county/results" TargetMode="External"/><Relationship Id="rId29" Type="http://schemas.openxmlformats.org/officeDocument/2006/relationships/hyperlink" Target="http://www.livewellsd.org/content/livewell/home/data-results/indicators-dashboard-and-data-portal.html" TargetMode="External"/><Relationship Id="rId1" Type="http://schemas.openxmlformats.org/officeDocument/2006/relationships/hyperlink" Target="http://www.census.gov/quickfacts/table/PST045215/06073,00" TargetMode="External"/><Relationship Id="rId6" Type="http://schemas.openxmlformats.org/officeDocument/2006/relationships/hyperlink" Target="http://www.nusinstitute.org/assets/resources/pageResources/NUSIPR_Concentrated_Poverty_Brief.pdf" TargetMode="External"/><Relationship Id="rId11" Type="http://schemas.openxmlformats.org/officeDocument/2006/relationships/hyperlink" Target="http://www.rtfhsd.org/publications/" TargetMode="External"/><Relationship Id="rId24" Type="http://schemas.openxmlformats.org/officeDocument/2006/relationships/hyperlink" Target="http://www.sandiegomagazine.com/San-Diego-Magazine/March-2016/San-Diegos-Next-Hot-Neighborhoods/Rent-Uncontrolled/" TargetMode="External"/><Relationship Id="rId5" Type="http://schemas.openxmlformats.org/officeDocument/2006/relationships/hyperlink" Target="http://factfinder.census.gov/faces/tableservices/jsf/pages/productview.xhtml?pid=ACS_14_5YR_S1901&amp;prodType=table" TargetMode="External"/><Relationship Id="rId15" Type="http://schemas.openxmlformats.org/officeDocument/2006/relationships/hyperlink" Target="http://www.kidsdata.org" TargetMode="External"/><Relationship Id="rId23" Type="http://schemas.openxmlformats.org/officeDocument/2006/relationships/hyperlink" Target="http://factfinder.census.gov/faces/tableservices/jsf/pages/productview.xhtml?pid=ACS_14_5YR_S1101&amp;prodType=table" TargetMode="External"/><Relationship Id="rId28" Type="http://schemas.openxmlformats.org/officeDocument/2006/relationships/hyperlink" Target="http://www.kidsdata.org/region/368/san-diego-county/results" TargetMode="External"/><Relationship Id="rId10" Type="http://schemas.openxmlformats.org/officeDocument/2006/relationships/hyperlink" Target="http://www.sandiegouniontribune.com/news/2016/apr/18/march-home-prices-core-logic/" TargetMode="External"/><Relationship Id="rId19" Type="http://schemas.openxmlformats.org/officeDocument/2006/relationships/hyperlink" Target="http://www.kidsdata.org/region/368/san-diego-county/summary" TargetMode="External"/><Relationship Id="rId4" Type="http://schemas.openxmlformats.org/officeDocument/2006/relationships/hyperlink" Target="http://www.bls.gov/news.release/archives/metro_06292011.pdf" TargetMode="External"/><Relationship Id="rId9" Type="http://schemas.openxmlformats.org/officeDocument/2006/relationships/hyperlink" Target="http://www.sandiegocounty.gov/content/dam/sdc/hhsa/programs/phs/CHS/healthequity/_HE_SES_FINAL.pdf" TargetMode="External"/><Relationship Id="rId14" Type="http://schemas.openxmlformats.org/officeDocument/2006/relationships/hyperlink" Target="http://www.sandag.org/?subclassid=105&amp;fuseaction=home.subclasshome" TargetMode="External"/><Relationship Id="rId22" Type="http://schemas.openxmlformats.org/officeDocument/2006/relationships/hyperlink" Target="http://factfinder.census.gov/faces/tableservices/jsf/pages/productview.xhtml?pid=ACS_14_5YR_S1101&amp;prodType=table" TargetMode="External"/><Relationship Id="rId27" Type="http://schemas.openxmlformats.org/officeDocument/2006/relationships/hyperlink" Target="http://www.sandiegocounty.gov/content/dam/sdc/me/docs/SDME_Annual_Report_2011.pdf" TargetMode="External"/><Relationship Id="rId30" Type="http://schemas.openxmlformats.org/officeDocument/2006/relationships/hyperlink" Target="http://californiahealthline.org/morning-breakout/brown-signs-bills-to-reduce-rx-use-among-foster-childr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cotto\Application%20Data\Microsoft\Templates\Equity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tshrum\AppData\Local\Microsoft\Windows\Temporary%20Internet%20Files\Content.Outlook\PHEQZ84B\San%20Diego%20Outcomes%20Summary_Kim.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shrum\AppData\Local\Microsoft\Windows\Temporary%20Internet%20Files\Content.Outlook\PHEQZ84B\San%20Diego%20Outcomes%20Summary_Kim.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3P4 Re-Entry to Foster Care in 12 Months</a:t>
            </a:r>
          </a:p>
        </c:rich>
      </c:tx>
      <c:overlay val="0"/>
      <c:spPr>
        <a:noFill/>
        <a:ln>
          <a:noFill/>
        </a:ln>
        <a:effectLst/>
      </c:spPr>
    </c:title>
    <c:autoTitleDeleted val="0"/>
    <c:plotArea>
      <c:layout/>
      <c:barChart>
        <c:barDir val="col"/>
        <c:grouping val="clustered"/>
        <c:varyColors val="0"/>
        <c:ser>
          <c:idx val="1"/>
          <c:order val="1"/>
          <c:tx>
            <c:strRef>
              <c:f>'[San Diego Outcomes Summary_Kim.xlsx]3-P4'!$C$45</c:f>
              <c:strCache>
                <c:ptCount val="1"/>
                <c:pt idx="0">
                  <c:v>Children with re-entries (n)</c:v>
                </c:pt>
              </c:strCache>
            </c:strRef>
          </c:tx>
          <c:spPr>
            <a:solidFill>
              <a:srgbClr val="013161"/>
            </a:solidFill>
            <a:ln>
              <a:noFill/>
            </a:ln>
            <a:effectLst/>
          </c:spPr>
          <c:invertIfNegative val="0"/>
          <c:cat>
            <c:numRef>
              <c:f>'[San Diego Outcomes Summary_Kim.xlsx]3-P4'!$D$43:$I$43</c:f>
              <c:numCache>
                <c:formatCode>General</c:formatCode>
                <c:ptCount val="6"/>
                <c:pt idx="0">
                  <c:v>2008</c:v>
                </c:pt>
                <c:pt idx="1">
                  <c:v>2009</c:v>
                </c:pt>
                <c:pt idx="2">
                  <c:v>2010</c:v>
                </c:pt>
                <c:pt idx="3">
                  <c:v>2011</c:v>
                </c:pt>
                <c:pt idx="4">
                  <c:v>2012</c:v>
                </c:pt>
                <c:pt idx="5">
                  <c:v>2013</c:v>
                </c:pt>
              </c:numCache>
            </c:numRef>
          </c:cat>
          <c:val>
            <c:numRef>
              <c:f>'[San Diego Outcomes Summary_Kim.xlsx]3-P4'!$D$45:$I$45</c:f>
              <c:numCache>
                <c:formatCode>General</c:formatCode>
                <c:ptCount val="6"/>
                <c:pt idx="0">
                  <c:v>60</c:v>
                </c:pt>
                <c:pt idx="1">
                  <c:v>60</c:v>
                </c:pt>
                <c:pt idx="2">
                  <c:v>61</c:v>
                </c:pt>
                <c:pt idx="3">
                  <c:v>63</c:v>
                </c:pt>
                <c:pt idx="4">
                  <c:v>61</c:v>
                </c:pt>
                <c:pt idx="5">
                  <c:v>53</c:v>
                </c:pt>
              </c:numCache>
            </c:numRef>
          </c:val>
          <c:extLst>
            <c:ext xmlns:c16="http://schemas.microsoft.com/office/drawing/2014/chart" uri="{C3380CC4-5D6E-409C-BE32-E72D297353CC}">
              <c16:uniqueId val="{00000000-A69A-4A63-A338-37A734A26164}"/>
            </c:ext>
          </c:extLst>
        </c:ser>
        <c:dLbls>
          <c:showLegendKey val="0"/>
          <c:showVal val="0"/>
          <c:showCatName val="0"/>
          <c:showSerName val="0"/>
          <c:showPercent val="0"/>
          <c:showBubbleSize val="0"/>
        </c:dLbls>
        <c:gapWidth val="150"/>
        <c:axId val="118314496"/>
        <c:axId val="118465280"/>
      </c:barChart>
      <c:lineChart>
        <c:grouping val="standard"/>
        <c:varyColors val="0"/>
        <c:ser>
          <c:idx val="0"/>
          <c:order val="0"/>
          <c:tx>
            <c:strRef>
              <c:f>'[San Diego Outcomes Summary_Kim.xlsx]3-P4'!$C$44</c:f>
              <c:strCache>
                <c:ptCount val="1"/>
                <c:pt idx="0">
                  <c:v>Children with re-entries (%)</c:v>
                </c:pt>
              </c:strCache>
            </c:strRef>
          </c:tx>
          <c:spPr>
            <a:ln w="28575" cap="rnd">
              <a:solidFill>
                <a:srgbClr val="2E7029"/>
              </a:solidFill>
              <a:round/>
            </a:ln>
            <a:effectLst/>
          </c:spPr>
          <c:marker>
            <c:symbol val="none"/>
          </c:marker>
          <c:cat>
            <c:numRef>
              <c:f>'[San Diego Outcomes Summary_Kim.xlsx]3-P4'!$D$43:$I$43</c:f>
              <c:numCache>
                <c:formatCode>General</c:formatCode>
                <c:ptCount val="6"/>
                <c:pt idx="0">
                  <c:v>2008</c:v>
                </c:pt>
                <c:pt idx="1">
                  <c:v>2009</c:v>
                </c:pt>
                <c:pt idx="2">
                  <c:v>2010</c:v>
                </c:pt>
                <c:pt idx="3">
                  <c:v>2011</c:v>
                </c:pt>
                <c:pt idx="4">
                  <c:v>2012</c:v>
                </c:pt>
                <c:pt idx="5">
                  <c:v>2013</c:v>
                </c:pt>
              </c:numCache>
            </c:numRef>
          </c:cat>
          <c:val>
            <c:numRef>
              <c:f>'[San Diego Outcomes Summary_Kim.xlsx]3-P4'!$D$44:$I$44</c:f>
              <c:numCache>
                <c:formatCode>General</c:formatCode>
                <c:ptCount val="6"/>
                <c:pt idx="0">
                  <c:v>8.7000000000000011</c:v>
                </c:pt>
                <c:pt idx="1">
                  <c:v>9.9</c:v>
                </c:pt>
                <c:pt idx="2">
                  <c:v>9.4</c:v>
                </c:pt>
                <c:pt idx="3">
                  <c:v>9.8000000000000007</c:v>
                </c:pt>
                <c:pt idx="4">
                  <c:v>8.7000000000000011</c:v>
                </c:pt>
                <c:pt idx="5">
                  <c:v>9.9</c:v>
                </c:pt>
              </c:numCache>
            </c:numRef>
          </c:val>
          <c:smooth val="0"/>
          <c:extLst>
            <c:ext xmlns:c16="http://schemas.microsoft.com/office/drawing/2014/chart" uri="{C3380CC4-5D6E-409C-BE32-E72D297353CC}">
              <c16:uniqueId val="{00000001-A69A-4A63-A338-37A734A26164}"/>
            </c:ext>
          </c:extLst>
        </c:ser>
        <c:dLbls>
          <c:showLegendKey val="0"/>
          <c:showVal val="0"/>
          <c:showCatName val="0"/>
          <c:showSerName val="0"/>
          <c:showPercent val="0"/>
          <c:showBubbleSize val="0"/>
        </c:dLbls>
        <c:marker val="1"/>
        <c:smooth val="0"/>
        <c:axId val="129175552"/>
        <c:axId val="129177472"/>
      </c:lineChart>
      <c:catAx>
        <c:axId val="118314496"/>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65280"/>
        <c:crosses val="autoZero"/>
        <c:auto val="1"/>
        <c:lblAlgn val="ctr"/>
        <c:lblOffset val="100"/>
        <c:noMultiLvlLbl val="0"/>
      </c:catAx>
      <c:valAx>
        <c:axId val="118465280"/>
        <c:scaling>
          <c:orientation val="minMax"/>
        </c:scaling>
        <c:delete val="0"/>
        <c:axPos val="l"/>
        <c:title>
          <c:tx>
            <c:rich>
              <a:bodyPr/>
              <a:lstStyle/>
              <a:p>
                <a:pPr>
                  <a:defRPr sz="1000" b="0" i="0" u="none" strike="noStrike" baseline="0">
                    <a:solidFill>
                      <a:srgbClr val="333333"/>
                    </a:solidFill>
                    <a:latin typeface="Calibri"/>
                    <a:ea typeface="Calibri"/>
                    <a:cs typeface="Calibri"/>
                  </a:defRPr>
                </a:pPr>
                <a:r>
                  <a:rPr lang="en-US"/>
                  <a:t>Number of Children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14496"/>
        <c:crosses val="autoZero"/>
        <c:crossBetween val="between"/>
      </c:valAx>
      <c:catAx>
        <c:axId val="129175552"/>
        <c:scaling>
          <c:orientation val="minMax"/>
        </c:scaling>
        <c:delete val="1"/>
        <c:axPos val="b"/>
        <c:numFmt formatCode="General" sourceLinked="1"/>
        <c:majorTickMark val="out"/>
        <c:minorTickMark val="none"/>
        <c:tickLblPos val="none"/>
        <c:crossAx val="129177472"/>
        <c:crosses val="autoZero"/>
        <c:auto val="1"/>
        <c:lblAlgn val="ctr"/>
        <c:lblOffset val="100"/>
        <c:noMultiLvlLbl val="0"/>
      </c:catAx>
      <c:valAx>
        <c:axId val="12917747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75552"/>
        <c:crosses val="max"/>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73108454035824"/>
          <c:y val="3.5714285714285712E-2"/>
          <c:w val="0.61363517060367856"/>
          <c:h val="0.87141601049868944"/>
        </c:manualLayout>
      </c:layout>
      <c:barChart>
        <c:barDir val="bar"/>
        <c:grouping val="clustered"/>
        <c:varyColors val="0"/>
        <c:ser>
          <c:idx val="0"/>
          <c:order val="0"/>
          <c:tx>
            <c:strRef>
              <c:f>Sheet1!$B$1</c:f>
              <c:strCache>
                <c:ptCount val="1"/>
                <c:pt idx="0">
                  <c:v>Series 1</c:v>
                </c:pt>
              </c:strCache>
            </c:strRef>
          </c:tx>
          <c:spPr>
            <a:solidFill>
              <a:srgbClr val="013161"/>
            </a:solidFill>
          </c:spPr>
          <c:invertIfNegative val="0"/>
          <c:dLbls>
            <c:dLbl>
              <c:idx val="0"/>
              <c:tx>
                <c:rich>
                  <a:bodyPr/>
                  <a:lstStyle/>
                  <a:p>
                    <a:pPr>
                      <a:defRPr/>
                    </a:pPr>
                    <a:r>
                      <a:rPr lang="en-US" b="0"/>
                      <a:t>4.2%</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5D-46CD-B765-F79E38BF08CB}"/>
                </c:ext>
              </c:extLst>
            </c:dLbl>
            <c:dLbl>
              <c:idx val="1"/>
              <c:tx>
                <c:rich>
                  <a:bodyPr/>
                  <a:lstStyle/>
                  <a:p>
                    <a:pPr>
                      <a:defRPr/>
                    </a:pPr>
                    <a:r>
                      <a:rPr lang="en-US" b="0"/>
                      <a:t>12.5%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5D-46CD-B765-F79E38BF08CB}"/>
                </c:ext>
              </c:extLst>
            </c:dLbl>
            <c:dLbl>
              <c:idx val="2"/>
              <c:tx>
                <c:rich>
                  <a:bodyPr/>
                  <a:lstStyle/>
                  <a:p>
                    <a:pPr>
                      <a:defRPr/>
                    </a:pPr>
                    <a:r>
                      <a:rPr lang="en-US" b="0"/>
                      <a:t>12.5%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5D-46CD-B765-F79E38BF08CB}"/>
                </c:ext>
              </c:extLst>
            </c:dLbl>
            <c:dLbl>
              <c:idx val="3"/>
              <c:tx>
                <c:rich>
                  <a:bodyPr/>
                  <a:lstStyle/>
                  <a:p>
                    <a:pPr>
                      <a:defRPr/>
                    </a:pPr>
                    <a:r>
                      <a:rPr lang="en-US" b="0"/>
                      <a:t>14.6%</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5D-46CD-B765-F79E38BF08CB}"/>
                </c:ext>
              </c:extLst>
            </c:dLbl>
            <c:dLbl>
              <c:idx val="4"/>
              <c:tx>
                <c:rich>
                  <a:bodyPr/>
                  <a:lstStyle/>
                  <a:p>
                    <a:pPr>
                      <a:defRPr/>
                    </a:pPr>
                    <a:r>
                      <a:rPr lang="en-US" b="0"/>
                      <a:t>18.8%</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5D-46CD-B765-F79E38BF08CB}"/>
                </c:ext>
              </c:extLst>
            </c:dLbl>
            <c:dLbl>
              <c:idx val="5"/>
              <c:tx>
                <c:rich>
                  <a:bodyPr/>
                  <a:lstStyle/>
                  <a:p>
                    <a:pPr>
                      <a:defRPr/>
                    </a:pPr>
                    <a:r>
                      <a:rPr lang="en-US" b="0"/>
                      <a:t>31.3%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5D-46CD-B765-F79E38BF08CB}"/>
                </c:ext>
              </c:extLst>
            </c:dLbl>
            <c:dLbl>
              <c:idx val="6"/>
              <c:tx>
                <c:rich>
                  <a:bodyPr/>
                  <a:lstStyle/>
                  <a:p>
                    <a:pPr>
                      <a:defRPr/>
                    </a:pPr>
                    <a:r>
                      <a:rPr lang="en-US" b="0"/>
                      <a:t>62.5%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05D-46CD-B765-F79E38BF08CB}"/>
                </c:ext>
              </c:extLst>
            </c:dLbl>
            <c:dLbl>
              <c:idx val="7"/>
              <c:tx>
                <c:rich>
                  <a:bodyPr/>
                  <a:lstStyle/>
                  <a:p>
                    <a:pPr>
                      <a:defRPr/>
                    </a:pPr>
                    <a:r>
                      <a:rPr lang="en-US" b="0"/>
                      <a:t>62.5%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05D-46CD-B765-F79E38BF08CB}"/>
                </c:ext>
              </c:extLst>
            </c:dLbl>
            <c:dLbl>
              <c:idx val="8"/>
              <c:tx>
                <c:rich>
                  <a:bodyPr/>
                  <a:lstStyle/>
                  <a:p>
                    <a:pPr>
                      <a:defRPr/>
                    </a:pPr>
                    <a:r>
                      <a:rPr lang="en-US" b="0"/>
                      <a:t>66.7%</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5D-46CD-B765-F79E38BF08CB}"/>
                </c:ext>
              </c:extLst>
            </c:dLbl>
            <c:dLbl>
              <c:idx val="9"/>
              <c:tx>
                <c:rich>
                  <a:bodyPr/>
                  <a:lstStyle/>
                  <a:p>
                    <a:pPr>
                      <a:defRPr/>
                    </a:pPr>
                    <a:r>
                      <a:rPr lang="en-US" b="0"/>
                      <a:t>29.2%</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05D-46CD-B765-F79E38BF08CB}"/>
                </c:ext>
              </c:extLst>
            </c:dLbl>
            <c:dLbl>
              <c:idx val="10"/>
              <c:tx>
                <c:rich>
                  <a:bodyPr/>
                  <a:lstStyle/>
                  <a:p>
                    <a:pPr>
                      <a:defRPr/>
                    </a:pPr>
                    <a:r>
                      <a:rPr lang="en-US" b="0"/>
                      <a:t>31.3%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05D-46CD-B765-F79E38BF08CB}"/>
                </c:ext>
              </c:extLst>
            </c:dLbl>
            <c:dLbl>
              <c:idx val="11"/>
              <c:tx>
                <c:rich>
                  <a:bodyPr/>
                  <a:lstStyle/>
                  <a:p>
                    <a:pPr>
                      <a:defRPr/>
                    </a:pPr>
                    <a:r>
                      <a:rPr lang="en-US" b="0"/>
                      <a:t>33.3%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05D-46CD-B765-F79E38BF08CB}"/>
                </c:ext>
              </c:extLst>
            </c:dLbl>
            <c:dLbl>
              <c:idx val="12"/>
              <c:tx>
                <c:rich>
                  <a:bodyPr/>
                  <a:lstStyle/>
                  <a:p>
                    <a:pPr>
                      <a:defRPr/>
                    </a:pPr>
                    <a:r>
                      <a:rPr lang="en-US" b="0"/>
                      <a:t>47.9%</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05D-46CD-B765-F79E38BF08CB}"/>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Child Care</c:v>
                </c:pt>
                <c:pt idx="1">
                  <c:v>Other (please specify)</c:v>
                </c:pt>
                <c:pt idx="2">
                  <c:v>Recreational activities</c:v>
                </c:pt>
                <c:pt idx="3">
                  <c:v>Supportive educational setting</c:v>
                </c:pt>
                <c:pt idx="4">
                  <c:v>Financial Resources</c:v>
                </c:pt>
                <c:pt idx="5">
                  <c:v>In-home support</c:v>
                </c:pt>
                <c:pt idx="6">
                  <c:v>Wraparound services</c:v>
                </c:pt>
                <c:pt idx="7">
                  <c:v>Behavioral/mental health services</c:v>
                </c:pt>
              </c:strCache>
            </c:strRef>
          </c:cat>
          <c:val>
            <c:numRef>
              <c:f>Sheet1!$B$2:$B$9</c:f>
              <c:numCache>
                <c:formatCode>General</c:formatCode>
                <c:ptCount val="8"/>
                <c:pt idx="0">
                  <c:v>12.5</c:v>
                </c:pt>
                <c:pt idx="1">
                  <c:v>12.5</c:v>
                </c:pt>
                <c:pt idx="2">
                  <c:v>14.6</c:v>
                </c:pt>
                <c:pt idx="3">
                  <c:v>18.8</c:v>
                </c:pt>
                <c:pt idx="4">
                  <c:v>31.3</c:v>
                </c:pt>
                <c:pt idx="5">
                  <c:v>62.5</c:v>
                </c:pt>
                <c:pt idx="6">
                  <c:v>62.5</c:v>
                </c:pt>
                <c:pt idx="7">
                  <c:v>66.7</c:v>
                </c:pt>
              </c:numCache>
            </c:numRef>
          </c:val>
          <c:extLst>
            <c:ext xmlns:c16="http://schemas.microsoft.com/office/drawing/2014/chart" uri="{C3380CC4-5D6E-409C-BE32-E72D297353CC}">
              <c16:uniqueId val="{0000000D-C05D-46CD-B765-F79E38BF08CB}"/>
            </c:ext>
          </c:extLst>
        </c:ser>
        <c:dLbls>
          <c:showLegendKey val="0"/>
          <c:showVal val="0"/>
          <c:showCatName val="0"/>
          <c:showSerName val="0"/>
          <c:showPercent val="0"/>
          <c:showBubbleSize val="0"/>
        </c:dLbls>
        <c:gapWidth val="150"/>
        <c:axId val="105527936"/>
        <c:axId val="105546112"/>
      </c:barChart>
      <c:catAx>
        <c:axId val="105527936"/>
        <c:scaling>
          <c:orientation val="minMax"/>
        </c:scaling>
        <c:delete val="0"/>
        <c:axPos val="l"/>
        <c:numFmt formatCode="General" sourceLinked="1"/>
        <c:majorTickMark val="out"/>
        <c:minorTickMark val="none"/>
        <c:tickLblPos val="nextTo"/>
        <c:crossAx val="105546112"/>
        <c:crosses val="autoZero"/>
        <c:auto val="1"/>
        <c:lblAlgn val="ctr"/>
        <c:lblOffset val="100"/>
        <c:noMultiLvlLbl val="0"/>
      </c:catAx>
      <c:valAx>
        <c:axId val="105546112"/>
        <c:scaling>
          <c:orientation val="minMax"/>
        </c:scaling>
        <c:delete val="1"/>
        <c:axPos val="b"/>
        <c:numFmt formatCode="General" sourceLinked="1"/>
        <c:majorTickMark val="out"/>
        <c:minorTickMark val="none"/>
        <c:tickLblPos val="none"/>
        <c:crossAx val="105527936"/>
        <c:crosses val="autoZero"/>
        <c:crossBetween val="between"/>
      </c:valAx>
    </c:plotArea>
    <c:plotVisOnly val="1"/>
    <c:dispBlanksAs val="gap"/>
    <c:showDLblsOverMax val="0"/>
  </c:chart>
  <c:spPr>
    <a:ln>
      <a:noFill/>
    </a:ln>
  </c:spPr>
  <c:txPr>
    <a:bodyPr/>
    <a:lstStyle/>
    <a:p>
      <a:pPr>
        <a:defRPr>
          <a:ln>
            <a:noFill/>
          </a:ln>
          <a:latin typeface="Perpetua" panose="02020502060401020303"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163694058721338E-2"/>
          <c:y val="0"/>
          <c:w val="0.94239329667452543"/>
          <c:h val="0.80471519538816261"/>
        </c:manualLayout>
      </c:layout>
      <c:barChart>
        <c:barDir val="col"/>
        <c:grouping val="clustered"/>
        <c:varyColors val="0"/>
        <c:ser>
          <c:idx val="0"/>
          <c:order val="0"/>
          <c:tx>
            <c:strRef>
              <c:f>Sheet1!$B$1</c:f>
              <c:strCache>
                <c:ptCount val="1"/>
                <c:pt idx="0">
                  <c:v>Series 1</c:v>
                </c:pt>
              </c:strCache>
            </c:strRef>
          </c:tx>
          <c:spPr>
            <a:solidFill>
              <a:srgbClr val="F6872B"/>
            </a:solidFill>
          </c:spPr>
          <c:invertIfNegative val="0"/>
          <c:dLbls>
            <c:dLbl>
              <c:idx val="1"/>
              <c:tx>
                <c:rich>
                  <a:bodyPr/>
                  <a:lstStyle/>
                  <a:p>
                    <a:pPr>
                      <a:defRPr/>
                    </a:pPr>
                    <a:r>
                      <a:rPr lang="en-US" sz="630"/>
                      <a:t>10.4%</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8D-4BE7-9BA8-DD1F4BD9C6BF}"/>
                </c:ext>
              </c:extLst>
            </c:dLbl>
            <c:dLbl>
              <c:idx val="2"/>
              <c:tx>
                <c:rich>
                  <a:bodyPr/>
                  <a:lstStyle/>
                  <a:p>
                    <a:pPr>
                      <a:defRPr/>
                    </a:pPr>
                    <a:r>
                      <a:rPr lang="en-US" sz="630"/>
                      <a:t>58.3%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8D-4BE7-9BA8-DD1F4BD9C6BF}"/>
                </c:ext>
              </c:extLst>
            </c:dLbl>
            <c:dLbl>
              <c:idx val="3"/>
              <c:tx>
                <c:rich>
                  <a:bodyPr/>
                  <a:lstStyle/>
                  <a:p>
                    <a:pPr>
                      <a:defRPr/>
                    </a:pPr>
                    <a:r>
                      <a:rPr lang="en-US" sz="630"/>
                      <a:t>31.3%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8D-4BE7-9BA8-DD1F4BD9C6B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Always</c:v>
                </c:pt>
                <c:pt idx="1">
                  <c:v>Most of the time</c:v>
                </c:pt>
                <c:pt idx="2">
                  <c:v>   Sometimes</c:v>
                </c:pt>
                <c:pt idx="3">
                  <c:v>Never</c:v>
                </c:pt>
              </c:strCache>
            </c:strRef>
          </c:cat>
          <c:val>
            <c:numRef>
              <c:f>Sheet1!$B$2:$B$5</c:f>
              <c:numCache>
                <c:formatCode>General</c:formatCode>
                <c:ptCount val="4"/>
                <c:pt idx="0">
                  <c:v>0</c:v>
                </c:pt>
                <c:pt idx="1">
                  <c:v>10.4</c:v>
                </c:pt>
                <c:pt idx="2">
                  <c:v>58.3</c:v>
                </c:pt>
                <c:pt idx="3">
                  <c:v>31.3</c:v>
                </c:pt>
              </c:numCache>
            </c:numRef>
          </c:val>
          <c:extLst>
            <c:ext xmlns:c16="http://schemas.microsoft.com/office/drawing/2014/chart" uri="{C3380CC4-5D6E-409C-BE32-E72D297353CC}">
              <c16:uniqueId val="{00000003-558D-4BE7-9BA8-DD1F4BD9C6BF}"/>
            </c:ext>
          </c:extLst>
        </c:ser>
        <c:dLbls>
          <c:showLegendKey val="0"/>
          <c:showVal val="0"/>
          <c:showCatName val="0"/>
          <c:showSerName val="0"/>
          <c:showPercent val="0"/>
          <c:showBubbleSize val="0"/>
        </c:dLbls>
        <c:gapWidth val="150"/>
        <c:axId val="105992960"/>
        <c:axId val="105994496"/>
      </c:barChart>
      <c:catAx>
        <c:axId val="105992960"/>
        <c:scaling>
          <c:orientation val="minMax"/>
        </c:scaling>
        <c:delete val="0"/>
        <c:axPos val="b"/>
        <c:numFmt formatCode="General" sourceLinked="1"/>
        <c:majorTickMark val="out"/>
        <c:minorTickMark val="none"/>
        <c:tickLblPos val="nextTo"/>
        <c:crossAx val="105994496"/>
        <c:crosses val="autoZero"/>
        <c:auto val="1"/>
        <c:lblAlgn val="ctr"/>
        <c:lblOffset val="100"/>
        <c:noMultiLvlLbl val="0"/>
      </c:catAx>
      <c:valAx>
        <c:axId val="105994496"/>
        <c:scaling>
          <c:orientation val="minMax"/>
        </c:scaling>
        <c:delete val="1"/>
        <c:axPos val="l"/>
        <c:numFmt formatCode="General" sourceLinked="1"/>
        <c:majorTickMark val="out"/>
        <c:minorTickMark val="none"/>
        <c:tickLblPos val="none"/>
        <c:crossAx val="105992960"/>
        <c:crosses val="autoZero"/>
        <c:crossBetween val="between"/>
      </c:valAx>
      <c:spPr>
        <a:noFill/>
        <a:ln w="15231">
          <a:noFill/>
        </a:ln>
      </c:spPr>
    </c:plotArea>
    <c:plotVisOnly val="1"/>
    <c:dispBlanksAs val="gap"/>
    <c:showDLblsOverMax val="0"/>
  </c:chart>
  <c:spPr>
    <a:ln>
      <a:noFill/>
    </a:ln>
  </c:spPr>
  <c:txPr>
    <a:bodyPr/>
    <a:lstStyle/>
    <a:p>
      <a:pPr>
        <a:defRPr sz="660">
          <a:latin typeface="Perpetua" panose="02020502060401020303"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163694058721338E-2"/>
          <c:y val="0"/>
          <c:w val="0.94239329667452365"/>
          <c:h val="0.80471519538816261"/>
        </c:manualLayout>
      </c:layout>
      <c:barChart>
        <c:barDir val="col"/>
        <c:grouping val="clustered"/>
        <c:varyColors val="0"/>
        <c:ser>
          <c:idx val="0"/>
          <c:order val="0"/>
          <c:tx>
            <c:strRef>
              <c:f>Sheet1!$B$1</c:f>
              <c:strCache>
                <c:ptCount val="1"/>
                <c:pt idx="0">
                  <c:v>Series 1</c:v>
                </c:pt>
              </c:strCache>
            </c:strRef>
          </c:tx>
          <c:spPr>
            <a:solidFill>
              <a:srgbClr val="F6872B"/>
            </a:solidFill>
          </c:spPr>
          <c:invertIfNegative val="0"/>
          <c:dLbls>
            <c:dLbl>
              <c:idx val="1"/>
              <c:tx>
                <c:rich>
                  <a:bodyPr/>
                  <a:lstStyle/>
                  <a:p>
                    <a:pPr>
                      <a:defRPr/>
                    </a:pPr>
                    <a:r>
                      <a:rPr lang="en-US" sz="630"/>
                      <a:t>10.4%</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58-4CEE-8581-93DBEBC41AC0}"/>
                </c:ext>
              </c:extLst>
            </c:dLbl>
            <c:dLbl>
              <c:idx val="2"/>
              <c:tx>
                <c:rich>
                  <a:bodyPr/>
                  <a:lstStyle/>
                  <a:p>
                    <a:pPr>
                      <a:defRPr/>
                    </a:pPr>
                    <a:r>
                      <a:rPr lang="en-US" sz="630"/>
                      <a:t>58.3%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58-4CEE-8581-93DBEBC41AC0}"/>
                </c:ext>
              </c:extLst>
            </c:dLbl>
            <c:dLbl>
              <c:idx val="3"/>
              <c:tx>
                <c:rich>
                  <a:bodyPr/>
                  <a:lstStyle/>
                  <a:p>
                    <a:pPr>
                      <a:defRPr/>
                    </a:pPr>
                    <a:r>
                      <a:rPr lang="en-US" sz="630"/>
                      <a:t>31.3%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58-4CEE-8581-93DBEBC41AC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Always</c:v>
                </c:pt>
                <c:pt idx="1">
                  <c:v>Most of the time</c:v>
                </c:pt>
                <c:pt idx="2">
                  <c:v>   Sometimes</c:v>
                </c:pt>
                <c:pt idx="3">
                  <c:v>Never</c:v>
                </c:pt>
              </c:strCache>
            </c:strRef>
          </c:cat>
          <c:val>
            <c:numRef>
              <c:f>Sheet1!$B$2:$B$5</c:f>
              <c:numCache>
                <c:formatCode>General</c:formatCode>
                <c:ptCount val="4"/>
                <c:pt idx="0">
                  <c:v>0</c:v>
                </c:pt>
                <c:pt idx="1">
                  <c:v>10.4</c:v>
                </c:pt>
                <c:pt idx="2">
                  <c:v>58.3</c:v>
                </c:pt>
                <c:pt idx="3">
                  <c:v>31.3</c:v>
                </c:pt>
              </c:numCache>
            </c:numRef>
          </c:val>
          <c:extLst>
            <c:ext xmlns:c16="http://schemas.microsoft.com/office/drawing/2014/chart" uri="{C3380CC4-5D6E-409C-BE32-E72D297353CC}">
              <c16:uniqueId val="{00000003-E858-4CEE-8581-93DBEBC41AC0}"/>
            </c:ext>
          </c:extLst>
        </c:ser>
        <c:dLbls>
          <c:showLegendKey val="0"/>
          <c:showVal val="0"/>
          <c:showCatName val="0"/>
          <c:showSerName val="0"/>
          <c:showPercent val="0"/>
          <c:showBubbleSize val="0"/>
        </c:dLbls>
        <c:gapWidth val="150"/>
        <c:axId val="106031744"/>
        <c:axId val="106033536"/>
      </c:barChart>
      <c:catAx>
        <c:axId val="106031744"/>
        <c:scaling>
          <c:orientation val="minMax"/>
        </c:scaling>
        <c:delete val="0"/>
        <c:axPos val="b"/>
        <c:numFmt formatCode="General" sourceLinked="1"/>
        <c:majorTickMark val="out"/>
        <c:minorTickMark val="none"/>
        <c:tickLblPos val="nextTo"/>
        <c:crossAx val="106033536"/>
        <c:crosses val="autoZero"/>
        <c:auto val="1"/>
        <c:lblAlgn val="ctr"/>
        <c:lblOffset val="100"/>
        <c:noMultiLvlLbl val="0"/>
      </c:catAx>
      <c:valAx>
        <c:axId val="106033536"/>
        <c:scaling>
          <c:orientation val="minMax"/>
        </c:scaling>
        <c:delete val="1"/>
        <c:axPos val="l"/>
        <c:numFmt formatCode="General" sourceLinked="1"/>
        <c:majorTickMark val="out"/>
        <c:minorTickMark val="none"/>
        <c:tickLblPos val="none"/>
        <c:crossAx val="106031744"/>
        <c:crosses val="autoZero"/>
        <c:crossBetween val="between"/>
      </c:valAx>
      <c:spPr>
        <a:noFill/>
        <a:ln w="15231">
          <a:noFill/>
        </a:ln>
      </c:spPr>
    </c:plotArea>
    <c:plotVisOnly val="1"/>
    <c:dispBlanksAs val="gap"/>
    <c:showDLblsOverMax val="0"/>
  </c:chart>
  <c:spPr>
    <a:ln>
      <a:noFill/>
    </a:ln>
  </c:spPr>
  <c:txPr>
    <a:bodyPr/>
    <a:lstStyle/>
    <a:p>
      <a:pPr>
        <a:defRPr sz="660">
          <a:latin typeface="Perpetua" panose="02020502060401020303"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19844289126802"/>
          <c:y val="7.3137492428831398E-4"/>
          <c:w val="0.87357139697425468"/>
          <c:h val="0.67918027146854276"/>
        </c:manualLayout>
      </c:layout>
      <c:barChart>
        <c:barDir val="col"/>
        <c:grouping val="clustered"/>
        <c:varyColors val="0"/>
        <c:ser>
          <c:idx val="0"/>
          <c:order val="0"/>
          <c:tx>
            <c:strRef>
              <c:f>Sheet1!$B$1</c:f>
              <c:strCache>
                <c:ptCount val="1"/>
                <c:pt idx="0">
                  <c:v>Series 1</c:v>
                </c:pt>
              </c:strCache>
            </c:strRef>
          </c:tx>
          <c:spPr>
            <a:solidFill>
              <a:srgbClr val="800929"/>
            </a:solidFill>
          </c:spPr>
          <c:invertIfNegative val="0"/>
          <c:dLbls>
            <c:dLbl>
              <c:idx val="0"/>
              <c:tx>
                <c:rich>
                  <a:bodyPr/>
                  <a:lstStyle/>
                  <a:p>
                    <a:pPr>
                      <a:defRPr/>
                    </a:pPr>
                    <a:r>
                      <a:rPr lang="en-US">
                        <a:latin typeface="Myriad Pro" pitchFamily="34" charset="0"/>
                      </a:rPr>
                      <a:t>4.2%</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8B-4A9A-9B8A-AA0AD0BB2805}"/>
                </c:ext>
              </c:extLst>
            </c:dLbl>
            <c:dLbl>
              <c:idx val="1"/>
              <c:tx>
                <c:rich>
                  <a:bodyPr/>
                  <a:lstStyle/>
                  <a:p>
                    <a:pPr>
                      <a:defRPr/>
                    </a:pPr>
                    <a:r>
                      <a:rPr lang="en-US">
                        <a:latin typeface="Myriad Pro" pitchFamily="34" charset="0"/>
                      </a:rPr>
                      <a:t>18.8%</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A8B-4A9A-9B8A-AA0AD0BB2805}"/>
                </c:ext>
              </c:extLst>
            </c:dLbl>
            <c:dLbl>
              <c:idx val="2"/>
              <c:tx>
                <c:rich>
                  <a:bodyPr/>
                  <a:lstStyle/>
                  <a:p>
                    <a:pPr>
                      <a:defRPr/>
                    </a:pPr>
                    <a:r>
                      <a:rPr lang="en-US">
                        <a:latin typeface="Myriad Pro" pitchFamily="34" charset="0"/>
                      </a:rPr>
                      <a:t>50%</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A8B-4A9A-9B8A-AA0AD0BB2805}"/>
                </c:ext>
              </c:extLst>
            </c:dLbl>
            <c:dLbl>
              <c:idx val="3"/>
              <c:tx>
                <c:rich>
                  <a:bodyPr/>
                  <a:lstStyle/>
                  <a:p>
                    <a:pPr>
                      <a:defRPr/>
                    </a:pPr>
                    <a:r>
                      <a:rPr lang="en-US">
                        <a:latin typeface="Myriad Pro" pitchFamily="34" charset="0"/>
                      </a:rPr>
                      <a:t>27.1%</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A8B-4A9A-9B8A-AA0AD0BB2805}"/>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Always</c:v>
                </c:pt>
                <c:pt idx="1">
                  <c:v>Most of the time</c:v>
                </c:pt>
                <c:pt idx="2">
                  <c:v>Sometimes</c:v>
                </c:pt>
                <c:pt idx="3">
                  <c:v>Never</c:v>
                </c:pt>
              </c:strCache>
            </c:strRef>
          </c:cat>
          <c:val>
            <c:numRef>
              <c:f>Sheet1!$B$2:$B$5</c:f>
              <c:numCache>
                <c:formatCode>General</c:formatCode>
                <c:ptCount val="4"/>
                <c:pt idx="0">
                  <c:v>4.2</c:v>
                </c:pt>
                <c:pt idx="1">
                  <c:v>18.8</c:v>
                </c:pt>
                <c:pt idx="2">
                  <c:v>50</c:v>
                </c:pt>
                <c:pt idx="3">
                  <c:v>27.1</c:v>
                </c:pt>
              </c:numCache>
            </c:numRef>
          </c:val>
          <c:extLst>
            <c:ext xmlns:c16="http://schemas.microsoft.com/office/drawing/2014/chart" uri="{C3380CC4-5D6E-409C-BE32-E72D297353CC}">
              <c16:uniqueId val="{00000004-BA8B-4A9A-9B8A-AA0AD0BB2805}"/>
            </c:ext>
          </c:extLst>
        </c:ser>
        <c:dLbls>
          <c:showLegendKey val="0"/>
          <c:showVal val="0"/>
          <c:showCatName val="0"/>
          <c:showSerName val="0"/>
          <c:showPercent val="0"/>
          <c:showBubbleSize val="0"/>
        </c:dLbls>
        <c:gapWidth val="150"/>
        <c:axId val="108004480"/>
        <c:axId val="108006016"/>
      </c:barChart>
      <c:catAx>
        <c:axId val="108004480"/>
        <c:scaling>
          <c:orientation val="minMax"/>
        </c:scaling>
        <c:delete val="0"/>
        <c:axPos val="b"/>
        <c:numFmt formatCode="General" sourceLinked="1"/>
        <c:majorTickMark val="out"/>
        <c:minorTickMark val="none"/>
        <c:tickLblPos val="nextTo"/>
        <c:crossAx val="108006016"/>
        <c:crosses val="autoZero"/>
        <c:auto val="1"/>
        <c:lblAlgn val="ctr"/>
        <c:lblOffset val="100"/>
        <c:noMultiLvlLbl val="0"/>
      </c:catAx>
      <c:valAx>
        <c:axId val="108006016"/>
        <c:scaling>
          <c:orientation val="minMax"/>
        </c:scaling>
        <c:delete val="1"/>
        <c:axPos val="l"/>
        <c:numFmt formatCode="General" sourceLinked="1"/>
        <c:majorTickMark val="out"/>
        <c:minorTickMark val="none"/>
        <c:tickLblPos val="none"/>
        <c:crossAx val="108004480"/>
        <c:crosses val="autoZero"/>
        <c:crossBetween val="between"/>
      </c:valAx>
      <c:spPr>
        <a:noFill/>
        <a:ln w="15221">
          <a:noFill/>
        </a:ln>
      </c:spPr>
    </c:plotArea>
    <c:plotVisOnly val="1"/>
    <c:dispBlanksAs val="gap"/>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1984428912679"/>
          <c:y val="7.313749242883116E-4"/>
          <c:w val="0.87357139697425468"/>
          <c:h val="0.67918027146854099"/>
        </c:manualLayout>
      </c:layout>
      <c:barChart>
        <c:barDir val="col"/>
        <c:grouping val="clustered"/>
        <c:varyColors val="0"/>
        <c:ser>
          <c:idx val="0"/>
          <c:order val="0"/>
          <c:tx>
            <c:strRef>
              <c:f>Sheet1!$B$1</c:f>
              <c:strCache>
                <c:ptCount val="1"/>
                <c:pt idx="0">
                  <c:v>Series 1</c:v>
                </c:pt>
              </c:strCache>
            </c:strRef>
          </c:tx>
          <c:spPr>
            <a:solidFill>
              <a:srgbClr val="800929"/>
            </a:solidFill>
          </c:spPr>
          <c:invertIfNegative val="0"/>
          <c:dLbls>
            <c:dLbl>
              <c:idx val="0"/>
              <c:tx>
                <c:rich>
                  <a:bodyPr/>
                  <a:lstStyle/>
                  <a:p>
                    <a:pPr>
                      <a:defRPr/>
                    </a:pPr>
                    <a:r>
                      <a:rPr lang="en-US">
                        <a:latin typeface="Myriad Pro" pitchFamily="34" charset="0"/>
                      </a:rPr>
                      <a:t>4.2%</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F6-4792-9F5E-6346F68B7712}"/>
                </c:ext>
              </c:extLst>
            </c:dLbl>
            <c:dLbl>
              <c:idx val="1"/>
              <c:tx>
                <c:rich>
                  <a:bodyPr/>
                  <a:lstStyle/>
                  <a:p>
                    <a:pPr>
                      <a:defRPr/>
                    </a:pPr>
                    <a:r>
                      <a:rPr lang="en-US">
                        <a:latin typeface="Myriad Pro" pitchFamily="34" charset="0"/>
                      </a:rPr>
                      <a:t>18.8%</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F6-4792-9F5E-6346F68B7712}"/>
                </c:ext>
              </c:extLst>
            </c:dLbl>
            <c:dLbl>
              <c:idx val="2"/>
              <c:tx>
                <c:rich>
                  <a:bodyPr/>
                  <a:lstStyle/>
                  <a:p>
                    <a:pPr>
                      <a:defRPr/>
                    </a:pPr>
                    <a:r>
                      <a:rPr lang="en-US">
                        <a:latin typeface="Myriad Pro" pitchFamily="34" charset="0"/>
                      </a:rPr>
                      <a:t>50%</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F6-4792-9F5E-6346F68B7712}"/>
                </c:ext>
              </c:extLst>
            </c:dLbl>
            <c:dLbl>
              <c:idx val="3"/>
              <c:tx>
                <c:rich>
                  <a:bodyPr/>
                  <a:lstStyle/>
                  <a:p>
                    <a:pPr>
                      <a:defRPr/>
                    </a:pPr>
                    <a:r>
                      <a:rPr lang="en-US">
                        <a:latin typeface="Myriad Pro" pitchFamily="34" charset="0"/>
                      </a:rPr>
                      <a:t>27.1%</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F6-4792-9F5E-6346F68B7712}"/>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Always</c:v>
                </c:pt>
                <c:pt idx="1">
                  <c:v>Most of the time</c:v>
                </c:pt>
                <c:pt idx="2">
                  <c:v>Sometimes</c:v>
                </c:pt>
                <c:pt idx="3">
                  <c:v>Never</c:v>
                </c:pt>
              </c:strCache>
            </c:strRef>
          </c:cat>
          <c:val>
            <c:numRef>
              <c:f>Sheet1!$B$2:$B$5</c:f>
              <c:numCache>
                <c:formatCode>General</c:formatCode>
                <c:ptCount val="4"/>
                <c:pt idx="0">
                  <c:v>4.2</c:v>
                </c:pt>
                <c:pt idx="1">
                  <c:v>18.8</c:v>
                </c:pt>
                <c:pt idx="2">
                  <c:v>50</c:v>
                </c:pt>
                <c:pt idx="3">
                  <c:v>27.1</c:v>
                </c:pt>
              </c:numCache>
            </c:numRef>
          </c:val>
          <c:extLst>
            <c:ext xmlns:c16="http://schemas.microsoft.com/office/drawing/2014/chart" uri="{C3380CC4-5D6E-409C-BE32-E72D297353CC}">
              <c16:uniqueId val="{00000004-9DF6-4792-9F5E-6346F68B7712}"/>
            </c:ext>
          </c:extLst>
        </c:ser>
        <c:dLbls>
          <c:showLegendKey val="0"/>
          <c:showVal val="0"/>
          <c:showCatName val="0"/>
          <c:showSerName val="0"/>
          <c:showPercent val="0"/>
          <c:showBubbleSize val="0"/>
        </c:dLbls>
        <c:gapWidth val="150"/>
        <c:axId val="108031360"/>
        <c:axId val="108045440"/>
      </c:barChart>
      <c:catAx>
        <c:axId val="108031360"/>
        <c:scaling>
          <c:orientation val="minMax"/>
        </c:scaling>
        <c:delete val="0"/>
        <c:axPos val="b"/>
        <c:numFmt formatCode="General" sourceLinked="1"/>
        <c:majorTickMark val="out"/>
        <c:minorTickMark val="none"/>
        <c:tickLblPos val="nextTo"/>
        <c:crossAx val="108045440"/>
        <c:crosses val="autoZero"/>
        <c:auto val="1"/>
        <c:lblAlgn val="ctr"/>
        <c:lblOffset val="100"/>
        <c:noMultiLvlLbl val="0"/>
      </c:catAx>
      <c:valAx>
        <c:axId val="108045440"/>
        <c:scaling>
          <c:orientation val="minMax"/>
        </c:scaling>
        <c:delete val="1"/>
        <c:axPos val="l"/>
        <c:numFmt formatCode="General" sourceLinked="1"/>
        <c:majorTickMark val="out"/>
        <c:minorTickMark val="none"/>
        <c:tickLblPos val="none"/>
        <c:crossAx val="108031360"/>
        <c:crosses val="autoZero"/>
        <c:crossBetween val="between"/>
      </c:valAx>
      <c:spPr>
        <a:noFill/>
        <a:ln w="15221">
          <a:noFill/>
        </a:ln>
      </c:spPr>
    </c:plotArea>
    <c:plotVisOnly val="1"/>
    <c:dispBlanksAs val="gap"/>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autoTitleDeleted val="1"/>
    <c:plotArea>
      <c:layout>
        <c:manualLayout>
          <c:layoutTarget val="inner"/>
          <c:xMode val="edge"/>
          <c:yMode val="edge"/>
          <c:x val="0.26261171864182675"/>
          <c:y val="6.25508490270833E-2"/>
          <c:w val="0.5085721264247004"/>
          <c:h val="0.81111685856786153"/>
        </c:manualLayout>
      </c:layout>
      <c:doughnutChart>
        <c:varyColors val="1"/>
        <c:dLbls>
          <c:showLegendKey val="0"/>
          <c:showVal val="0"/>
          <c:showCatName val="0"/>
          <c:showSerName val="0"/>
          <c:showPercent val="0"/>
          <c:showBubbleSize val="0"/>
          <c:showLeaderLines val="0"/>
        </c:dLbls>
        <c:firstSliceAng val="0"/>
        <c:holeSize val="50"/>
      </c:doughnutChart>
      <c:spPr>
        <a:noFill/>
        <a:ln w="15228">
          <a:noFill/>
        </a:ln>
      </c:spPr>
    </c:plotArea>
    <c:plotVisOnly val="1"/>
    <c:dispBlanksAs val="zero"/>
    <c:showDLblsOverMax val="0"/>
  </c:chart>
  <c:spPr>
    <a:noFill/>
    <a:ln>
      <a:noFill/>
    </a:ln>
  </c:spPr>
  <c:txPr>
    <a:bodyPr/>
    <a:lstStyle/>
    <a:p>
      <a:pPr>
        <a:defRPr>
          <a:latin typeface="Perpetua" panose="02020502060401020303" pitchFamily="18"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261171864182675"/>
          <c:y val="6.25508490270833E-2"/>
          <c:w val="0.5085721264247004"/>
          <c:h val="0.81111685856786153"/>
        </c:manualLayout>
      </c:layout>
      <c:doughnutChart>
        <c:varyColors val="1"/>
        <c:ser>
          <c:idx val="0"/>
          <c:order val="0"/>
          <c:tx>
            <c:strRef>
              <c:f>Sheet1!$B$1</c:f>
              <c:strCache>
                <c:ptCount val="1"/>
                <c:pt idx="0">
                  <c:v>Sales</c:v>
                </c:pt>
              </c:strCache>
            </c:strRef>
          </c:tx>
          <c:dPt>
            <c:idx val="0"/>
            <c:bubble3D val="0"/>
            <c:spPr>
              <a:solidFill>
                <a:srgbClr val="2E7029"/>
              </a:solidFill>
            </c:spPr>
            <c:extLst>
              <c:ext xmlns:c16="http://schemas.microsoft.com/office/drawing/2014/chart" uri="{C3380CC4-5D6E-409C-BE32-E72D297353CC}">
                <c16:uniqueId val="{00000000-D00F-4E42-B833-7DF2D4F81E9E}"/>
              </c:ext>
            </c:extLst>
          </c:dPt>
          <c:dLbls>
            <c:dLbl>
              <c:idx val="0"/>
              <c:layout>
                <c:manualLayout>
                  <c:x val="0.12955287899326867"/>
                  <c:y val="-0.1054297365039054"/>
                </c:manualLayout>
              </c:layout>
              <c:tx>
                <c:rich>
                  <a:bodyPr/>
                  <a:lstStyle/>
                  <a:p>
                    <a:pPr>
                      <a:defRPr/>
                    </a:pPr>
                    <a:r>
                      <a:rPr lang="en-US"/>
                      <a:t>Yes, 45.8%, </a:t>
                    </a:r>
                  </a:p>
                </c:rich>
              </c:tx>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0F-4E42-B833-7DF2D4F81E9E}"/>
                </c:ext>
              </c:extLst>
            </c:dLbl>
            <c:dLbl>
              <c:idx val="1"/>
              <c:layout>
                <c:manualLayout>
                  <c:x val="-0.1173401432658822"/>
                  <c:y val="-0.11351353767046975"/>
                </c:manualLayout>
              </c:layout>
              <c:spPr/>
              <c:txPr>
                <a:bodyPr/>
                <a:lstStyle/>
                <a:p>
                  <a:pPr>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0F-4E42-B833-7DF2D4F81E9E}"/>
                </c:ext>
              </c:extLst>
            </c:dLbl>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0.0%</c:formatCode>
                <c:ptCount val="2"/>
                <c:pt idx="0">
                  <c:v>0.45800000000000002</c:v>
                </c:pt>
                <c:pt idx="1">
                  <c:v>0.54200000000000004</c:v>
                </c:pt>
              </c:numCache>
            </c:numRef>
          </c:val>
          <c:extLst>
            <c:ext xmlns:c16="http://schemas.microsoft.com/office/drawing/2014/chart" uri="{C3380CC4-5D6E-409C-BE32-E72D297353CC}">
              <c16:uniqueId val="{00000002-D00F-4E42-B833-7DF2D4F81E9E}"/>
            </c:ext>
          </c:extLst>
        </c:ser>
        <c:dLbls>
          <c:showLegendKey val="0"/>
          <c:showVal val="0"/>
          <c:showCatName val="0"/>
          <c:showSerName val="0"/>
          <c:showPercent val="0"/>
          <c:showBubbleSize val="0"/>
          <c:showLeaderLines val="0"/>
        </c:dLbls>
        <c:firstSliceAng val="0"/>
        <c:holeSize val="50"/>
      </c:doughnutChart>
      <c:spPr>
        <a:noFill/>
        <a:ln w="15228">
          <a:noFill/>
        </a:ln>
      </c:spPr>
    </c:plotArea>
    <c:plotVisOnly val="1"/>
    <c:dispBlanksAs val="zero"/>
    <c:showDLblsOverMax val="0"/>
  </c:chart>
  <c:spPr>
    <a:noFill/>
    <a:ln>
      <a:noFill/>
    </a:ln>
  </c:spPr>
  <c:txPr>
    <a:bodyPr/>
    <a:lstStyle/>
    <a:p>
      <a:pPr>
        <a:defRPr>
          <a:latin typeface="Perpetua" panose="02020502060401020303" pitchFamily="18"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266409178537531"/>
          <c:y val="2.8318530636581966E-2"/>
          <c:w val="0.54733582969345262"/>
          <c:h val="0.82260123667144225"/>
        </c:manualLayout>
      </c:layout>
      <c:barChart>
        <c:barDir val="bar"/>
        <c:grouping val="clustered"/>
        <c:varyColors val="0"/>
        <c:ser>
          <c:idx val="0"/>
          <c:order val="0"/>
          <c:tx>
            <c:strRef>
              <c:f>Sheet1!$B$1</c:f>
              <c:strCache>
                <c:ptCount val="1"/>
                <c:pt idx="0">
                  <c:v>Series 1</c:v>
                </c:pt>
              </c:strCache>
            </c:strRef>
          </c:tx>
          <c:spPr>
            <a:solidFill>
              <a:srgbClr val="013161"/>
            </a:solidFill>
          </c:spPr>
          <c:invertIfNegative val="0"/>
          <c:dLbls>
            <c:dLbl>
              <c:idx val="0"/>
              <c:tx>
                <c:rich>
                  <a:bodyPr/>
                  <a:lstStyle/>
                  <a:p>
                    <a:pPr>
                      <a:defRPr/>
                    </a:pPr>
                    <a:r>
                      <a:rPr lang="en-US" b="0"/>
                      <a:t>8.3%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09-4439-A8FF-D551F732E493}"/>
                </c:ext>
              </c:extLst>
            </c:dLbl>
            <c:dLbl>
              <c:idx val="1"/>
              <c:tx>
                <c:rich>
                  <a:bodyPr/>
                  <a:lstStyle/>
                  <a:p>
                    <a:pPr>
                      <a:defRPr/>
                    </a:pPr>
                    <a:r>
                      <a:rPr lang="en-US" b="0"/>
                      <a:t>10.4%</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09-4439-A8FF-D551F732E493}"/>
                </c:ext>
              </c:extLst>
            </c:dLbl>
            <c:dLbl>
              <c:idx val="2"/>
              <c:tx>
                <c:rich>
                  <a:bodyPr/>
                  <a:lstStyle/>
                  <a:p>
                    <a:pPr>
                      <a:defRPr/>
                    </a:pPr>
                    <a:r>
                      <a:rPr lang="en-US" b="0"/>
                      <a:t>12.5%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109-4439-A8FF-D551F732E493}"/>
                </c:ext>
              </c:extLst>
            </c:dLbl>
            <c:dLbl>
              <c:idx val="3"/>
              <c:tx>
                <c:rich>
                  <a:bodyPr/>
                  <a:lstStyle/>
                  <a:p>
                    <a:pPr>
                      <a:defRPr/>
                    </a:pPr>
                    <a:r>
                      <a:rPr lang="en-US" b="0"/>
                      <a:t>37.5%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09-4439-A8FF-D551F732E493}"/>
                </c:ext>
              </c:extLst>
            </c:dLbl>
            <c:dLbl>
              <c:idx val="4"/>
              <c:tx>
                <c:rich>
                  <a:bodyPr/>
                  <a:lstStyle/>
                  <a:p>
                    <a:pPr>
                      <a:defRPr/>
                    </a:pPr>
                    <a:r>
                      <a:rPr lang="en-US" b="0"/>
                      <a:t>37.5%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109-4439-A8FF-D551F732E493}"/>
                </c:ext>
              </c:extLst>
            </c:dLbl>
            <c:dLbl>
              <c:idx val="5"/>
              <c:tx>
                <c:rich>
                  <a:bodyPr/>
                  <a:lstStyle/>
                  <a:p>
                    <a:pPr>
                      <a:defRPr/>
                    </a:pPr>
                    <a:r>
                      <a:rPr lang="en-US" b="0"/>
                      <a:t>37.5%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09-4439-A8FF-D551F732E493}"/>
                </c:ext>
              </c:extLst>
            </c:dLbl>
            <c:dLbl>
              <c:idx val="6"/>
              <c:tx>
                <c:rich>
                  <a:bodyPr/>
                  <a:lstStyle/>
                  <a:p>
                    <a:pPr>
                      <a:defRPr/>
                    </a:pPr>
                    <a:r>
                      <a:rPr lang="en-US" b="0"/>
                      <a:t>39.6%</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109-4439-A8FF-D551F732E493}"/>
                </c:ext>
              </c:extLst>
            </c:dLbl>
            <c:dLbl>
              <c:idx val="7"/>
              <c:tx>
                <c:rich>
                  <a:bodyPr/>
                  <a:lstStyle/>
                  <a:p>
                    <a:pPr>
                      <a:defRPr/>
                    </a:pPr>
                    <a:r>
                      <a:rPr lang="en-US" b="0"/>
                      <a:t>83.3%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109-4439-A8FF-D551F732E493}"/>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Other</c:v>
                </c:pt>
                <c:pt idx="1">
                  <c:v>Management Information System</c:v>
                </c:pt>
                <c:pt idx="2">
                  <c:v>Foster/Adoptive Parent Licensing</c:v>
                </c:pt>
                <c:pt idx="3">
                  <c:v>Case Review System</c:v>
                </c:pt>
                <c:pt idx="4">
                  <c:v>Continuous Quality Improvement Training</c:v>
                </c:pt>
                <c:pt idx="5">
                  <c:v>Service Array</c:v>
                </c:pt>
                <c:pt idx="6">
                  <c:v>Agency Collaborations</c:v>
                </c:pt>
              </c:strCache>
            </c:strRef>
          </c:cat>
          <c:val>
            <c:numRef>
              <c:f>Sheet1!$B$2:$B$8</c:f>
              <c:numCache>
                <c:formatCode>General</c:formatCode>
                <c:ptCount val="7"/>
                <c:pt idx="0">
                  <c:v>12.5</c:v>
                </c:pt>
                <c:pt idx="1">
                  <c:v>10.4</c:v>
                </c:pt>
                <c:pt idx="2">
                  <c:v>37.5</c:v>
                </c:pt>
                <c:pt idx="3">
                  <c:v>37.5</c:v>
                </c:pt>
                <c:pt idx="4">
                  <c:v>37.5</c:v>
                </c:pt>
                <c:pt idx="5">
                  <c:v>39.6</c:v>
                </c:pt>
                <c:pt idx="6">
                  <c:v>83.3</c:v>
                </c:pt>
              </c:numCache>
            </c:numRef>
          </c:val>
          <c:extLst>
            <c:ext xmlns:c16="http://schemas.microsoft.com/office/drawing/2014/chart" uri="{C3380CC4-5D6E-409C-BE32-E72D297353CC}">
              <c16:uniqueId val="{00000008-B109-4439-A8FF-D551F732E493}"/>
            </c:ext>
          </c:extLst>
        </c:ser>
        <c:dLbls>
          <c:showLegendKey val="0"/>
          <c:showVal val="0"/>
          <c:showCatName val="0"/>
          <c:showSerName val="0"/>
          <c:showPercent val="0"/>
          <c:showBubbleSize val="0"/>
        </c:dLbls>
        <c:gapWidth val="150"/>
        <c:axId val="108375040"/>
        <c:axId val="108544768"/>
      </c:barChart>
      <c:catAx>
        <c:axId val="108375040"/>
        <c:scaling>
          <c:orientation val="minMax"/>
        </c:scaling>
        <c:delete val="0"/>
        <c:axPos val="l"/>
        <c:numFmt formatCode="General" sourceLinked="1"/>
        <c:majorTickMark val="out"/>
        <c:minorTickMark val="none"/>
        <c:tickLblPos val="nextTo"/>
        <c:crossAx val="108544768"/>
        <c:crosses val="autoZero"/>
        <c:auto val="1"/>
        <c:lblAlgn val="ctr"/>
        <c:lblOffset val="100"/>
        <c:noMultiLvlLbl val="0"/>
      </c:catAx>
      <c:valAx>
        <c:axId val="108544768"/>
        <c:scaling>
          <c:orientation val="minMax"/>
        </c:scaling>
        <c:delete val="1"/>
        <c:axPos val="b"/>
        <c:numFmt formatCode="General" sourceLinked="1"/>
        <c:majorTickMark val="out"/>
        <c:minorTickMark val="none"/>
        <c:tickLblPos val="none"/>
        <c:crossAx val="108375040"/>
        <c:crosses val="autoZero"/>
        <c:crossBetween val="between"/>
      </c:valAx>
      <c:spPr>
        <a:noFill/>
        <a:ln w="15232">
          <a:noFill/>
        </a:ln>
      </c:spPr>
    </c:plotArea>
    <c:plotVisOnly val="1"/>
    <c:dispBlanksAs val="gap"/>
    <c:showDLblsOverMax val="0"/>
  </c:chart>
  <c:spPr>
    <a:noFill/>
    <a:ln>
      <a:noFill/>
    </a:ln>
  </c:spPr>
  <c:txPr>
    <a:bodyPr/>
    <a:lstStyle/>
    <a:p>
      <a:pPr>
        <a:defRPr>
          <a:latin typeface="Perpetua" panose="02020502060401020303" pitchFamily="18"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268850652927752"/>
          <c:y val="3.0739673390970241E-2"/>
          <c:w val="0.62467774861475844"/>
          <c:h val="0.91546589817483193"/>
        </c:manualLayout>
      </c:layout>
      <c:barChart>
        <c:barDir val="bar"/>
        <c:grouping val="clustered"/>
        <c:varyColors val="0"/>
        <c:ser>
          <c:idx val="0"/>
          <c:order val="0"/>
          <c:tx>
            <c:strRef>
              <c:f>Sheet1!$B$1</c:f>
              <c:strCache>
                <c:ptCount val="1"/>
                <c:pt idx="0">
                  <c:v>Series 1</c:v>
                </c:pt>
              </c:strCache>
            </c:strRef>
          </c:tx>
          <c:spPr>
            <a:solidFill>
              <a:srgbClr val="800929"/>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Recreational programs</c:v>
                </c:pt>
                <c:pt idx="1">
                  <c:v>Other (please specify)</c:v>
                </c:pt>
                <c:pt idx="2">
                  <c:v>Family Centered Meetings (e.g., TDM)</c:v>
                </c:pt>
                <c:pt idx="3">
                  <c:v>School-based programs</c:v>
                </c:pt>
                <c:pt idx="4">
                  <c:v>Job training &amp; assistance</c:v>
                </c:pt>
                <c:pt idx="5">
                  <c:v>Wraparound services</c:v>
                </c:pt>
                <c:pt idx="6">
                  <c:v>Substance abuse programs/drug court</c:v>
                </c:pt>
                <c:pt idx="7">
                  <c:v>Assistance for stable housing</c:v>
                </c:pt>
                <c:pt idx="8">
                  <c:v>Parental education/support groups</c:v>
                </c:pt>
                <c:pt idx="9">
                  <c:v>Individual/family therapy/counseling</c:v>
                </c:pt>
                <c:pt idx="10">
                  <c:v>In-home support/home visits</c:v>
                </c:pt>
              </c:strCache>
            </c:strRef>
          </c:cat>
          <c:val>
            <c:numRef>
              <c:f>Sheet1!$B$2:$B$12</c:f>
              <c:numCache>
                <c:formatCode>0.0%</c:formatCode>
                <c:ptCount val="11"/>
                <c:pt idx="0">
                  <c:v>2.1999999999999999E-2</c:v>
                </c:pt>
                <c:pt idx="1">
                  <c:v>6.5000000000000002E-2</c:v>
                </c:pt>
                <c:pt idx="2">
                  <c:v>0.10900000000000012</c:v>
                </c:pt>
                <c:pt idx="3">
                  <c:v>0.19600000000000001</c:v>
                </c:pt>
                <c:pt idx="4">
                  <c:v>0.23900000000000021</c:v>
                </c:pt>
                <c:pt idx="5">
                  <c:v>0.32600000000000101</c:v>
                </c:pt>
                <c:pt idx="6">
                  <c:v>0.34800000000000031</c:v>
                </c:pt>
                <c:pt idx="7">
                  <c:v>0.34800000000000031</c:v>
                </c:pt>
                <c:pt idx="8">
                  <c:v>0.37000000000000038</c:v>
                </c:pt>
                <c:pt idx="9">
                  <c:v>0.41300000000000031</c:v>
                </c:pt>
                <c:pt idx="10">
                  <c:v>0.52200000000000002</c:v>
                </c:pt>
              </c:numCache>
            </c:numRef>
          </c:val>
          <c:extLst>
            <c:ext xmlns:c16="http://schemas.microsoft.com/office/drawing/2014/chart" uri="{C3380CC4-5D6E-409C-BE32-E72D297353CC}">
              <c16:uniqueId val="{00000000-C0D7-49C0-ABB9-694B2D97CE82}"/>
            </c:ext>
          </c:extLst>
        </c:ser>
        <c:dLbls>
          <c:showLegendKey val="0"/>
          <c:showVal val="0"/>
          <c:showCatName val="0"/>
          <c:showSerName val="0"/>
          <c:showPercent val="0"/>
          <c:showBubbleSize val="0"/>
        </c:dLbls>
        <c:gapWidth val="150"/>
        <c:axId val="113299456"/>
        <c:axId val="113300992"/>
      </c:barChart>
      <c:catAx>
        <c:axId val="113299456"/>
        <c:scaling>
          <c:orientation val="minMax"/>
        </c:scaling>
        <c:delete val="0"/>
        <c:axPos val="l"/>
        <c:numFmt formatCode="General" sourceLinked="1"/>
        <c:majorTickMark val="out"/>
        <c:minorTickMark val="none"/>
        <c:tickLblPos val="nextTo"/>
        <c:crossAx val="113300992"/>
        <c:crosses val="autoZero"/>
        <c:auto val="1"/>
        <c:lblAlgn val="ctr"/>
        <c:lblOffset val="100"/>
        <c:noMultiLvlLbl val="0"/>
      </c:catAx>
      <c:valAx>
        <c:axId val="113300992"/>
        <c:scaling>
          <c:orientation val="minMax"/>
        </c:scaling>
        <c:delete val="1"/>
        <c:axPos val="b"/>
        <c:numFmt formatCode="0.0%" sourceLinked="1"/>
        <c:majorTickMark val="out"/>
        <c:minorTickMark val="none"/>
        <c:tickLblPos val="none"/>
        <c:crossAx val="113299456"/>
        <c:crosses val="autoZero"/>
        <c:crossBetween val="between"/>
      </c:valAx>
    </c:plotArea>
    <c:plotVisOnly val="1"/>
    <c:dispBlanksAs val="gap"/>
    <c:showDLblsOverMax val="0"/>
  </c:chart>
  <c:spPr>
    <a:ln>
      <a:noFill/>
    </a:ln>
  </c:spPr>
  <c:txPr>
    <a:bodyPr/>
    <a:lstStyle/>
    <a:p>
      <a:pPr>
        <a:defRPr sz="1000">
          <a:latin typeface="Perpetua" panose="02020502060401020303" pitchFamily="18"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2E7029"/>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School-based programs</c:v>
                </c:pt>
                <c:pt idx="1">
                  <c:v>Home passes/Trial period</c:v>
                </c:pt>
                <c:pt idx="2">
                  <c:v>Other (please specify)</c:v>
                </c:pt>
                <c:pt idx="3">
                  <c:v>Job training &amp; assistance</c:v>
                </c:pt>
                <c:pt idx="4">
                  <c:v>Domestic violence programs</c:v>
                </c:pt>
                <c:pt idx="5">
                  <c:v>Substance abuse programs/drug court</c:v>
                </c:pt>
                <c:pt idx="6">
                  <c:v>Family Centered Meetings (e.g., TDM)</c:v>
                </c:pt>
                <c:pt idx="7">
                  <c:v>Aftercare/Transitional services</c:v>
                </c:pt>
                <c:pt idx="8">
                  <c:v>Parental education, support groups</c:v>
                </c:pt>
                <c:pt idx="9">
                  <c:v>Assistance for stable housing</c:v>
                </c:pt>
                <c:pt idx="10">
                  <c:v>Individual/family therapy/counseling</c:v>
                </c:pt>
                <c:pt idx="11">
                  <c:v>Wraparound services</c:v>
                </c:pt>
                <c:pt idx="12">
                  <c:v>Parent child visitation</c:v>
                </c:pt>
                <c:pt idx="13">
                  <c:v>In-home support, home visits</c:v>
                </c:pt>
              </c:strCache>
            </c:strRef>
          </c:cat>
          <c:val>
            <c:numRef>
              <c:f>Sheet1!$B$2:$B$15</c:f>
              <c:numCache>
                <c:formatCode>0.0%</c:formatCode>
                <c:ptCount val="14"/>
                <c:pt idx="0">
                  <c:v>2.1999999999999999E-2</c:v>
                </c:pt>
                <c:pt idx="1">
                  <c:v>2.1999999999999999E-2</c:v>
                </c:pt>
                <c:pt idx="2">
                  <c:v>4.3000000000000003E-2</c:v>
                </c:pt>
                <c:pt idx="3">
                  <c:v>6.5000000000000002E-2</c:v>
                </c:pt>
                <c:pt idx="4">
                  <c:v>0.1090000000000001</c:v>
                </c:pt>
                <c:pt idx="5">
                  <c:v>0.17400000000000004</c:v>
                </c:pt>
                <c:pt idx="6">
                  <c:v>0.17400000000000004</c:v>
                </c:pt>
                <c:pt idx="7">
                  <c:v>0.17400000000000004</c:v>
                </c:pt>
                <c:pt idx="8">
                  <c:v>0.23900000000000018</c:v>
                </c:pt>
                <c:pt idx="9">
                  <c:v>0.30400000000000038</c:v>
                </c:pt>
                <c:pt idx="10">
                  <c:v>0.34800000000000031</c:v>
                </c:pt>
                <c:pt idx="11">
                  <c:v>0.39100000000000051</c:v>
                </c:pt>
                <c:pt idx="12">
                  <c:v>0.45700000000000002</c:v>
                </c:pt>
                <c:pt idx="13">
                  <c:v>0.47800000000000031</c:v>
                </c:pt>
              </c:numCache>
            </c:numRef>
          </c:val>
          <c:extLst>
            <c:ext xmlns:c16="http://schemas.microsoft.com/office/drawing/2014/chart" uri="{C3380CC4-5D6E-409C-BE32-E72D297353CC}">
              <c16:uniqueId val="{00000000-DFBA-4841-9745-408F9114FBA8}"/>
            </c:ext>
          </c:extLst>
        </c:ser>
        <c:dLbls>
          <c:showLegendKey val="0"/>
          <c:showVal val="0"/>
          <c:showCatName val="0"/>
          <c:showSerName val="0"/>
          <c:showPercent val="0"/>
          <c:showBubbleSize val="0"/>
        </c:dLbls>
        <c:gapWidth val="150"/>
        <c:axId val="113865472"/>
        <c:axId val="113867008"/>
      </c:barChart>
      <c:catAx>
        <c:axId val="113865472"/>
        <c:scaling>
          <c:orientation val="minMax"/>
        </c:scaling>
        <c:delete val="0"/>
        <c:axPos val="l"/>
        <c:numFmt formatCode="General" sourceLinked="1"/>
        <c:majorTickMark val="out"/>
        <c:minorTickMark val="none"/>
        <c:tickLblPos val="nextTo"/>
        <c:crossAx val="113867008"/>
        <c:crosses val="autoZero"/>
        <c:auto val="1"/>
        <c:lblAlgn val="ctr"/>
        <c:lblOffset val="100"/>
        <c:noMultiLvlLbl val="0"/>
      </c:catAx>
      <c:valAx>
        <c:axId val="113867008"/>
        <c:scaling>
          <c:orientation val="minMax"/>
        </c:scaling>
        <c:delete val="1"/>
        <c:axPos val="b"/>
        <c:numFmt formatCode="0.0%" sourceLinked="1"/>
        <c:majorTickMark val="out"/>
        <c:minorTickMark val="none"/>
        <c:tickLblPos val="none"/>
        <c:crossAx val="113865472"/>
        <c:crosses val="autoZero"/>
        <c:crossBetween val="between"/>
      </c:valAx>
    </c:plotArea>
    <c:plotVisOnly val="1"/>
    <c:dispBlanksAs val="gap"/>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3P4 Re-Entry to Foster Care in 12 Months</a:t>
            </a:r>
          </a:p>
        </c:rich>
      </c:tx>
      <c:overlay val="0"/>
      <c:spPr>
        <a:noFill/>
        <a:ln>
          <a:noFill/>
        </a:ln>
        <a:effectLst/>
      </c:spPr>
    </c:title>
    <c:autoTitleDeleted val="0"/>
    <c:plotArea>
      <c:layout/>
      <c:barChart>
        <c:barDir val="col"/>
        <c:grouping val="clustered"/>
        <c:varyColors val="0"/>
        <c:ser>
          <c:idx val="1"/>
          <c:order val="1"/>
          <c:tx>
            <c:strRef>
              <c:f>'[San Diego Outcomes Summary_Kim.xlsx]3-P4'!$C$45</c:f>
              <c:strCache>
                <c:ptCount val="1"/>
                <c:pt idx="0">
                  <c:v>Children with re-entries (n)</c:v>
                </c:pt>
              </c:strCache>
            </c:strRef>
          </c:tx>
          <c:spPr>
            <a:solidFill>
              <a:srgbClr val="013161"/>
            </a:solidFill>
            <a:ln>
              <a:noFill/>
            </a:ln>
            <a:effectLst/>
          </c:spPr>
          <c:invertIfNegative val="0"/>
          <c:cat>
            <c:numRef>
              <c:f>'[San Diego Outcomes Summary_Kim.xlsx]3-P4'!$D$43:$I$43</c:f>
              <c:numCache>
                <c:formatCode>General</c:formatCode>
                <c:ptCount val="6"/>
                <c:pt idx="0">
                  <c:v>2008</c:v>
                </c:pt>
                <c:pt idx="1">
                  <c:v>2009</c:v>
                </c:pt>
                <c:pt idx="2">
                  <c:v>2010</c:v>
                </c:pt>
                <c:pt idx="3">
                  <c:v>2011</c:v>
                </c:pt>
                <c:pt idx="4">
                  <c:v>2012</c:v>
                </c:pt>
                <c:pt idx="5">
                  <c:v>2013</c:v>
                </c:pt>
              </c:numCache>
            </c:numRef>
          </c:cat>
          <c:val>
            <c:numRef>
              <c:f>'[San Diego Outcomes Summary_Kim.xlsx]3-P4'!$D$45:$I$45</c:f>
              <c:numCache>
                <c:formatCode>General</c:formatCode>
                <c:ptCount val="6"/>
                <c:pt idx="0">
                  <c:v>60</c:v>
                </c:pt>
                <c:pt idx="1">
                  <c:v>60</c:v>
                </c:pt>
                <c:pt idx="2">
                  <c:v>61</c:v>
                </c:pt>
                <c:pt idx="3">
                  <c:v>63</c:v>
                </c:pt>
                <c:pt idx="4">
                  <c:v>61</c:v>
                </c:pt>
                <c:pt idx="5">
                  <c:v>53</c:v>
                </c:pt>
              </c:numCache>
            </c:numRef>
          </c:val>
          <c:extLst>
            <c:ext xmlns:c16="http://schemas.microsoft.com/office/drawing/2014/chart" uri="{C3380CC4-5D6E-409C-BE32-E72D297353CC}">
              <c16:uniqueId val="{00000000-A69A-4A63-A338-37A734A26164}"/>
            </c:ext>
          </c:extLst>
        </c:ser>
        <c:dLbls>
          <c:showLegendKey val="0"/>
          <c:showVal val="0"/>
          <c:showCatName val="0"/>
          <c:showSerName val="0"/>
          <c:showPercent val="0"/>
          <c:showBubbleSize val="0"/>
        </c:dLbls>
        <c:gapWidth val="150"/>
        <c:axId val="160844416"/>
        <c:axId val="100086912"/>
      </c:barChart>
      <c:lineChart>
        <c:grouping val="standard"/>
        <c:varyColors val="0"/>
        <c:ser>
          <c:idx val="0"/>
          <c:order val="0"/>
          <c:tx>
            <c:strRef>
              <c:f>'[San Diego Outcomes Summary_Kim.xlsx]3-P4'!$C$44</c:f>
              <c:strCache>
                <c:ptCount val="1"/>
                <c:pt idx="0">
                  <c:v>Children with re-entries (%)</c:v>
                </c:pt>
              </c:strCache>
            </c:strRef>
          </c:tx>
          <c:spPr>
            <a:ln w="28575" cap="rnd">
              <a:solidFill>
                <a:srgbClr val="2E7029"/>
              </a:solidFill>
              <a:round/>
            </a:ln>
            <a:effectLst/>
          </c:spPr>
          <c:marker>
            <c:symbol val="none"/>
          </c:marker>
          <c:cat>
            <c:numRef>
              <c:f>'[San Diego Outcomes Summary_Kim.xlsx]3-P4'!$D$43:$I$43</c:f>
              <c:numCache>
                <c:formatCode>General</c:formatCode>
                <c:ptCount val="6"/>
                <c:pt idx="0">
                  <c:v>2008</c:v>
                </c:pt>
                <c:pt idx="1">
                  <c:v>2009</c:v>
                </c:pt>
                <c:pt idx="2">
                  <c:v>2010</c:v>
                </c:pt>
                <c:pt idx="3">
                  <c:v>2011</c:v>
                </c:pt>
                <c:pt idx="4">
                  <c:v>2012</c:v>
                </c:pt>
                <c:pt idx="5">
                  <c:v>2013</c:v>
                </c:pt>
              </c:numCache>
            </c:numRef>
          </c:cat>
          <c:val>
            <c:numRef>
              <c:f>'[San Diego Outcomes Summary_Kim.xlsx]3-P4'!$D$44:$I$44</c:f>
              <c:numCache>
                <c:formatCode>General</c:formatCode>
                <c:ptCount val="6"/>
                <c:pt idx="0">
                  <c:v>8.7000000000000011</c:v>
                </c:pt>
                <c:pt idx="1">
                  <c:v>9.9</c:v>
                </c:pt>
                <c:pt idx="2">
                  <c:v>9.4</c:v>
                </c:pt>
                <c:pt idx="3">
                  <c:v>9.8000000000000007</c:v>
                </c:pt>
                <c:pt idx="4">
                  <c:v>8.7000000000000011</c:v>
                </c:pt>
                <c:pt idx="5">
                  <c:v>9.9</c:v>
                </c:pt>
              </c:numCache>
            </c:numRef>
          </c:val>
          <c:smooth val="0"/>
          <c:extLst>
            <c:ext xmlns:c16="http://schemas.microsoft.com/office/drawing/2014/chart" uri="{C3380CC4-5D6E-409C-BE32-E72D297353CC}">
              <c16:uniqueId val="{00000001-A69A-4A63-A338-37A734A26164}"/>
            </c:ext>
          </c:extLst>
        </c:ser>
        <c:dLbls>
          <c:showLegendKey val="0"/>
          <c:showVal val="0"/>
          <c:showCatName val="0"/>
          <c:showSerName val="0"/>
          <c:showPercent val="0"/>
          <c:showBubbleSize val="0"/>
        </c:dLbls>
        <c:marker val="1"/>
        <c:smooth val="0"/>
        <c:axId val="100088832"/>
        <c:axId val="100090624"/>
      </c:lineChart>
      <c:catAx>
        <c:axId val="160844416"/>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86912"/>
        <c:crosses val="autoZero"/>
        <c:auto val="1"/>
        <c:lblAlgn val="ctr"/>
        <c:lblOffset val="100"/>
        <c:noMultiLvlLbl val="0"/>
      </c:catAx>
      <c:valAx>
        <c:axId val="100086912"/>
        <c:scaling>
          <c:orientation val="minMax"/>
        </c:scaling>
        <c:delete val="0"/>
        <c:axPos val="l"/>
        <c:title>
          <c:tx>
            <c:rich>
              <a:bodyPr/>
              <a:lstStyle/>
              <a:p>
                <a:pPr>
                  <a:defRPr sz="1000" b="0" i="0" u="none" strike="noStrike" baseline="0">
                    <a:solidFill>
                      <a:srgbClr val="333333"/>
                    </a:solidFill>
                    <a:latin typeface="Calibri"/>
                    <a:ea typeface="Calibri"/>
                    <a:cs typeface="Calibri"/>
                  </a:defRPr>
                </a:pPr>
                <a:r>
                  <a:rPr lang="en-US"/>
                  <a:t>Number of Children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844416"/>
        <c:crosses val="autoZero"/>
        <c:crossBetween val="between"/>
      </c:valAx>
      <c:catAx>
        <c:axId val="100088832"/>
        <c:scaling>
          <c:orientation val="minMax"/>
        </c:scaling>
        <c:delete val="1"/>
        <c:axPos val="b"/>
        <c:numFmt formatCode="General" sourceLinked="1"/>
        <c:majorTickMark val="out"/>
        <c:minorTickMark val="none"/>
        <c:tickLblPos val="none"/>
        <c:crossAx val="100090624"/>
        <c:crosses val="autoZero"/>
        <c:auto val="1"/>
        <c:lblAlgn val="ctr"/>
        <c:lblOffset val="100"/>
        <c:noMultiLvlLbl val="0"/>
      </c:catAx>
      <c:valAx>
        <c:axId val="10009062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88832"/>
        <c:crosses val="max"/>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rgbClr val="013161"/>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Other (please specify)</c:v>
                </c:pt>
                <c:pt idx="1">
                  <c:v>Lack of transportation</c:v>
                </c:pt>
                <c:pt idx="2">
                  <c:v>Lack of understanding the system</c:v>
                </c:pt>
                <c:pt idx="3">
                  <c:v>Insufficient housing</c:v>
                </c:pt>
                <c:pt idx="4">
                  <c:v>Social worker practice</c:v>
                </c:pt>
                <c:pt idx="5">
                  <c:v>Lack of financial resources</c:v>
                </c:pt>
                <c:pt idx="6">
                  <c:v>Parent's limitations</c:v>
                </c:pt>
                <c:pt idx="7">
                  <c:v>Wait list for services</c:v>
                </c:pt>
                <c:pt idx="8">
                  <c:v>Excessive or ineffective case plan goals</c:v>
                </c:pt>
                <c:pt idx="9">
                  <c:v>Court process</c:v>
                </c:pt>
                <c:pt idx="10">
                  <c:v>Lack of parent engagement</c:v>
                </c:pt>
                <c:pt idx="11">
                  <c:v>Lack of social/family support</c:v>
                </c:pt>
              </c:strCache>
            </c:strRef>
          </c:cat>
          <c:val>
            <c:numRef>
              <c:f>Sheet1!$B$2:$B$13</c:f>
              <c:numCache>
                <c:formatCode>0.0%</c:formatCode>
                <c:ptCount val="12"/>
                <c:pt idx="0">
                  <c:v>0.10600000000000002</c:v>
                </c:pt>
                <c:pt idx="1">
                  <c:v>0.10900000000000012</c:v>
                </c:pt>
                <c:pt idx="2">
                  <c:v>0.15200000000000041</c:v>
                </c:pt>
                <c:pt idx="3">
                  <c:v>0.17400000000000004</c:v>
                </c:pt>
                <c:pt idx="4">
                  <c:v>0.21700000000000041</c:v>
                </c:pt>
                <c:pt idx="5">
                  <c:v>0.23900000000000021</c:v>
                </c:pt>
                <c:pt idx="6">
                  <c:v>0.26100000000000001</c:v>
                </c:pt>
                <c:pt idx="7">
                  <c:v>0.26100000000000001</c:v>
                </c:pt>
                <c:pt idx="8">
                  <c:v>0.28300000000000008</c:v>
                </c:pt>
                <c:pt idx="9">
                  <c:v>0.28300000000000008</c:v>
                </c:pt>
                <c:pt idx="10">
                  <c:v>0.32600000000000101</c:v>
                </c:pt>
                <c:pt idx="11">
                  <c:v>0.45700000000000002</c:v>
                </c:pt>
              </c:numCache>
            </c:numRef>
          </c:val>
          <c:extLst>
            <c:ext xmlns:c16="http://schemas.microsoft.com/office/drawing/2014/chart" uri="{C3380CC4-5D6E-409C-BE32-E72D297353CC}">
              <c16:uniqueId val="{00000000-AA76-430C-85D4-06E42E212B72}"/>
            </c:ext>
          </c:extLst>
        </c:ser>
        <c:dLbls>
          <c:showLegendKey val="0"/>
          <c:showVal val="0"/>
          <c:showCatName val="0"/>
          <c:showSerName val="0"/>
          <c:showPercent val="0"/>
          <c:showBubbleSize val="0"/>
        </c:dLbls>
        <c:gapWidth val="150"/>
        <c:axId val="113915392"/>
        <c:axId val="113916928"/>
      </c:barChart>
      <c:catAx>
        <c:axId val="113915392"/>
        <c:scaling>
          <c:orientation val="minMax"/>
        </c:scaling>
        <c:delete val="0"/>
        <c:axPos val="l"/>
        <c:numFmt formatCode="General" sourceLinked="1"/>
        <c:majorTickMark val="out"/>
        <c:minorTickMark val="none"/>
        <c:tickLblPos val="nextTo"/>
        <c:crossAx val="113916928"/>
        <c:crosses val="autoZero"/>
        <c:auto val="1"/>
        <c:lblAlgn val="ctr"/>
        <c:lblOffset val="100"/>
        <c:noMultiLvlLbl val="0"/>
      </c:catAx>
      <c:valAx>
        <c:axId val="113916928"/>
        <c:scaling>
          <c:orientation val="minMax"/>
        </c:scaling>
        <c:delete val="1"/>
        <c:axPos val="b"/>
        <c:numFmt formatCode="0.0%" sourceLinked="1"/>
        <c:majorTickMark val="out"/>
        <c:minorTickMark val="none"/>
        <c:tickLblPos val="none"/>
        <c:crossAx val="113915392"/>
        <c:crosses val="autoZero"/>
        <c:crossBetween val="between"/>
      </c:valAx>
    </c:plotArea>
    <c:plotVisOnly val="1"/>
    <c:dispBlanksAs val="gap"/>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013161"/>
            </a:solidFill>
          </c:spPr>
          <c:invertIfNegative val="0"/>
          <c:dLbls>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Other (please specify)</c:v>
                </c:pt>
                <c:pt idx="1">
                  <c:v>Lack of transportation</c:v>
                </c:pt>
                <c:pt idx="2">
                  <c:v>Lack of understanding the system</c:v>
                </c:pt>
                <c:pt idx="3">
                  <c:v>Insufficient housing</c:v>
                </c:pt>
                <c:pt idx="4">
                  <c:v>Social worker practice</c:v>
                </c:pt>
                <c:pt idx="5">
                  <c:v>Lack of financial resources</c:v>
                </c:pt>
                <c:pt idx="6">
                  <c:v>Parent's limitations</c:v>
                </c:pt>
                <c:pt idx="7">
                  <c:v>Wait list for services</c:v>
                </c:pt>
                <c:pt idx="8">
                  <c:v>Excessive or ineffective case plan goals</c:v>
                </c:pt>
                <c:pt idx="9">
                  <c:v>Court process</c:v>
                </c:pt>
                <c:pt idx="10">
                  <c:v>Lack of parent engagement</c:v>
                </c:pt>
                <c:pt idx="11">
                  <c:v>Lack of social/family support</c:v>
                </c:pt>
              </c:strCache>
            </c:strRef>
          </c:cat>
          <c:val>
            <c:numRef>
              <c:f>Sheet1!$B$2:$B$13</c:f>
              <c:numCache>
                <c:formatCode>0.0%</c:formatCode>
                <c:ptCount val="12"/>
                <c:pt idx="0">
                  <c:v>0.10600000000000002</c:v>
                </c:pt>
                <c:pt idx="1">
                  <c:v>0.1090000000000001</c:v>
                </c:pt>
                <c:pt idx="2">
                  <c:v>0.15200000000000019</c:v>
                </c:pt>
                <c:pt idx="3">
                  <c:v>0.17400000000000004</c:v>
                </c:pt>
                <c:pt idx="4">
                  <c:v>0.21700000000000019</c:v>
                </c:pt>
                <c:pt idx="5">
                  <c:v>0.23900000000000018</c:v>
                </c:pt>
                <c:pt idx="6">
                  <c:v>0.26100000000000001</c:v>
                </c:pt>
                <c:pt idx="7">
                  <c:v>0.26100000000000001</c:v>
                </c:pt>
                <c:pt idx="8">
                  <c:v>0.28300000000000008</c:v>
                </c:pt>
                <c:pt idx="9">
                  <c:v>0.28300000000000008</c:v>
                </c:pt>
                <c:pt idx="10">
                  <c:v>0.32600000000000046</c:v>
                </c:pt>
                <c:pt idx="11">
                  <c:v>0.45700000000000002</c:v>
                </c:pt>
              </c:numCache>
            </c:numRef>
          </c:val>
          <c:extLst>
            <c:ext xmlns:c16="http://schemas.microsoft.com/office/drawing/2014/chart" uri="{C3380CC4-5D6E-409C-BE32-E72D297353CC}">
              <c16:uniqueId val="{00000000-E2F3-4AE2-BE2A-D07A593E70D6}"/>
            </c:ext>
          </c:extLst>
        </c:ser>
        <c:dLbls>
          <c:showLegendKey val="0"/>
          <c:showVal val="0"/>
          <c:showCatName val="0"/>
          <c:showSerName val="0"/>
          <c:showPercent val="0"/>
          <c:showBubbleSize val="0"/>
        </c:dLbls>
        <c:gapWidth val="150"/>
        <c:axId val="100575488"/>
        <c:axId val="113938432"/>
      </c:barChart>
      <c:catAx>
        <c:axId val="100575488"/>
        <c:scaling>
          <c:orientation val="minMax"/>
        </c:scaling>
        <c:delete val="0"/>
        <c:axPos val="l"/>
        <c:numFmt formatCode="General" sourceLinked="1"/>
        <c:majorTickMark val="out"/>
        <c:minorTickMark val="none"/>
        <c:tickLblPos val="nextTo"/>
        <c:crossAx val="113938432"/>
        <c:crosses val="autoZero"/>
        <c:auto val="1"/>
        <c:lblAlgn val="ctr"/>
        <c:lblOffset val="100"/>
        <c:noMultiLvlLbl val="0"/>
      </c:catAx>
      <c:valAx>
        <c:axId val="113938432"/>
        <c:scaling>
          <c:orientation val="minMax"/>
        </c:scaling>
        <c:delete val="1"/>
        <c:axPos val="b"/>
        <c:numFmt formatCode="0.0%" sourceLinked="1"/>
        <c:majorTickMark val="out"/>
        <c:minorTickMark val="none"/>
        <c:tickLblPos val="none"/>
        <c:crossAx val="100575488"/>
        <c:crosses val="autoZero"/>
        <c:crossBetween val="between"/>
      </c:valAx>
    </c:plotArea>
    <c:plotVisOnly val="1"/>
    <c:dispBlanksAs val="gap"/>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128080344123681"/>
          <c:y val="7.9364317265220201E-4"/>
          <c:w val="0.58547845581802249"/>
          <c:h val="0.94400189822325364"/>
        </c:manualLayout>
      </c:layout>
      <c:barChart>
        <c:barDir val="bar"/>
        <c:grouping val="clustered"/>
        <c:varyColors val="0"/>
        <c:ser>
          <c:idx val="0"/>
          <c:order val="0"/>
          <c:tx>
            <c:strRef>
              <c:f>Sheet1!$B$1</c:f>
              <c:strCache>
                <c:ptCount val="1"/>
                <c:pt idx="0">
                  <c:v>Series 1</c:v>
                </c:pt>
              </c:strCache>
            </c:strRef>
          </c:tx>
          <c:spPr>
            <a:solidFill>
              <a:srgbClr val="F7964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Recreational activities</c:v>
                </c:pt>
                <c:pt idx="1">
                  <c:v>Other (please specify)</c:v>
                </c:pt>
                <c:pt idx="2">
                  <c:v>Child Care</c:v>
                </c:pt>
                <c:pt idx="3">
                  <c:v>Supportive educational setting</c:v>
                </c:pt>
                <c:pt idx="4">
                  <c:v>Financial Resources</c:v>
                </c:pt>
                <c:pt idx="5">
                  <c:v>Wraparound services</c:v>
                </c:pt>
                <c:pt idx="6">
                  <c:v>In-home support</c:v>
                </c:pt>
                <c:pt idx="7">
                  <c:v>Behavioral/mental health services</c:v>
                </c:pt>
              </c:strCache>
            </c:strRef>
          </c:cat>
          <c:val>
            <c:numRef>
              <c:f>Sheet1!$B$2:$B$9</c:f>
              <c:numCache>
                <c:formatCode>0.0%</c:formatCode>
                <c:ptCount val="8"/>
                <c:pt idx="0">
                  <c:v>6.500000000000003E-2</c:v>
                </c:pt>
                <c:pt idx="1">
                  <c:v>0.15200000000000041</c:v>
                </c:pt>
                <c:pt idx="2">
                  <c:v>0.21700000000000041</c:v>
                </c:pt>
                <c:pt idx="3">
                  <c:v>0.37000000000000038</c:v>
                </c:pt>
                <c:pt idx="4">
                  <c:v>0.37000000000000038</c:v>
                </c:pt>
                <c:pt idx="5">
                  <c:v>0.54300000000000004</c:v>
                </c:pt>
                <c:pt idx="6">
                  <c:v>0.60900000000000065</c:v>
                </c:pt>
                <c:pt idx="7">
                  <c:v>0.60900000000000065</c:v>
                </c:pt>
              </c:numCache>
            </c:numRef>
          </c:val>
          <c:extLst>
            <c:ext xmlns:c16="http://schemas.microsoft.com/office/drawing/2014/chart" uri="{C3380CC4-5D6E-409C-BE32-E72D297353CC}">
              <c16:uniqueId val="{00000000-0C37-48CF-ACBA-54E716D0C853}"/>
            </c:ext>
          </c:extLst>
        </c:ser>
        <c:dLbls>
          <c:showLegendKey val="0"/>
          <c:showVal val="0"/>
          <c:showCatName val="0"/>
          <c:showSerName val="0"/>
          <c:showPercent val="0"/>
          <c:showBubbleSize val="0"/>
        </c:dLbls>
        <c:gapWidth val="150"/>
        <c:axId val="113945600"/>
        <c:axId val="114012928"/>
      </c:barChart>
      <c:catAx>
        <c:axId val="113945600"/>
        <c:scaling>
          <c:orientation val="minMax"/>
        </c:scaling>
        <c:delete val="0"/>
        <c:axPos val="l"/>
        <c:numFmt formatCode="General" sourceLinked="1"/>
        <c:majorTickMark val="out"/>
        <c:minorTickMark val="none"/>
        <c:tickLblPos val="nextTo"/>
        <c:crossAx val="114012928"/>
        <c:crosses val="autoZero"/>
        <c:auto val="1"/>
        <c:lblAlgn val="ctr"/>
        <c:lblOffset val="100"/>
        <c:noMultiLvlLbl val="0"/>
      </c:catAx>
      <c:valAx>
        <c:axId val="114012928"/>
        <c:scaling>
          <c:orientation val="minMax"/>
        </c:scaling>
        <c:delete val="1"/>
        <c:axPos val="b"/>
        <c:numFmt formatCode="0.0%" sourceLinked="1"/>
        <c:majorTickMark val="out"/>
        <c:minorTickMark val="none"/>
        <c:tickLblPos val="none"/>
        <c:crossAx val="113945600"/>
        <c:crosses val="autoZero"/>
        <c:crossBetween val="between"/>
      </c:valAx>
    </c:plotArea>
    <c:plotVisOnly val="1"/>
    <c:dispBlanksAs val="gap"/>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421838177533495E-2"/>
          <c:y val="0"/>
          <c:w val="0.8441790869891288"/>
          <c:h val="0.80471519538816261"/>
        </c:manualLayout>
      </c:layout>
      <c:barChart>
        <c:barDir val="col"/>
        <c:grouping val="clustered"/>
        <c:varyColors val="0"/>
        <c:ser>
          <c:idx val="0"/>
          <c:order val="0"/>
          <c:tx>
            <c:strRef>
              <c:f>Sheet1!$B$1</c:f>
              <c:strCache>
                <c:ptCount val="1"/>
                <c:pt idx="0">
                  <c:v>Series 1</c:v>
                </c:pt>
              </c:strCache>
            </c:strRef>
          </c:tx>
          <c:spPr>
            <a:solidFill>
              <a:srgbClr val="800929"/>
            </a:solidFill>
          </c:spPr>
          <c:invertIfNegative val="0"/>
          <c:dLbls>
            <c:dLbl>
              <c:idx val="0"/>
              <c:tx>
                <c:rich>
                  <a:bodyPr/>
                  <a:lstStyle/>
                  <a:p>
                    <a:pPr>
                      <a:defRPr/>
                    </a:pPr>
                    <a:r>
                      <a:rPr lang="en-US"/>
                      <a:t>13%</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58-4743-95FD-09EC2148C154}"/>
                </c:ext>
              </c:extLst>
            </c:dLbl>
            <c:dLbl>
              <c:idx val="1"/>
              <c:tx>
                <c:rich>
                  <a:bodyPr/>
                  <a:lstStyle/>
                  <a:p>
                    <a:pPr>
                      <a:defRPr/>
                    </a:pPr>
                    <a:r>
                      <a:rPr lang="en-US"/>
                      <a:t>30.4%</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58-4743-95FD-09EC2148C154}"/>
                </c:ext>
              </c:extLst>
            </c:dLbl>
            <c:dLbl>
              <c:idx val="2"/>
              <c:tx>
                <c:rich>
                  <a:bodyPr/>
                  <a:lstStyle/>
                  <a:p>
                    <a:pPr>
                      <a:defRPr/>
                    </a:pPr>
                    <a:r>
                      <a:rPr lang="en-US"/>
                      <a:t>43.5%</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58-4743-95FD-09EC2148C154}"/>
                </c:ext>
              </c:extLst>
            </c:dLbl>
            <c:dLbl>
              <c:idx val="3"/>
              <c:tx>
                <c:rich>
                  <a:bodyPr/>
                  <a:lstStyle/>
                  <a:p>
                    <a:pPr>
                      <a:defRPr/>
                    </a:pPr>
                    <a:r>
                      <a:rPr lang="en-US"/>
                      <a:t>13%</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58-4743-95FD-09EC2148C15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Always</c:v>
                </c:pt>
                <c:pt idx="1">
                  <c:v>Most of the time</c:v>
                </c:pt>
                <c:pt idx="2">
                  <c:v>Sometimes</c:v>
                </c:pt>
                <c:pt idx="3">
                  <c:v>Never</c:v>
                </c:pt>
              </c:strCache>
            </c:strRef>
          </c:cat>
          <c:val>
            <c:numRef>
              <c:f>Sheet1!$B$2:$B$5</c:f>
              <c:numCache>
                <c:formatCode>General</c:formatCode>
                <c:ptCount val="4"/>
                <c:pt idx="0">
                  <c:v>13</c:v>
                </c:pt>
                <c:pt idx="1">
                  <c:v>30.4</c:v>
                </c:pt>
                <c:pt idx="2">
                  <c:v>43.5</c:v>
                </c:pt>
                <c:pt idx="3">
                  <c:v>13</c:v>
                </c:pt>
              </c:numCache>
            </c:numRef>
          </c:val>
          <c:extLst>
            <c:ext xmlns:c16="http://schemas.microsoft.com/office/drawing/2014/chart" uri="{C3380CC4-5D6E-409C-BE32-E72D297353CC}">
              <c16:uniqueId val="{00000004-C758-4743-95FD-09EC2148C154}"/>
            </c:ext>
          </c:extLst>
        </c:ser>
        <c:dLbls>
          <c:showLegendKey val="0"/>
          <c:showVal val="0"/>
          <c:showCatName val="0"/>
          <c:showSerName val="0"/>
          <c:showPercent val="0"/>
          <c:showBubbleSize val="0"/>
        </c:dLbls>
        <c:gapWidth val="150"/>
        <c:axId val="114374144"/>
        <c:axId val="114375680"/>
      </c:barChart>
      <c:catAx>
        <c:axId val="114374144"/>
        <c:scaling>
          <c:orientation val="minMax"/>
        </c:scaling>
        <c:delete val="0"/>
        <c:axPos val="b"/>
        <c:numFmt formatCode="General" sourceLinked="1"/>
        <c:majorTickMark val="out"/>
        <c:minorTickMark val="none"/>
        <c:tickLblPos val="nextTo"/>
        <c:crossAx val="114375680"/>
        <c:crosses val="autoZero"/>
        <c:auto val="1"/>
        <c:lblAlgn val="ctr"/>
        <c:lblOffset val="100"/>
        <c:noMultiLvlLbl val="0"/>
      </c:catAx>
      <c:valAx>
        <c:axId val="114375680"/>
        <c:scaling>
          <c:orientation val="minMax"/>
        </c:scaling>
        <c:delete val="1"/>
        <c:axPos val="l"/>
        <c:numFmt formatCode="General" sourceLinked="1"/>
        <c:majorTickMark val="out"/>
        <c:minorTickMark val="none"/>
        <c:tickLblPos val="none"/>
        <c:crossAx val="114374144"/>
        <c:crosses val="autoZero"/>
        <c:crossBetween val="between"/>
      </c:valAx>
      <c:spPr>
        <a:noFill/>
        <a:ln w="15225">
          <a:noFill/>
        </a:ln>
      </c:spPr>
    </c:plotArea>
    <c:plotVisOnly val="1"/>
    <c:dispBlanksAs val="gap"/>
    <c:showDLblsOverMax val="0"/>
  </c:chart>
  <c:spPr>
    <a:ln>
      <a:noFill/>
    </a:ln>
  </c:spPr>
  <c:txPr>
    <a:bodyPr/>
    <a:lstStyle/>
    <a:p>
      <a:pPr>
        <a:defRPr sz="659">
          <a:latin typeface="Perpetua" panose="02020502060401020303" pitchFamily="18"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291742378356555E-4"/>
          <c:y val="7.3182797901715814E-4"/>
          <c:w val="0.99154886213266558"/>
          <c:h val="0.86963868322430071"/>
        </c:manualLayout>
      </c:layout>
      <c:barChart>
        <c:barDir val="col"/>
        <c:grouping val="clustered"/>
        <c:varyColors val="0"/>
        <c:ser>
          <c:idx val="0"/>
          <c:order val="0"/>
          <c:tx>
            <c:strRef>
              <c:f>Sheet1!$B$1</c:f>
              <c:strCache>
                <c:ptCount val="1"/>
                <c:pt idx="0">
                  <c:v>Series 1</c:v>
                </c:pt>
              </c:strCache>
            </c:strRef>
          </c:tx>
          <c:spPr>
            <a:solidFill>
              <a:srgbClr val="2E7029"/>
            </a:solidFill>
          </c:spPr>
          <c:invertIfNegative val="0"/>
          <c:dLbls>
            <c:dLbl>
              <c:idx val="0"/>
              <c:tx>
                <c:rich>
                  <a:bodyPr/>
                  <a:lstStyle/>
                  <a:p>
                    <a:pPr>
                      <a:defRPr/>
                    </a:pPr>
                    <a:r>
                      <a:rPr lang="en-US"/>
                      <a:t>13%</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95-477F-8C7D-80078275D584}"/>
                </c:ext>
              </c:extLst>
            </c:dLbl>
            <c:dLbl>
              <c:idx val="1"/>
              <c:tx>
                <c:rich>
                  <a:bodyPr/>
                  <a:lstStyle/>
                  <a:p>
                    <a:pPr>
                      <a:defRPr/>
                    </a:pPr>
                    <a:r>
                      <a:rPr lang="en-US"/>
                      <a:t>26.1%</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95-477F-8C7D-80078275D584}"/>
                </c:ext>
              </c:extLst>
            </c:dLbl>
            <c:dLbl>
              <c:idx val="2"/>
              <c:tx>
                <c:rich>
                  <a:bodyPr/>
                  <a:lstStyle/>
                  <a:p>
                    <a:pPr>
                      <a:defRPr/>
                    </a:pPr>
                    <a:r>
                      <a:rPr lang="en-US"/>
                      <a:t>47.8%</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95-477F-8C7D-80078275D584}"/>
                </c:ext>
              </c:extLst>
            </c:dLbl>
            <c:dLbl>
              <c:idx val="3"/>
              <c:tx>
                <c:rich>
                  <a:bodyPr/>
                  <a:lstStyle/>
                  <a:p>
                    <a:pPr>
                      <a:defRPr/>
                    </a:pPr>
                    <a:r>
                      <a:rPr lang="en-US"/>
                      <a:t>13%</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95-477F-8C7D-80078275D58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Always</c:v>
                </c:pt>
                <c:pt idx="1">
                  <c:v>Most of the time</c:v>
                </c:pt>
                <c:pt idx="2">
                  <c:v>Sometimes</c:v>
                </c:pt>
                <c:pt idx="3">
                  <c:v>Never</c:v>
                </c:pt>
              </c:strCache>
            </c:strRef>
          </c:cat>
          <c:val>
            <c:numRef>
              <c:f>Sheet1!$B$2:$B$5</c:f>
              <c:numCache>
                <c:formatCode>General</c:formatCode>
                <c:ptCount val="4"/>
                <c:pt idx="0">
                  <c:v>13</c:v>
                </c:pt>
                <c:pt idx="1">
                  <c:v>26.1</c:v>
                </c:pt>
                <c:pt idx="2">
                  <c:v>47.8</c:v>
                </c:pt>
                <c:pt idx="3">
                  <c:v>13</c:v>
                </c:pt>
              </c:numCache>
            </c:numRef>
          </c:val>
          <c:extLst>
            <c:ext xmlns:c16="http://schemas.microsoft.com/office/drawing/2014/chart" uri="{C3380CC4-5D6E-409C-BE32-E72D297353CC}">
              <c16:uniqueId val="{00000004-3795-477F-8C7D-80078275D584}"/>
            </c:ext>
          </c:extLst>
        </c:ser>
        <c:dLbls>
          <c:showLegendKey val="0"/>
          <c:showVal val="0"/>
          <c:showCatName val="0"/>
          <c:showSerName val="0"/>
          <c:showPercent val="0"/>
          <c:showBubbleSize val="0"/>
        </c:dLbls>
        <c:gapWidth val="150"/>
        <c:axId val="114711936"/>
        <c:axId val="114726016"/>
      </c:barChart>
      <c:catAx>
        <c:axId val="114711936"/>
        <c:scaling>
          <c:orientation val="minMax"/>
        </c:scaling>
        <c:delete val="0"/>
        <c:axPos val="b"/>
        <c:numFmt formatCode="General" sourceLinked="1"/>
        <c:majorTickMark val="out"/>
        <c:minorTickMark val="none"/>
        <c:tickLblPos val="nextTo"/>
        <c:crossAx val="114726016"/>
        <c:crosses val="autoZero"/>
        <c:auto val="1"/>
        <c:lblAlgn val="ctr"/>
        <c:lblOffset val="100"/>
        <c:noMultiLvlLbl val="0"/>
      </c:catAx>
      <c:valAx>
        <c:axId val="114726016"/>
        <c:scaling>
          <c:orientation val="minMax"/>
        </c:scaling>
        <c:delete val="1"/>
        <c:axPos val="l"/>
        <c:numFmt formatCode="General" sourceLinked="1"/>
        <c:majorTickMark val="out"/>
        <c:minorTickMark val="none"/>
        <c:tickLblPos val="none"/>
        <c:crossAx val="114711936"/>
        <c:crosses val="autoZero"/>
        <c:crossBetween val="between"/>
      </c:valAx>
      <c:spPr>
        <a:noFill/>
        <a:ln w="15225">
          <a:noFill/>
        </a:ln>
      </c:spPr>
    </c:plotArea>
    <c:plotVisOnly val="1"/>
    <c:dispBlanksAs val="gap"/>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323376435743717"/>
          <c:y val="0.13784219609535134"/>
          <c:w val="0.54931228779888752"/>
          <c:h val="0.82020601876820187"/>
        </c:manualLayout>
      </c:layout>
      <c:doughnutChart>
        <c:varyColors val="1"/>
        <c:ser>
          <c:idx val="0"/>
          <c:order val="0"/>
          <c:tx>
            <c:strRef>
              <c:f>Sheet1!$B$1</c:f>
              <c:strCache>
                <c:ptCount val="1"/>
                <c:pt idx="0">
                  <c:v>Sales</c:v>
                </c:pt>
              </c:strCache>
            </c:strRef>
          </c:tx>
          <c:dPt>
            <c:idx val="0"/>
            <c:bubble3D val="0"/>
            <c:spPr>
              <a:solidFill>
                <a:srgbClr val="9DBEE7"/>
              </a:solidFill>
            </c:spPr>
            <c:extLst>
              <c:ext xmlns:c16="http://schemas.microsoft.com/office/drawing/2014/chart" uri="{C3380CC4-5D6E-409C-BE32-E72D297353CC}">
                <c16:uniqueId val="{00000000-0FE5-4B24-9EC5-594C4F6C8D19}"/>
              </c:ext>
            </c:extLst>
          </c:dPt>
          <c:dPt>
            <c:idx val="1"/>
            <c:bubble3D val="0"/>
            <c:spPr>
              <a:solidFill>
                <a:srgbClr val="013161"/>
              </a:solidFill>
            </c:spPr>
            <c:extLst>
              <c:ext xmlns:c16="http://schemas.microsoft.com/office/drawing/2014/chart" uri="{C3380CC4-5D6E-409C-BE32-E72D297353CC}">
                <c16:uniqueId val="{00000001-0FE5-4B24-9EC5-594C4F6C8D19}"/>
              </c:ext>
            </c:extLst>
          </c:dPt>
          <c:dLbls>
            <c:dLbl>
              <c:idx val="0"/>
              <c:layout>
                <c:manualLayout>
                  <c:x val="0.16659355528053027"/>
                  <c:y val="-0.34649929888900882"/>
                </c:manualLayout>
              </c:layout>
              <c:spPr/>
              <c:txPr>
                <a:bodyPr/>
                <a:lstStyle/>
                <a:p>
                  <a:pPr>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E5-4B24-9EC5-594C4F6C8D19}"/>
                </c:ext>
              </c:extLst>
            </c:dLbl>
            <c:dLbl>
              <c:idx val="1"/>
              <c:layout>
                <c:manualLayout>
                  <c:x val="-0.14918883946189332"/>
                  <c:y val="-2.8919210441160612E-2"/>
                </c:manualLayout>
              </c:layout>
              <c:spPr/>
              <c:txPr>
                <a:bodyPr/>
                <a:lstStyle/>
                <a:p>
                  <a:pPr>
                    <a:defRPr/>
                  </a:pPr>
                  <a:endParaRPr lang="en-US"/>
                </a:p>
              </c:txP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E5-4B24-9EC5-594C4F6C8D19}"/>
                </c:ext>
              </c:extLst>
            </c:dLbl>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0.0%</c:formatCode>
                <c:ptCount val="2"/>
                <c:pt idx="0">
                  <c:v>0.79900000000000004</c:v>
                </c:pt>
                <c:pt idx="1">
                  <c:v>0.26100000000000001</c:v>
                </c:pt>
              </c:numCache>
            </c:numRef>
          </c:val>
          <c:extLst>
            <c:ext xmlns:c16="http://schemas.microsoft.com/office/drawing/2014/chart" uri="{C3380CC4-5D6E-409C-BE32-E72D297353CC}">
              <c16:uniqueId val="{00000002-0FE5-4B24-9EC5-594C4F6C8D19}"/>
            </c:ext>
          </c:extLst>
        </c:ser>
        <c:dLbls>
          <c:showLegendKey val="0"/>
          <c:showVal val="0"/>
          <c:showCatName val="0"/>
          <c:showSerName val="0"/>
          <c:showPercent val="0"/>
          <c:showBubbleSize val="0"/>
          <c:showLeaderLines val="0"/>
        </c:dLbls>
        <c:firstSliceAng val="0"/>
        <c:holeSize val="50"/>
      </c:doughnutChart>
      <c:spPr>
        <a:noFill/>
        <a:ln w="15240">
          <a:noFill/>
        </a:ln>
      </c:spPr>
    </c:plotArea>
    <c:plotVisOnly val="1"/>
    <c:dispBlanksAs val="zero"/>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266417030654782"/>
          <c:y val="3.8851715950787825E-2"/>
          <c:w val="0.50135874081570431"/>
          <c:h val="0.93064814350435565"/>
        </c:manualLayout>
      </c:layout>
      <c:barChart>
        <c:barDir val="bar"/>
        <c:grouping val="clustered"/>
        <c:varyColors val="0"/>
        <c:ser>
          <c:idx val="0"/>
          <c:order val="0"/>
          <c:tx>
            <c:strRef>
              <c:f>Sheet1!$B$1</c:f>
              <c:strCache>
                <c:ptCount val="1"/>
                <c:pt idx="0">
                  <c:v>Series 1</c:v>
                </c:pt>
              </c:strCache>
            </c:strRef>
          </c:tx>
          <c:spPr>
            <a:solidFill>
              <a:srgbClr val="F6872B"/>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Other</c:v>
                </c:pt>
                <c:pt idx="1">
                  <c:v>Mangement Information System </c:v>
                </c:pt>
                <c:pt idx="2">
                  <c:v>Case Review System</c:v>
                </c:pt>
                <c:pt idx="3">
                  <c:v>Continuous Quality Improvement Training</c:v>
                </c:pt>
                <c:pt idx="4">
                  <c:v>Service Array</c:v>
                </c:pt>
                <c:pt idx="5">
                  <c:v>Foster/Adoptive Parent Licensing</c:v>
                </c:pt>
                <c:pt idx="6">
                  <c:v>Agency Collaborations</c:v>
                </c:pt>
              </c:strCache>
            </c:strRef>
          </c:cat>
          <c:val>
            <c:numRef>
              <c:f>Sheet1!$B$2:$B$8</c:f>
              <c:numCache>
                <c:formatCode>0.0%</c:formatCode>
                <c:ptCount val="7"/>
                <c:pt idx="0">
                  <c:v>0.17400000000000004</c:v>
                </c:pt>
                <c:pt idx="1">
                  <c:v>8.7000000000000022E-2</c:v>
                </c:pt>
                <c:pt idx="2">
                  <c:v>0.28300000000000008</c:v>
                </c:pt>
                <c:pt idx="3">
                  <c:v>0.34800000000000031</c:v>
                </c:pt>
                <c:pt idx="4">
                  <c:v>0.39100000000000051</c:v>
                </c:pt>
                <c:pt idx="5">
                  <c:v>0.58699999999999997</c:v>
                </c:pt>
                <c:pt idx="6">
                  <c:v>0.7610000000000009</c:v>
                </c:pt>
              </c:numCache>
            </c:numRef>
          </c:val>
          <c:extLst>
            <c:ext xmlns:c16="http://schemas.microsoft.com/office/drawing/2014/chart" uri="{C3380CC4-5D6E-409C-BE32-E72D297353CC}">
              <c16:uniqueId val="{00000000-4AC7-4BB9-B82E-3F1857FA5DBC}"/>
            </c:ext>
          </c:extLst>
        </c:ser>
        <c:dLbls>
          <c:showLegendKey val="0"/>
          <c:showVal val="0"/>
          <c:showCatName val="0"/>
          <c:showSerName val="0"/>
          <c:showPercent val="0"/>
          <c:showBubbleSize val="0"/>
        </c:dLbls>
        <c:gapWidth val="150"/>
        <c:axId val="114924544"/>
        <c:axId val="114938624"/>
      </c:barChart>
      <c:catAx>
        <c:axId val="114924544"/>
        <c:scaling>
          <c:orientation val="minMax"/>
        </c:scaling>
        <c:delete val="0"/>
        <c:axPos val="l"/>
        <c:numFmt formatCode="General" sourceLinked="1"/>
        <c:majorTickMark val="out"/>
        <c:minorTickMark val="none"/>
        <c:tickLblPos val="nextTo"/>
        <c:crossAx val="114938624"/>
        <c:crosses val="autoZero"/>
        <c:auto val="1"/>
        <c:lblAlgn val="ctr"/>
        <c:lblOffset val="100"/>
        <c:noMultiLvlLbl val="0"/>
      </c:catAx>
      <c:valAx>
        <c:axId val="114938624"/>
        <c:scaling>
          <c:orientation val="minMax"/>
        </c:scaling>
        <c:delete val="1"/>
        <c:axPos val="b"/>
        <c:numFmt formatCode="0.0%" sourceLinked="1"/>
        <c:majorTickMark val="out"/>
        <c:minorTickMark val="none"/>
        <c:tickLblPos val="none"/>
        <c:crossAx val="114924544"/>
        <c:crosses val="autoZero"/>
        <c:crossBetween val="between"/>
      </c:valAx>
      <c:spPr>
        <a:noFill/>
        <a:ln w="15225">
          <a:noFill/>
        </a:ln>
      </c:spPr>
    </c:plotArea>
    <c:plotVisOnly val="1"/>
    <c:dispBlanksAs val="gap"/>
    <c:showDLblsOverMax val="0"/>
  </c:chart>
  <c:spPr>
    <a:noFill/>
    <a:ln>
      <a:noFill/>
    </a:ln>
  </c:spPr>
  <c:txPr>
    <a:bodyPr/>
    <a:lstStyle/>
    <a:p>
      <a:pPr>
        <a:defRPr>
          <a:latin typeface="Perpetua" panose="02020502060401020303" pitchFamily="18"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276948140103174E-4"/>
          <c:y val="7.3141542238727003E-4"/>
          <c:w val="0.99939713962240451"/>
          <c:h val="0.64109794494866224"/>
        </c:manualLayout>
      </c:layout>
      <c:barChart>
        <c:barDir val="col"/>
        <c:grouping val="clustered"/>
        <c:varyColors val="0"/>
        <c:ser>
          <c:idx val="0"/>
          <c:order val="0"/>
          <c:tx>
            <c:strRef>
              <c:f>Sheet1!$B$1</c:f>
              <c:strCache>
                <c:ptCount val="1"/>
                <c:pt idx="0">
                  <c:v>Series 1</c:v>
                </c:pt>
              </c:strCache>
            </c:strRef>
          </c:tx>
          <c:spPr>
            <a:solidFill>
              <a:srgbClr val="800929"/>
            </a:solidFill>
          </c:spPr>
          <c:invertIfNegative val="0"/>
          <c:dLbls>
            <c:dLbl>
              <c:idx val="0"/>
              <c:tx>
                <c:rich>
                  <a:bodyPr/>
                  <a:lstStyle/>
                  <a:p>
                    <a:pPr>
                      <a:defRPr/>
                    </a:pPr>
                    <a:r>
                      <a:rPr lang="en-US" sz="660" b="0">
                        <a:latin typeface="Myriad Pro" pitchFamily="34" charset="0"/>
                      </a:rPr>
                      <a:t>50%</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FE-49A4-A412-036BDD2BD084}"/>
                </c:ext>
              </c:extLst>
            </c:dLbl>
            <c:dLbl>
              <c:idx val="1"/>
              <c:tx>
                <c:rich>
                  <a:bodyPr/>
                  <a:lstStyle/>
                  <a:p>
                    <a:pPr>
                      <a:defRPr/>
                    </a:pPr>
                    <a:r>
                      <a:rPr lang="en-US" sz="660" b="0">
                        <a:latin typeface="Myriad Pro" pitchFamily="34" charset="0"/>
                      </a:rPr>
                      <a:t>30.4%</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FE-49A4-A412-036BDD2BD084}"/>
                </c:ext>
              </c:extLst>
            </c:dLbl>
            <c:dLbl>
              <c:idx val="2"/>
              <c:tx>
                <c:rich>
                  <a:bodyPr/>
                  <a:lstStyle/>
                  <a:p>
                    <a:pPr>
                      <a:defRPr/>
                    </a:pPr>
                    <a:r>
                      <a:rPr lang="en-US" sz="660" b="0">
                        <a:latin typeface="Myriad Pro" pitchFamily="34" charset="0"/>
                      </a:rPr>
                      <a:t>19.6%</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FE-49A4-A412-036BDD2BD08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Not sure</c:v>
                </c:pt>
              </c:strCache>
            </c:strRef>
          </c:cat>
          <c:val>
            <c:numRef>
              <c:f>Sheet1!$B$2:$B$4</c:f>
              <c:numCache>
                <c:formatCode>General</c:formatCode>
                <c:ptCount val="3"/>
                <c:pt idx="0">
                  <c:v>50</c:v>
                </c:pt>
                <c:pt idx="1">
                  <c:v>30.4</c:v>
                </c:pt>
                <c:pt idx="2">
                  <c:v>19.600000000000001</c:v>
                </c:pt>
              </c:numCache>
            </c:numRef>
          </c:val>
          <c:extLst>
            <c:ext xmlns:c16="http://schemas.microsoft.com/office/drawing/2014/chart" uri="{C3380CC4-5D6E-409C-BE32-E72D297353CC}">
              <c16:uniqueId val="{00000003-34FE-49A4-A412-036BDD2BD084}"/>
            </c:ext>
          </c:extLst>
        </c:ser>
        <c:dLbls>
          <c:showLegendKey val="0"/>
          <c:showVal val="0"/>
          <c:showCatName val="0"/>
          <c:showSerName val="0"/>
          <c:showPercent val="0"/>
          <c:showBubbleSize val="0"/>
        </c:dLbls>
        <c:gapWidth val="150"/>
        <c:axId val="115057792"/>
        <c:axId val="115059328"/>
      </c:barChart>
      <c:catAx>
        <c:axId val="115057792"/>
        <c:scaling>
          <c:orientation val="minMax"/>
        </c:scaling>
        <c:delete val="0"/>
        <c:axPos val="b"/>
        <c:numFmt formatCode="General" sourceLinked="1"/>
        <c:majorTickMark val="out"/>
        <c:minorTickMark val="none"/>
        <c:tickLblPos val="nextTo"/>
        <c:crossAx val="115059328"/>
        <c:crosses val="autoZero"/>
        <c:auto val="1"/>
        <c:lblAlgn val="ctr"/>
        <c:lblOffset val="100"/>
        <c:noMultiLvlLbl val="0"/>
      </c:catAx>
      <c:valAx>
        <c:axId val="115059328"/>
        <c:scaling>
          <c:orientation val="minMax"/>
        </c:scaling>
        <c:delete val="1"/>
        <c:axPos val="l"/>
        <c:numFmt formatCode="General" sourceLinked="1"/>
        <c:majorTickMark val="out"/>
        <c:minorTickMark val="none"/>
        <c:tickLblPos val="none"/>
        <c:crossAx val="115057792"/>
        <c:crosses val="autoZero"/>
        <c:crossBetween val="between"/>
      </c:valAx>
      <c:spPr>
        <a:noFill/>
        <a:ln w="15232">
          <a:noFill/>
        </a:ln>
      </c:spPr>
    </c:plotArea>
    <c:plotVisOnly val="1"/>
    <c:dispBlanksAs val="gap"/>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276948140103174E-4"/>
          <c:y val="7.3141542238727003E-4"/>
          <c:w val="0.99939713962240451"/>
          <c:h val="0.64109794494866224"/>
        </c:manualLayout>
      </c:layout>
      <c:barChart>
        <c:barDir val="col"/>
        <c:grouping val="clustered"/>
        <c:varyColors val="0"/>
        <c:ser>
          <c:idx val="0"/>
          <c:order val="0"/>
          <c:tx>
            <c:strRef>
              <c:f>Sheet1!$B$1</c:f>
              <c:strCache>
                <c:ptCount val="1"/>
                <c:pt idx="0">
                  <c:v>Series 1</c:v>
                </c:pt>
              </c:strCache>
            </c:strRef>
          </c:tx>
          <c:spPr>
            <a:solidFill>
              <a:srgbClr val="800929"/>
            </a:solidFill>
          </c:spPr>
          <c:invertIfNegative val="0"/>
          <c:dLbls>
            <c:dLbl>
              <c:idx val="0"/>
              <c:tx>
                <c:rich>
                  <a:bodyPr/>
                  <a:lstStyle/>
                  <a:p>
                    <a:pPr>
                      <a:defRPr/>
                    </a:pPr>
                    <a:r>
                      <a:rPr lang="en-US" sz="660" b="0">
                        <a:latin typeface="Myriad Pro" pitchFamily="34" charset="0"/>
                      </a:rPr>
                      <a:t>50%</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12-4FE7-86BA-A8A003377496}"/>
                </c:ext>
              </c:extLst>
            </c:dLbl>
            <c:dLbl>
              <c:idx val="1"/>
              <c:tx>
                <c:rich>
                  <a:bodyPr/>
                  <a:lstStyle/>
                  <a:p>
                    <a:pPr>
                      <a:defRPr/>
                    </a:pPr>
                    <a:r>
                      <a:rPr lang="en-US" sz="660" b="0">
                        <a:latin typeface="Myriad Pro" pitchFamily="34" charset="0"/>
                      </a:rPr>
                      <a:t>30.4%</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12-4FE7-86BA-A8A003377496}"/>
                </c:ext>
              </c:extLst>
            </c:dLbl>
            <c:dLbl>
              <c:idx val="2"/>
              <c:tx>
                <c:rich>
                  <a:bodyPr/>
                  <a:lstStyle/>
                  <a:p>
                    <a:pPr>
                      <a:defRPr/>
                    </a:pPr>
                    <a:r>
                      <a:rPr lang="en-US" sz="660" b="0">
                        <a:latin typeface="Myriad Pro" pitchFamily="34" charset="0"/>
                      </a:rPr>
                      <a:t>19.6%</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12-4FE7-86BA-A8A003377496}"/>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Not sure</c:v>
                </c:pt>
              </c:strCache>
            </c:strRef>
          </c:cat>
          <c:val>
            <c:numRef>
              <c:f>Sheet1!$B$2:$B$4</c:f>
              <c:numCache>
                <c:formatCode>General</c:formatCode>
                <c:ptCount val="3"/>
                <c:pt idx="0">
                  <c:v>50</c:v>
                </c:pt>
                <c:pt idx="1">
                  <c:v>30.4</c:v>
                </c:pt>
                <c:pt idx="2">
                  <c:v>19.600000000000001</c:v>
                </c:pt>
              </c:numCache>
            </c:numRef>
          </c:val>
          <c:extLst>
            <c:ext xmlns:c16="http://schemas.microsoft.com/office/drawing/2014/chart" uri="{C3380CC4-5D6E-409C-BE32-E72D297353CC}">
              <c16:uniqueId val="{00000003-FC12-4FE7-86BA-A8A003377496}"/>
            </c:ext>
          </c:extLst>
        </c:ser>
        <c:dLbls>
          <c:showLegendKey val="0"/>
          <c:showVal val="0"/>
          <c:showCatName val="0"/>
          <c:showSerName val="0"/>
          <c:showPercent val="0"/>
          <c:showBubbleSize val="0"/>
        </c:dLbls>
        <c:gapWidth val="150"/>
        <c:axId val="117001216"/>
        <c:axId val="117015296"/>
      </c:barChart>
      <c:catAx>
        <c:axId val="117001216"/>
        <c:scaling>
          <c:orientation val="minMax"/>
        </c:scaling>
        <c:delete val="0"/>
        <c:axPos val="b"/>
        <c:numFmt formatCode="General" sourceLinked="1"/>
        <c:majorTickMark val="out"/>
        <c:minorTickMark val="none"/>
        <c:tickLblPos val="nextTo"/>
        <c:crossAx val="117015296"/>
        <c:crosses val="autoZero"/>
        <c:auto val="1"/>
        <c:lblAlgn val="ctr"/>
        <c:lblOffset val="100"/>
        <c:noMultiLvlLbl val="0"/>
      </c:catAx>
      <c:valAx>
        <c:axId val="117015296"/>
        <c:scaling>
          <c:orientation val="minMax"/>
        </c:scaling>
        <c:delete val="1"/>
        <c:axPos val="l"/>
        <c:numFmt formatCode="General" sourceLinked="1"/>
        <c:majorTickMark val="out"/>
        <c:minorTickMark val="none"/>
        <c:tickLblPos val="none"/>
        <c:crossAx val="117001216"/>
        <c:crosses val="autoZero"/>
        <c:crossBetween val="between"/>
      </c:valAx>
      <c:spPr>
        <a:noFill/>
        <a:ln w="15232">
          <a:noFill/>
        </a:ln>
      </c:spPr>
    </c:plotArea>
    <c:plotVisOnly val="1"/>
    <c:dispBlanksAs val="gap"/>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282787232241581E-4"/>
          <c:y val="7.3130343685580076E-4"/>
          <c:w val="0.99154886213266558"/>
          <c:h val="0.58828018006128791"/>
        </c:manualLayout>
      </c:layout>
      <c:barChart>
        <c:barDir val="col"/>
        <c:grouping val="clustered"/>
        <c:varyColors val="0"/>
        <c:ser>
          <c:idx val="0"/>
          <c:order val="0"/>
          <c:tx>
            <c:strRef>
              <c:f>Sheet1!$B$1</c:f>
              <c:strCache>
                <c:ptCount val="1"/>
                <c:pt idx="0">
                  <c:v>Series 1</c:v>
                </c:pt>
              </c:strCache>
            </c:strRef>
          </c:tx>
          <c:spPr>
            <a:solidFill>
              <a:srgbClr val="2E7029"/>
            </a:solidFill>
          </c:spPr>
          <c:invertIfNegative val="0"/>
          <c:dLbls>
            <c:dLbl>
              <c:idx val="0"/>
              <c:tx>
                <c:rich>
                  <a:bodyPr/>
                  <a:lstStyle/>
                  <a:p>
                    <a:pPr>
                      <a:defRPr/>
                    </a:pPr>
                    <a:r>
                      <a:rPr lang="en-US"/>
                      <a:t>39.1%</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F7-4BA4-887C-59FA276118D0}"/>
                </c:ext>
              </c:extLst>
            </c:dLbl>
            <c:dLbl>
              <c:idx val="1"/>
              <c:tx>
                <c:rich>
                  <a:bodyPr/>
                  <a:lstStyle/>
                  <a:p>
                    <a:pPr>
                      <a:defRPr/>
                    </a:pPr>
                    <a:r>
                      <a:rPr lang="en-US"/>
                      <a:t>41.3%</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F7-4BA4-887C-59FA276118D0}"/>
                </c:ext>
              </c:extLst>
            </c:dLbl>
            <c:dLbl>
              <c:idx val="2"/>
              <c:tx>
                <c:rich>
                  <a:bodyPr/>
                  <a:lstStyle/>
                  <a:p>
                    <a:pPr>
                      <a:defRPr/>
                    </a:pPr>
                    <a:r>
                      <a:rPr lang="en-US"/>
                      <a:t>19.6%</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F7-4BA4-887C-59FA276118D0}"/>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Not sure</c:v>
                </c:pt>
              </c:strCache>
            </c:strRef>
          </c:cat>
          <c:val>
            <c:numRef>
              <c:f>Sheet1!$B$2:$B$4</c:f>
              <c:numCache>
                <c:formatCode>General</c:formatCode>
                <c:ptCount val="3"/>
                <c:pt idx="0">
                  <c:v>39.1</c:v>
                </c:pt>
                <c:pt idx="1">
                  <c:v>41.3</c:v>
                </c:pt>
                <c:pt idx="2">
                  <c:v>19.600000000000001</c:v>
                </c:pt>
              </c:numCache>
            </c:numRef>
          </c:val>
          <c:extLst>
            <c:ext xmlns:c16="http://schemas.microsoft.com/office/drawing/2014/chart" uri="{C3380CC4-5D6E-409C-BE32-E72D297353CC}">
              <c16:uniqueId val="{00000003-E5F7-4BA4-887C-59FA276118D0}"/>
            </c:ext>
          </c:extLst>
        </c:ser>
        <c:dLbls>
          <c:showLegendKey val="0"/>
          <c:showVal val="0"/>
          <c:showCatName val="0"/>
          <c:showSerName val="0"/>
          <c:showPercent val="0"/>
          <c:showBubbleSize val="0"/>
        </c:dLbls>
        <c:gapWidth val="150"/>
        <c:axId val="117076736"/>
        <c:axId val="117078272"/>
      </c:barChart>
      <c:catAx>
        <c:axId val="117076736"/>
        <c:scaling>
          <c:orientation val="minMax"/>
        </c:scaling>
        <c:delete val="0"/>
        <c:axPos val="b"/>
        <c:numFmt formatCode="General" sourceLinked="1"/>
        <c:majorTickMark val="out"/>
        <c:minorTickMark val="none"/>
        <c:tickLblPos val="nextTo"/>
        <c:crossAx val="117078272"/>
        <c:crosses val="autoZero"/>
        <c:auto val="1"/>
        <c:lblAlgn val="ctr"/>
        <c:lblOffset val="100"/>
        <c:noMultiLvlLbl val="0"/>
      </c:catAx>
      <c:valAx>
        <c:axId val="117078272"/>
        <c:scaling>
          <c:orientation val="minMax"/>
          <c:max val="60"/>
        </c:scaling>
        <c:delete val="1"/>
        <c:axPos val="l"/>
        <c:numFmt formatCode="General" sourceLinked="1"/>
        <c:majorTickMark val="out"/>
        <c:minorTickMark val="none"/>
        <c:tickLblPos val="none"/>
        <c:crossAx val="117076736"/>
        <c:crosses val="autoZero"/>
        <c:crossBetween val="between"/>
      </c:valAx>
      <c:spPr>
        <a:noFill/>
        <a:ln w="15241">
          <a:noFill/>
        </a:ln>
      </c:spPr>
    </c:plotArea>
    <c:plotVisOnly val="1"/>
    <c:dispBlanksAs val="gap"/>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3"/>
    </mc:Choice>
    <mc:Fallback>
      <c:style val="23"/>
    </mc:Fallback>
  </mc:AlternateContent>
  <c:chart>
    <c:autoTitleDeleted val="1"/>
    <c:plotArea>
      <c:layout>
        <c:manualLayout>
          <c:layoutTarget val="inner"/>
          <c:xMode val="edge"/>
          <c:yMode val="edge"/>
          <c:x val="0.28577879159373087"/>
          <c:y val="0.13602226320881494"/>
          <c:w val="0.37079905097068133"/>
          <c:h val="0.6608857452413478"/>
        </c:manualLayout>
      </c:layout>
      <c:pieChart>
        <c:varyColors val="1"/>
        <c:ser>
          <c:idx val="0"/>
          <c:order val="0"/>
          <c:tx>
            <c:strRef>
              <c:f>Sheet1!$B$1</c:f>
              <c:strCache>
                <c:ptCount val="1"/>
                <c:pt idx="0">
                  <c:v>Column1</c:v>
                </c:pt>
              </c:strCache>
            </c:strRef>
          </c:tx>
          <c:spPr>
            <a:ln>
              <a:noFill/>
            </a:ln>
          </c:spPr>
          <c:explosion val="1"/>
          <c:dPt>
            <c:idx val="0"/>
            <c:bubble3D val="0"/>
            <c:explosion val="0"/>
            <c:spPr>
              <a:solidFill>
                <a:srgbClr val="013161"/>
              </a:solidFill>
              <a:ln>
                <a:noFill/>
              </a:ln>
            </c:spPr>
            <c:extLst>
              <c:ext xmlns:c16="http://schemas.microsoft.com/office/drawing/2014/chart" uri="{C3380CC4-5D6E-409C-BE32-E72D297353CC}">
                <c16:uniqueId val="{00000000-B969-415D-A687-8CE4B5B7F59A}"/>
              </c:ext>
            </c:extLst>
          </c:dPt>
          <c:dPt>
            <c:idx val="1"/>
            <c:bubble3D val="0"/>
            <c:spPr>
              <a:solidFill>
                <a:srgbClr val="2E7029"/>
              </a:solidFill>
              <a:ln>
                <a:noFill/>
              </a:ln>
            </c:spPr>
            <c:extLst>
              <c:ext xmlns:c16="http://schemas.microsoft.com/office/drawing/2014/chart" uri="{C3380CC4-5D6E-409C-BE32-E72D297353CC}">
                <c16:uniqueId val="{00000001-B969-415D-A687-8CE4B5B7F59A}"/>
              </c:ext>
            </c:extLst>
          </c:dPt>
          <c:dPt>
            <c:idx val="2"/>
            <c:bubble3D val="0"/>
            <c:spPr>
              <a:solidFill>
                <a:srgbClr val="800929"/>
              </a:solidFill>
              <a:ln>
                <a:noFill/>
              </a:ln>
            </c:spPr>
            <c:extLst>
              <c:ext xmlns:c16="http://schemas.microsoft.com/office/drawing/2014/chart" uri="{C3380CC4-5D6E-409C-BE32-E72D297353CC}">
                <c16:uniqueId val="{00000002-B969-415D-A687-8CE4B5B7F59A}"/>
              </c:ext>
            </c:extLst>
          </c:dPt>
          <c:dPt>
            <c:idx val="3"/>
            <c:bubble3D val="0"/>
            <c:spPr>
              <a:solidFill>
                <a:srgbClr val="F6872B"/>
              </a:solidFill>
              <a:ln>
                <a:noFill/>
              </a:ln>
            </c:spPr>
            <c:extLst>
              <c:ext xmlns:c16="http://schemas.microsoft.com/office/drawing/2014/chart" uri="{C3380CC4-5D6E-409C-BE32-E72D297353CC}">
                <c16:uniqueId val="{00000003-B969-415D-A687-8CE4B5B7F59A}"/>
              </c:ext>
            </c:extLst>
          </c:dPt>
          <c:dPt>
            <c:idx val="4"/>
            <c:bubble3D val="0"/>
            <c:spPr>
              <a:solidFill>
                <a:schemeClr val="accent6">
                  <a:lumMod val="40000"/>
                  <a:lumOff val="60000"/>
                </a:schemeClr>
              </a:solidFill>
              <a:ln>
                <a:noFill/>
              </a:ln>
            </c:spPr>
            <c:extLst>
              <c:ext xmlns:c16="http://schemas.microsoft.com/office/drawing/2014/chart" uri="{C3380CC4-5D6E-409C-BE32-E72D297353CC}">
                <c16:uniqueId val="{00000004-B969-415D-A687-8CE4B5B7F59A}"/>
              </c:ext>
            </c:extLst>
          </c:dPt>
          <c:dPt>
            <c:idx val="5"/>
            <c:bubble3D val="0"/>
            <c:spPr>
              <a:solidFill>
                <a:schemeClr val="tx1">
                  <a:lumMod val="50000"/>
                  <a:lumOff val="50000"/>
                </a:schemeClr>
              </a:solidFill>
              <a:ln>
                <a:noFill/>
              </a:ln>
            </c:spPr>
            <c:extLst>
              <c:ext xmlns:c16="http://schemas.microsoft.com/office/drawing/2014/chart" uri="{C3380CC4-5D6E-409C-BE32-E72D297353CC}">
                <c16:uniqueId val="{00000005-B969-415D-A687-8CE4B5B7F59A}"/>
              </c:ext>
            </c:extLst>
          </c:dPt>
          <c:dPt>
            <c:idx val="6"/>
            <c:bubble3D val="0"/>
            <c:spPr>
              <a:solidFill>
                <a:srgbClr val="262626"/>
              </a:solidFill>
              <a:ln>
                <a:noFill/>
              </a:ln>
            </c:spPr>
            <c:extLst>
              <c:ext xmlns:c16="http://schemas.microsoft.com/office/drawing/2014/chart" uri="{C3380CC4-5D6E-409C-BE32-E72D297353CC}">
                <c16:uniqueId val="{00000006-B969-415D-A687-8CE4B5B7F59A}"/>
              </c:ext>
            </c:extLst>
          </c:dPt>
          <c:dPt>
            <c:idx val="7"/>
            <c:bubble3D val="0"/>
            <c:explosion val="0"/>
            <c:spPr>
              <a:solidFill>
                <a:schemeClr val="tx2"/>
              </a:solidFill>
              <a:ln>
                <a:noFill/>
              </a:ln>
            </c:spPr>
            <c:extLst>
              <c:ext xmlns:c16="http://schemas.microsoft.com/office/drawing/2014/chart" uri="{C3380CC4-5D6E-409C-BE32-E72D297353CC}">
                <c16:uniqueId val="{00000007-B969-415D-A687-8CE4B5B7F59A}"/>
              </c:ext>
            </c:extLst>
          </c:dPt>
          <c:dPt>
            <c:idx val="8"/>
            <c:bubble3D val="0"/>
            <c:spPr>
              <a:solidFill>
                <a:srgbClr val="558ED5"/>
              </a:solidFill>
              <a:ln>
                <a:noFill/>
              </a:ln>
            </c:spPr>
            <c:extLst>
              <c:ext xmlns:c16="http://schemas.microsoft.com/office/drawing/2014/chart" uri="{C3380CC4-5D6E-409C-BE32-E72D297353CC}">
                <c16:uniqueId val="{00000008-B969-415D-A687-8CE4B5B7F59A}"/>
              </c:ext>
            </c:extLst>
          </c:dPt>
          <c:dPt>
            <c:idx val="9"/>
            <c:bubble3D val="0"/>
            <c:spPr>
              <a:solidFill>
                <a:srgbClr val="9DBEE7"/>
              </a:solidFill>
              <a:ln>
                <a:noFill/>
              </a:ln>
            </c:spPr>
            <c:extLst>
              <c:ext xmlns:c16="http://schemas.microsoft.com/office/drawing/2014/chart" uri="{C3380CC4-5D6E-409C-BE32-E72D297353CC}">
                <c16:uniqueId val="{00000009-B969-415D-A687-8CE4B5B7F59A}"/>
              </c:ext>
            </c:extLst>
          </c:dPt>
          <c:dLbls>
            <c:dLbl>
              <c:idx val="0"/>
              <c:layout>
                <c:manualLayout>
                  <c:x val="5.3963640873318577E-2"/>
                  <c:y val="6.8337252827289821E-2"/>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69-415D-A687-8CE4B5B7F59A}"/>
                </c:ext>
              </c:extLst>
            </c:dLbl>
            <c:dLbl>
              <c:idx val="1"/>
              <c:layout>
                <c:manualLayout>
                  <c:x val="0.1711535345761134"/>
                  <c:y val="-0.195622457323614"/>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69-415D-A687-8CE4B5B7F59A}"/>
                </c:ext>
              </c:extLst>
            </c:dLbl>
            <c:dLbl>
              <c:idx val="2"/>
              <c:layout>
                <c:manualLayout>
                  <c:x val="0.22147774188201391"/>
                  <c:y val="-4.0451146565412665E-3"/>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69-415D-A687-8CE4B5B7F59A}"/>
                </c:ext>
              </c:extLst>
            </c:dLbl>
            <c:dLbl>
              <c:idx val="3"/>
              <c:layout>
                <c:manualLayout>
                  <c:x val="-7.4045024000195192E-2"/>
                  <c:y val="0.1318413891314677"/>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69-415D-A687-8CE4B5B7F59A}"/>
                </c:ext>
              </c:extLst>
            </c:dLbl>
            <c:dLbl>
              <c:idx val="4"/>
              <c:layout>
                <c:manualLayout>
                  <c:x val="-5.1638742678466298E-2"/>
                  <c:y val="0.10256911052248249"/>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69-415D-A687-8CE4B5B7F59A}"/>
                </c:ext>
              </c:extLst>
            </c:dLbl>
            <c:dLbl>
              <c:idx val="5"/>
              <c:layout>
                <c:manualLayout>
                  <c:x val="-0.11130276027657662"/>
                  <c:y val="9.0567124806592028E-2"/>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69-415D-A687-8CE4B5B7F59A}"/>
                </c:ext>
              </c:extLst>
            </c:dLbl>
            <c:dLbl>
              <c:idx val="6"/>
              <c:layout>
                <c:manualLayout>
                  <c:x val="-4.7749003295579476E-2"/>
                  <c:y val="7.1645209098057366E-3"/>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69-415D-A687-8CE4B5B7F59A}"/>
                </c:ext>
              </c:extLst>
            </c:dLbl>
            <c:dLbl>
              <c:idx val="7"/>
              <c:layout>
                <c:manualLayout>
                  <c:x val="-6.318532642641754E-2"/>
                  <c:y val="-3.0463633000974884E-2"/>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69-415D-A687-8CE4B5B7F59A}"/>
                </c:ext>
              </c:extLst>
            </c:dLbl>
            <c:dLbl>
              <c:idx val="9"/>
              <c:layout>
                <c:manualLayout>
                  <c:x val="0.21544083713006157"/>
                  <c:y val="-6.5376434480434844E-3"/>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69-415D-A687-8CE4B5B7F59A}"/>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Sheet1!$A$2:$A$11</c:f>
              <c:strCache>
                <c:ptCount val="10"/>
                <c:pt idx="0">
                  <c:v>Community Based Agency</c:v>
                </c:pt>
                <c:pt idx="1">
                  <c:v>CWS Staff (SW, Sup, Mng)</c:v>
                </c:pt>
                <c:pt idx="2">
                  <c:v>Probation Staff (Officer, Sup, Mng)</c:v>
                </c:pt>
                <c:pt idx="3">
                  <c:v>County Department</c:v>
                </c:pt>
                <c:pt idx="4">
                  <c:v>Parent Partner</c:v>
                </c:pt>
                <c:pt idx="5">
                  <c:v>Education</c:v>
                </c:pt>
                <c:pt idx="6">
                  <c:v>Juvenile Court Personnel</c:v>
                </c:pt>
                <c:pt idx="7">
                  <c:v>Other</c:v>
                </c:pt>
                <c:pt idx="8">
                  <c:v>Resource Family</c:v>
                </c:pt>
                <c:pt idx="9">
                  <c:v>Attorney</c:v>
                </c:pt>
              </c:strCache>
            </c:strRef>
          </c:cat>
          <c:val>
            <c:numRef>
              <c:f>Sheet1!$B$2:$B$11</c:f>
              <c:numCache>
                <c:formatCode>0.0%</c:formatCode>
                <c:ptCount val="10"/>
                <c:pt idx="0">
                  <c:v>0.33400000000000113</c:v>
                </c:pt>
                <c:pt idx="1">
                  <c:v>0.16700000000000001</c:v>
                </c:pt>
                <c:pt idx="2">
                  <c:v>6.3E-2</c:v>
                </c:pt>
                <c:pt idx="3">
                  <c:v>8.3000000000000046E-2</c:v>
                </c:pt>
                <c:pt idx="4">
                  <c:v>8.3000000000000046E-2</c:v>
                </c:pt>
                <c:pt idx="5">
                  <c:v>4.2000000000000023E-2</c:v>
                </c:pt>
                <c:pt idx="6">
                  <c:v>4.2000000000000023E-2</c:v>
                </c:pt>
                <c:pt idx="7">
                  <c:v>0.125</c:v>
                </c:pt>
                <c:pt idx="8">
                  <c:v>4.2000000000000023E-2</c:v>
                </c:pt>
                <c:pt idx="9">
                  <c:v>2.1000000000000012E-2</c:v>
                </c:pt>
              </c:numCache>
            </c:numRef>
          </c:val>
          <c:extLst>
            <c:ext xmlns:c16="http://schemas.microsoft.com/office/drawing/2014/chart" uri="{C3380CC4-5D6E-409C-BE32-E72D297353CC}">
              <c16:uniqueId val="{0000000A-B969-415D-A687-8CE4B5B7F59A}"/>
            </c:ext>
          </c:extLst>
        </c:ser>
        <c:dLbls>
          <c:showLegendKey val="0"/>
          <c:showVal val="0"/>
          <c:showCatName val="0"/>
          <c:showSerName val="0"/>
          <c:showPercent val="0"/>
          <c:showBubbleSize val="0"/>
          <c:showLeaderLines val="1"/>
        </c:dLbls>
        <c:firstSliceAng val="0"/>
      </c:pieChart>
      <c:spPr>
        <a:noFill/>
        <a:ln w="15219">
          <a:noFill/>
        </a:ln>
      </c:spPr>
    </c:plotArea>
    <c:plotVisOnly val="1"/>
    <c:dispBlanksAs val="zero"/>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282787232241342E-4"/>
          <c:y val="7.3130343685580076E-4"/>
          <c:w val="0.99154886213266558"/>
          <c:h val="0.58828018006128968"/>
        </c:manualLayout>
      </c:layout>
      <c:barChart>
        <c:barDir val="col"/>
        <c:grouping val="clustered"/>
        <c:varyColors val="0"/>
        <c:ser>
          <c:idx val="0"/>
          <c:order val="0"/>
          <c:tx>
            <c:strRef>
              <c:f>Sheet1!$B$1</c:f>
              <c:strCache>
                <c:ptCount val="1"/>
                <c:pt idx="0">
                  <c:v>Series 1</c:v>
                </c:pt>
              </c:strCache>
            </c:strRef>
          </c:tx>
          <c:spPr>
            <a:solidFill>
              <a:srgbClr val="2E7029"/>
            </a:solidFill>
          </c:spPr>
          <c:invertIfNegative val="0"/>
          <c:dLbls>
            <c:dLbl>
              <c:idx val="0"/>
              <c:tx>
                <c:rich>
                  <a:bodyPr/>
                  <a:lstStyle/>
                  <a:p>
                    <a:pPr>
                      <a:defRPr/>
                    </a:pPr>
                    <a:r>
                      <a:rPr lang="en-US"/>
                      <a:t>39.1%</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26-4AD6-88CB-1DFD798E3381}"/>
                </c:ext>
              </c:extLst>
            </c:dLbl>
            <c:dLbl>
              <c:idx val="1"/>
              <c:tx>
                <c:rich>
                  <a:bodyPr/>
                  <a:lstStyle/>
                  <a:p>
                    <a:pPr>
                      <a:defRPr/>
                    </a:pPr>
                    <a:r>
                      <a:rPr lang="en-US"/>
                      <a:t>41.3%</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26-4AD6-88CB-1DFD798E3381}"/>
                </c:ext>
              </c:extLst>
            </c:dLbl>
            <c:dLbl>
              <c:idx val="2"/>
              <c:tx>
                <c:rich>
                  <a:bodyPr/>
                  <a:lstStyle/>
                  <a:p>
                    <a:pPr>
                      <a:defRPr/>
                    </a:pPr>
                    <a:r>
                      <a:rPr lang="en-US"/>
                      <a:t>19.6%</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26-4AD6-88CB-1DFD798E338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Yes</c:v>
                </c:pt>
                <c:pt idx="1">
                  <c:v>No</c:v>
                </c:pt>
                <c:pt idx="2">
                  <c:v>Not sure</c:v>
                </c:pt>
              </c:strCache>
            </c:strRef>
          </c:cat>
          <c:val>
            <c:numRef>
              <c:f>Sheet1!$B$2:$B$4</c:f>
              <c:numCache>
                <c:formatCode>General</c:formatCode>
                <c:ptCount val="3"/>
                <c:pt idx="0">
                  <c:v>39.1</c:v>
                </c:pt>
                <c:pt idx="1">
                  <c:v>41.3</c:v>
                </c:pt>
                <c:pt idx="2">
                  <c:v>19.600000000000001</c:v>
                </c:pt>
              </c:numCache>
            </c:numRef>
          </c:val>
          <c:extLst>
            <c:ext xmlns:c16="http://schemas.microsoft.com/office/drawing/2014/chart" uri="{C3380CC4-5D6E-409C-BE32-E72D297353CC}">
              <c16:uniqueId val="{00000003-4826-4AD6-88CB-1DFD798E3381}"/>
            </c:ext>
          </c:extLst>
        </c:ser>
        <c:dLbls>
          <c:showLegendKey val="0"/>
          <c:showVal val="0"/>
          <c:showCatName val="0"/>
          <c:showSerName val="0"/>
          <c:showPercent val="0"/>
          <c:showBubbleSize val="0"/>
        </c:dLbls>
        <c:gapWidth val="150"/>
        <c:axId val="118340224"/>
        <c:axId val="118481280"/>
      </c:barChart>
      <c:catAx>
        <c:axId val="118340224"/>
        <c:scaling>
          <c:orientation val="minMax"/>
        </c:scaling>
        <c:delete val="0"/>
        <c:axPos val="b"/>
        <c:numFmt formatCode="General" sourceLinked="1"/>
        <c:majorTickMark val="out"/>
        <c:minorTickMark val="none"/>
        <c:tickLblPos val="nextTo"/>
        <c:crossAx val="118481280"/>
        <c:crosses val="autoZero"/>
        <c:auto val="1"/>
        <c:lblAlgn val="ctr"/>
        <c:lblOffset val="100"/>
        <c:noMultiLvlLbl val="0"/>
      </c:catAx>
      <c:valAx>
        <c:axId val="118481280"/>
        <c:scaling>
          <c:orientation val="minMax"/>
          <c:max val="60"/>
        </c:scaling>
        <c:delete val="1"/>
        <c:axPos val="l"/>
        <c:numFmt formatCode="General" sourceLinked="1"/>
        <c:majorTickMark val="out"/>
        <c:minorTickMark val="none"/>
        <c:tickLblPos val="none"/>
        <c:crossAx val="118340224"/>
        <c:crosses val="autoZero"/>
        <c:crossBetween val="between"/>
      </c:valAx>
      <c:spPr>
        <a:noFill/>
        <a:ln w="15241">
          <a:noFill/>
        </a:ln>
      </c:spPr>
    </c:plotArea>
    <c:plotVisOnly val="1"/>
    <c:dispBlanksAs val="gap"/>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421838177533495E-2"/>
          <c:y val="0"/>
          <c:w val="0.94239329667452543"/>
          <c:h val="0.68910542432195976"/>
        </c:manualLayout>
      </c:layout>
      <c:barChart>
        <c:barDir val="col"/>
        <c:grouping val="clustered"/>
        <c:varyColors val="0"/>
        <c:ser>
          <c:idx val="0"/>
          <c:order val="0"/>
          <c:tx>
            <c:strRef>
              <c:f>Sheet1!$B$1</c:f>
              <c:strCache>
                <c:ptCount val="1"/>
                <c:pt idx="0">
                  <c:v>Series 1</c:v>
                </c:pt>
              </c:strCache>
            </c:strRef>
          </c:tx>
          <c:spPr>
            <a:solidFill>
              <a:srgbClr val="013161"/>
            </a:solidFill>
          </c:spPr>
          <c:invertIfNegative val="0"/>
          <c:dLbls>
            <c:dLbl>
              <c:idx val="0"/>
              <c:tx>
                <c:rich>
                  <a:bodyPr/>
                  <a:lstStyle/>
                  <a:p>
                    <a:pPr>
                      <a:defRPr/>
                    </a:pPr>
                    <a:r>
                      <a:rPr lang="en-US"/>
                      <a:t>4.3%</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EE-4947-BADF-984DE34C3577}"/>
                </c:ext>
              </c:extLst>
            </c:dLbl>
            <c:dLbl>
              <c:idx val="1"/>
              <c:tx>
                <c:rich>
                  <a:bodyPr/>
                  <a:lstStyle/>
                  <a:p>
                    <a:pPr>
                      <a:defRPr/>
                    </a:pPr>
                    <a:r>
                      <a:rPr lang="en-US"/>
                      <a:t>2.2%</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EE-4947-BADF-984DE34C3577}"/>
                </c:ext>
              </c:extLst>
            </c:dLbl>
            <c:dLbl>
              <c:idx val="2"/>
              <c:tx>
                <c:rich>
                  <a:bodyPr/>
                  <a:lstStyle/>
                  <a:p>
                    <a:pPr>
                      <a:defRPr/>
                    </a:pPr>
                    <a:r>
                      <a:rPr lang="en-US"/>
                      <a:t>13%</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DEE-4947-BADF-984DE34C3577}"/>
                </c:ext>
              </c:extLst>
            </c:dLbl>
            <c:dLbl>
              <c:idx val="3"/>
              <c:tx>
                <c:rich>
                  <a:bodyPr/>
                  <a:lstStyle/>
                  <a:p>
                    <a:pPr>
                      <a:defRPr/>
                    </a:pPr>
                    <a:r>
                      <a:rPr lang="en-US"/>
                      <a:t>67.4%</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DEE-4947-BADF-984DE34C3577}"/>
                </c:ext>
              </c:extLst>
            </c:dLbl>
            <c:dLbl>
              <c:idx val="4"/>
              <c:tx>
                <c:rich>
                  <a:bodyPr/>
                  <a:lstStyle/>
                  <a:p>
                    <a:pPr>
                      <a:defRPr/>
                    </a:pPr>
                    <a:r>
                      <a:rPr lang="en-US"/>
                      <a:t>13%</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DEE-4947-BADF-984DE34C357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NA</c:v>
                </c:pt>
                <c:pt idx="1">
                  <c:v>Not at all</c:v>
                </c:pt>
                <c:pt idx="2">
                  <c:v>Only  a little</c:v>
                </c:pt>
                <c:pt idx="3">
                  <c:v>Somewhat</c:v>
                </c:pt>
                <c:pt idx="4">
                  <c:v>Very much</c:v>
                </c:pt>
              </c:strCache>
            </c:strRef>
          </c:cat>
          <c:val>
            <c:numRef>
              <c:f>Sheet1!$B$2:$B$6</c:f>
              <c:numCache>
                <c:formatCode>General</c:formatCode>
                <c:ptCount val="5"/>
                <c:pt idx="0">
                  <c:v>4.3</c:v>
                </c:pt>
                <c:pt idx="1">
                  <c:v>2.2000000000000002</c:v>
                </c:pt>
                <c:pt idx="2">
                  <c:v>13</c:v>
                </c:pt>
                <c:pt idx="3">
                  <c:v>67.400000000000006</c:v>
                </c:pt>
                <c:pt idx="4">
                  <c:v>13</c:v>
                </c:pt>
              </c:numCache>
            </c:numRef>
          </c:val>
          <c:extLst>
            <c:ext xmlns:c16="http://schemas.microsoft.com/office/drawing/2014/chart" uri="{C3380CC4-5D6E-409C-BE32-E72D297353CC}">
              <c16:uniqueId val="{00000005-CDEE-4947-BADF-984DE34C3577}"/>
            </c:ext>
          </c:extLst>
        </c:ser>
        <c:dLbls>
          <c:showLegendKey val="0"/>
          <c:showVal val="0"/>
          <c:showCatName val="0"/>
          <c:showSerName val="0"/>
          <c:showPercent val="0"/>
          <c:showBubbleSize val="0"/>
        </c:dLbls>
        <c:gapWidth val="150"/>
        <c:axId val="120071680"/>
        <c:axId val="120073216"/>
      </c:barChart>
      <c:catAx>
        <c:axId val="120071680"/>
        <c:scaling>
          <c:orientation val="minMax"/>
        </c:scaling>
        <c:delete val="0"/>
        <c:axPos val="b"/>
        <c:numFmt formatCode="General" sourceLinked="1"/>
        <c:majorTickMark val="out"/>
        <c:minorTickMark val="none"/>
        <c:tickLblPos val="nextTo"/>
        <c:crossAx val="120073216"/>
        <c:crosses val="autoZero"/>
        <c:auto val="1"/>
        <c:lblAlgn val="ctr"/>
        <c:lblOffset val="100"/>
        <c:noMultiLvlLbl val="0"/>
      </c:catAx>
      <c:valAx>
        <c:axId val="120073216"/>
        <c:scaling>
          <c:orientation val="minMax"/>
        </c:scaling>
        <c:delete val="1"/>
        <c:axPos val="l"/>
        <c:numFmt formatCode="General" sourceLinked="1"/>
        <c:majorTickMark val="out"/>
        <c:minorTickMark val="none"/>
        <c:tickLblPos val="none"/>
        <c:crossAx val="120071680"/>
        <c:crosses val="autoZero"/>
        <c:crossBetween val="between"/>
      </c:valAx>
      <c:spPr>
        <a:noFill/>
        <a:ln w="15218">
          <a:noFill/>
        </a:ln>
      </c:spPr>
    </c:plotArea>
    <c:plotVisOnly val="1"/>
    <c:dispBlanksAs val="gap"/>
    <c:showDLblsOverMax val="0"/>
  </c:chart>
  <c:spPr>
    <a:ln>
      <a:noFill/>
    </a:ln>
  </c:spPr>
  <c:txPr>
    <a:bodyPr/>
    <a:lstStyle/>
    <a:p>
      <a:pPr>
        <a:defRPr sz="659">
          <a:latin typeface="Perpetua" panose="02020502060401020303" pitchFamily="18"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421838177533433E-2"/>
          <c:y val="0"/>
          <c:w val="0.94239329667452365"/>
          <c:h val="0.68910542432195976"/>
        </c:manualLayout>
      </c:layout>
      <c:barChart>
        <c:barDir val="col"/>
        <c:grouping val="clustered"/>
        <c:varyColors val="0"/>
        <c:ser>
          <c:idx val="0"/>
          <c:order val="0"/>
          <c:tx>
            <c:strRef>
              <c:f>Sheet1!$B$1</c:f>
              <c:strCache>
                <c:ptCount val="1"/>
                <c:pt idx="0">
                  <c:v>Series 1</c:v>
                </c:pt>
              </c:strCache>
            </c:strRef>
          </c:tx>
          <c:spPr>
            <a:solidFill>
              <a:srgbClr val="013161"/>
            </a:solidFill>
          </c:spPr>
          <c:invertIfNegative val="0"/>
          <c:dLbls>
            <c:dLbl>
              <c:idx val="0"/>
              <c:tx>
                <c:rich>
                  <a:bodyPr/>
                  <a:lstStyle/>
                  <a:p>
                    <a:pPr>
                      <a:defRPr/>
                    </a:pPr>
                    <a:r>
                      <a:rPr lang="en-US"/>
                      <a:t>4.3%</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F7-4DA2-BA80-15A355BA6D5E}"/>
                </c:ext>
              </c:extLst>
            </c:dLbl>
            <c:dLbl>
              <c:idx val="1"/>
              <c:tx>
                <c:rich>
                  <a:bodyPr/>
                  <a:lstStyle/>
                  <a:p>
                    <a:pPr>
                      <a:defRPr/>
                    </a:pPr>
                    <a:r>
                      <a:rPr lang="en-US"/>
                      <a:t>2.2%</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F7-4DA2-BA80-15A355BA6D5E}"/>
                </c:ext>
              </c:extLst>
            </c:dLbl>
            <c:dLbl>
              <c:idx val="2"/>
              <c:tx>
                <c:rich>
                  <a:bodyPr/>
                  <a:lstStyle/>
                  <a:p>
                    <a:pPr>
                      <a:defRPr/>
                    </a:pPr>
                    <a:r>
                      <a:rPr lang="en-US"/>
                      <a:t>13%</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F7-4DA2-BA80-15A355BA6D5E}"/>
                </c:ext>
              </c:extLst>
            </c:dLbl>
            <c:dLbl>
              <c:idx val="3"/>
              <c:tx>
                <c:rich>
                  <a:bodyPr/>
                  <a:lstStyle/>
                  <a:p>
                    <a:pPr>
                      <a:defRPr/>
                    </a:pPr>
                    <a:r>
                      <a:rPr lang="en-US"/>
                      <a:t>67.4%</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F7-4DA2-BA80-15A355BA6D5E}"/>
                </c:ext>
              </c:extLst>
            </c:dLbl>
            <c:dLbl>
              <c:idx val="4"/>
              <c:tx>
                <c:rich>
                  <a:bodyPr/>
                  <a:lstStyle/>
                  <a:p>
                    <a:pPr>
                      <a:defRPr/>
                    </a:pPr>
                    <a:r>
                      <a:rPr lang="en-US"/>
                      <a:t>13%</a:t>
                    </a:r>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F7-4DA2-BA80-15A355BA6D5E}"/>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NA</c:v>
                </c:pt>
                <c:pt idx="1">
                  <c:v>Not at all</c:v>
                </c:pt>
                <c:pt idx="2">
                  <c:v>Only  a little</c:v>
                </c:pt>
                <c:pt idx="3">
                  <c:v>Somewhat</c:v>
                </c:pt>
                <c:pt idx="4">
                  <c:v>Very much</c:v>
                </c:pt>
              </c:strCache>
            </c:strRef>
          </c:cat>
          <c:val>
            <c:numRef>
              <c:f>Sheet1!$B$2:$B$6</c:f>
              <c:numCache>
                <c:formatCode>General</c:formatCode>
                <c:ptCount val="5"/>
                <c:pt idx="0">
                  <c:v>4.3</c:v>
                </c:pt>
                <c:pt idx="1">
                  <c:v>2.2000000000000002</c:v>
                </c:pt>
                <c:pt idx="2">
                  <c:v>13</c:v>
                </c:pt>
                <c:pt idx="3">
                  <c:v>67.400000000000006</c:v>
                </c:pt>
                <c:pt idx="4">
                  <c:v>13</c:v>
                </c:pt>
              </c:numCache>
            </c:numRef>
          </c:val>
          <c:extLst>
            <c:ext xmlns:c16="http://schemas.microsoft.com/office/drawing/2014/chart" uri="{C3380CC4-5D6E-409C-BE32-E72D297353CC}">
              <c16:uniqueId val="{00000005-FCF7-4DA2-BA80-15A355BA6D5E}"/>
            </c:ext>
          </c:extLst>
        </c:ser>
        <c:dLbls>
          <c:showLegendKey val="0"/>
          <c:showVal val="0"/>
          <c:showCatName val="0"/>
          <c:showSerName val="0"/>
          <c:showPercent val="0"/>
          <c:showBubbleSize val="0"/>
        </c:dLbls>
        <c:gapWidth val="150"/>
        <c:axId val="128999808"/>
        <c:axId val="129001344"/>
      </c:barChart>
      <c:catAx>
        <c:axId val="128999808"/>
        <c:scaling>
          <c:orientation val="minMax"/>
        </c:scaling>
        <c:delete val="0"/>
        <c:axPos val="b"/>
        <c:numFmt formatCode="General" sourceLinked="1"/>
        <c:majorTickMark val="out"/>
        <c:minorTickMark val="none"/>
        <c:tickLblPos val="nextTo"/>
        <c:crossAx val="129001344"/>
        <c:crosses val="autoZero"/>
        <c:auto val="1"/>
        <c:lblAlgn val="ctr"/>
        <c:lblOffset val="100"/>
        <c:noMultiLvlLbl val="0"/>
      </c:catAx>
      <c:valAx>
        <c:axId val="129001344"/>
        <c:scaling>
          <c:orientation val="minMax"/>
        </c:scaling>
        <c:delete val="1"/>
        <c:axPos val="l"/>
        <c:numFmt formatCode="General" sourceLinked="1"/>
        <c:majorTickMark val="out"/>
        <c:minorTickMark val="none"/>
        <c:tickLblPos val="none"/>
        <c:crossAx val="128999808"/>
        <c:crosses val="autoZero"/>
        <c:crossBetween val="between"/>
      </c:valAx>
      <c:spPr>
        <a:noFill/>
        <a:ln w="15218">
          <a:noFill/>
        </a:ln>
      </c:spPr>
    </c:plotArea>
    <c:plotVisOnly val="1"/>
    <c:dispBlanksAs val="gap"/>
    <c:showDLblsOverMax val="0"/>
  </c:chart>
  <c:spPr>
    <a:ln>
      <a:noFill/>
    </a:ln>
  </c:spPr>
  <c:txPr>
    <a:bodyPr/>
    <a:lstStyle/>
    <a:p>
      <a:pPr>
        <a:defRPr sz="659">
          <a:latin typeface="Perpetua" panose="02020502060401020303"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3"/>
    </mc:Choice>
    <mc:Fallback>
      <c:style val="2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577879159373087"/>
          <c:y val="0.13602226320881519"/>
          <c:w val="0.37079905097068133"/>
          <c:h val="0.6608857452413478"/>
        </c:manualLayout>
      </c:layout>
      <c:pieChart>
        <c:varyColors val="1"/>
        <c:ser>
          <c:idx val="0"/>
          <c:order val="0"/>
          <c:tx>
            <c:strRef>
              <c:f>Sheet1!$B$1</c:f>
              <c:strCache>
                <c:ptCount val="1"/>
                <c:pt idx="0">
                  <c:v>Column1</c:v>
                </c:pt>
              </c:strCache>
            </c:strRef>
          </c:tx>
          <c:spPr>
            <a:ln>
              <a:noFill/>
            </a:ln>
          </c:spPr>
          <c:explosion val="1"/>
          <c:dPt>
            <c:idx val="0"/>
            <c:bubble3D val="0"/>
            <c:explosion val="0"/>
            <c:spPr>
              <a:solidFill>
                <a:srgbClr val="013161"/>
              </a:solidFill>
              <a:ln>
                <a:noFill/>
              </a:ln>
            </c:spPr>
            <c:extLst>
              <c:ext xmlns:c16="http://schemas.microsoft.com/office/drawing/2014/chart" uri="{C3380CC4-5D6E-409C-BE32-E72D297353CC}">
                <c16:uniqueId val="{00000000-C41D-4126-BA33-ADB8F563DC3E}"/>
              </c:ext>
            </c:extLst>
          </c:dPt>
          <c:dPt>
            <c:idx val="1"/>
            <c:bubble3D val="0"/>
            <c:spPr>
              <a:solidFill>
                <a:srgbClr val="2E7029"/>
              </a:solidFill>
              <a:ln>
                <a:noFill/>
              </a:ln>
            </c:spPr>
            <c:extLst>
              <c:ext xmlns:c16="http://schemas.microsoft.com/office/drawing/2014/chart" uri="{C3380CC4-5D6E-409C-BE32-E72D297353CC}">
                <c16:uniqueId val="{00000001-C41D-4126-BA33-ADB8F563DC3E}"/>
              </c:ext>
            </c:extLst>
          </c:dPt>
          <c:dPt>
            <c:idx val="2"/>
            <c:bubble3D val="0"/>
            <c:spPr>
              <a:solidFill>
                <a:srgbClr val="800929"/>
              </a:solidFill>
              <a:ln>
                <a:noFill/>
              </a:ln>
            </c:spPr>
            <c:extLst>
              <c:ext xmlns:c16="http://schemas.microsoft.com/office/drawing/2014/chart" uri="{C3380CC4-5D6E-409C-BE32-E72D297353CC}">
                <c16:uniqueId val="{00000002-C41D-4126-BA33-ADB8F563DC3E}"/>
              </c:ext>
            </c:extLst>
          </c:dPt>
          <c:dPt>
            <c:idx val="3"/>
            <c:bubble3D val="0"/>
            <c:spPr>
              <a:solidFill>
                <a:srgbClr val="F6872B"/>
              </a:solidFill>
              <a:ln>
                <a:noFill/>
              </a:ln>
            </c:spPr>
            <c:extLst>
              <c:ext xmlns:c16="http://schemas.microsoft.com/office/drawing/2014/chart" uri="{C3380CC4-5D6E-409C-BE32-E72D297353CC}">
                <c16:uniqueId val="{00000003-C41D-4126-BA33-ADB8F563DC3E}"/>
              </c:ext>
            </c:extLst>
          </c:dPt>
          <c:dPt>
            <c:idx val="4"/>
            <c:bubble3D val="0"/>
            <c:spPr>
              <a:solidFill>
                <a:schemeClr val="accent6">
                  <a:lumMod val="40000"/>
                  <a:lumOff val="60000"/>
                </a:schemeClr>
              </a:solidFill>
              <a:ln>
                <a:noFill/>
              </a:ln>
            </c:spPr>
            <c:extLst>
              <c:ext xmlns:c16="http://schemas.microsoft.com/office/drawing/2014/chart" uri="{C3380CC4-5D6E-409C-BE32-E72D297353CC}">
                <c16:uniqueId val="{00000004-C41D-4126-BA33-ADB8F563DC3E}"/>
              </c:ext>
            </c:extLst>
          </c:dPt>
          <c:dPt>
            <c:idx val="5"/>
            <c:bubble3D val="0"/>
            <c:spPr>
              <a:solidFill>
                <a:schemeClr val="tx1">
                  <a:lumMod val="50000"/>
                  <a:lumOff val="50000"/>
                </a:schemeClr>
              </a:solidFill>
              <a:ln>
                <a:noFill/>
              </a:ln>
            </c:spPr>
            <c:extLst>
              <c:ext xmlns:c16="http://schemas.microsoft.com/office/drawing/2014/chart" uri="{C3380CC4-5D6E-409C-BE32-E72D297353CC}">
                <c16:uniqueId val="{00000005-C41D-4126-BA33-ADB8F563DC3E}"/>
              </c:ext>
            </c:extLst>
          </c:dPt>
          <c:dPt>
            <c:idx val="6"/>
            <c:bubble3D val="0"/>
            <c:spPr>
              <a:solidFill>
                <a:srgbClr val="262626"/>
              </a:solidFill>
              <a:ln>
                <a:noFill/>
              </a:ln>
            </c:spPr>
            <c:extLst>
              <c:ext xmlns:c16="http://schemas.microsoft.com/office/drawing/2014/chart" uri="{C3380CC4-5D6E-409C-BE32-E72D297353CC}">
                <c16:uniqueId val="{00000006-C41D-4126-BA33-ADB8F563DC3E}"/>
              </c:ext>
            </c:extLst>
          </c:dPt>
          <c:dPt>
            <c:idx val="7"/>
            <c:bubble3D val="0"/>
            <c:explosion val="0"/>
            <c:spPr>
              <a:solidFill>
                <a:schemeClr val="tx2"/>
              </a:solidFill>
              <a:ln>
                <a:noFill/>
              </a:ln>
            </c:spPr>
            <c:extLst>
              <c:ext xmlns:c16="http://schemas.microsoft.com/office/drawing/2014/chart" uri="{C3380CC4-5D6E-409C-BE32-E72D297353CC}">
                <c16:uniqueId val="{00000007-C41D-4126-BA33-ADB8F563DC3E}"/>
              </c:ext>
            </c:extLst>
          </c:dPt>
          <c:dPt>
            <c:idx val="8"/>
            <c:bubble3D val="0"/>
            <c:spPr>
              <a:solidFill>
                <a:srgbClr val="558ED5"/>
              </a:solidFill>
              <a:ln>
                <a:noFill/>
              </a:ln>
            </c:spPr>
            <c:extLst>
              <c:ext xmlns:c16="http://schemas.microsoft.com/office/drawing/2014/chart" uri="{C3380CC4-5D6E-409C-BE32-E72D297353CC}">
                <c16:uniqueId val="{00000008-C41D-4126-BA33-ADB8F563DC3E}"/>
              </c:ext>
            </c:extLst>
          </c:dPt>
          <c:dPt>
            <c:idx val="9"/>
            <c:bubble3D val="0"/>
            <c:spPr>
              <a:solidFill>
                <a:srgbClr val="9DBEE7"/>
              </a:solidFill>
              <a:ln>
                <a:noFill/>
              </a:ln>
            </c:spPr>
            <c:extLst>
              <c:ext xmlns:c16="http://schemas.microsoft.com/office/drawing/2014/chart" uri="{C3380CC4-5D6E-409C-BE32-E72D297353CC}">
                <c16:uniqueId val="{00000009-C41D-4126-BA33-ADB8F563DC3E}"/>
              </c:ext>
            </c:extLst>
          </c:dPt>
          <c:dLbls>
            <c:dLbl>
              <c:idx val="0"/>
              <c:layout>
                <c:manualLayout>
                  <c:x val="5.3963640873318494E-2"/>
                  <c:y val="6.8337252827289821E-2"/>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1D-4126-BA33-ADB8F563DC3E}"/>
                </c:ext>
              </c:extLst>
            </c:dLbl>
            <c:dLbl>
              <c:idx val="1"/>
              <c:layout>
                <c:manualLayout>
                  <c:x val="0.1711535345761134"/>
                  <c:y val="-0.19562245732361425"/>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1D-4126-BA33-ADB8F563DC3E}"/>
                </c:ext>
              </c:extLst>
            </c:dLbl>
            <c:dLbl>
              <c:idx val="2"/>
              <c:layout>
                <c:manualLayout>
                  <c:x val="0.22147774188201391"/>
                  <c:y val="-4.0451146565412708E-3"/>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41D-4126-BA33-ADB8F563DC3E}"/>
                </c:ext>
              </c:extLst>
            </c:dLbl>
            <c:dLbl>
              <c:idx val="3"/>
              <c:layout>
                <c:manualLayout>
                  <c:x val="-7.4045024000195192E-2"/>
                  <c:y val="0.13184138913146712"/>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1D-4126-BA33-ADB8F563DC3E}"/>
                </c:ext>
              </c:extLst>
            </c:dLbl>
            <c:dLbl>
              <c:idx val="4"/>
              <c:layout>
                <c:manualLayout>
                  <c:x val="-5.1638742678466402E-2"/>
                  <c:y val="0.10256911052248249"/>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1D-4126-BA33-ADB8F563DC3E}"/>
                </c:ext>
              </c:extLst>
            </c:dLbl>
            <c:dLbl>
              <c:idx val="5"/>
              <c:layout>
                <c:manualLayout>
                  <c:x val="-0.11130276027657662"/>
                  <c:y val="9.0567124806592028E-2"/>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1D-4126-BA33-ADB8F563DC3E}"/>
                </c:ext>
              </c:extLst>
            </c:dLbl>
            <c:dLbl>
              <c:idx val="6"/>
              <c:layout>
                <c:manualLayout>
                  <c:x val="-4.7749003295579476E-2"/>
                  <c:y val="7.1645209098057366E-3"/>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1D-4126-BA33-ADB8F563DC3E}"/>
                </c:ext>
              </c:extLst>
            </c:dLbl>
            <c:dLbl>
              <c:idx val="7"/>
              <c:layout>
                <c:manualLayout>
                  <c:x val="-6.318532642641754E-2"/>
                  <c:y val="-3.0463633000974835E-2"/>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1D-4126-BA33-ADB8F563DC3E}"/>
                </c:ext>
              </c:extLst>
            </c:dLbl>
            <c:dLbl>
              <c:idx val="9"/>
              <c:layout>
                <c:manualLayout>
                  <c:x val="0.21544083713006099"/>
                  <c:y val="-6.5376434480434661E-3"/>
                </c:manualLayout>
              </c:layout>
              <c:spPr/>
              <c:txPr>
                <a:bodyPr/>
                <a:lstStyle/>
                <a:p>
                  <a:pPr>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1D-4126-BA33-ADB8F563DC3E}"/>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Sheet1!$A$2:$A$11</c:f>
              <c:strCache>
                <c:ptCount val="10"/>
                <c:pt idx="0">
                  <c:v>Community Based Agency</c:v>
                </c:pt>
                <c:pt idx="1">
                  <c:v>CWS Staff (SW, Sup, Mng)</c:v>
                </c:pt>
                <c:pt idx="2">
                  <c:v>Probation Staff (Officer, Sup, Mng)</c:v>
                </c:pt>
                <c:pt idx="3">
                  <c:v>County Department</c:v>
                </c:pt>
                <c:pt idx="4">
                  <c:v>Parent Partner</c:v>
                </c:pt>
                <c:pt idx="5">
                  <c:v>Education</c:v>
                </c:pt>
                <c:pt idx="6">
                  <c:v>Juvenile Court Personnel</c:v>
                </c:pt>
                <c:pt idx="7">
                  <c:v>Other</c:v>
                </c:pt>
                <c:pt idx="8">
                  <c:v>Resource Family</c:v>
                </c:pt>
                <c:pt idx="9">
                  <c:v>Attorney</c:v>
                </c:pt>
              </c:strCache>
            </c:strRef>
          </c:cat>
          <c:val>
            <c:numRef>
              <c:f>Sheet1!$B$2:$B$11</c:f>
              <c:numCache>
                <c:formatCode>0.0%</c:formatCode>
                <c:ptCount val="10"/>
                <c:pt idx="0">
                  <c:v>0.33400000000000052</c:v>
                </c:pt>
                <c:pt idx="1">
                  <c:v>0.16700000000000001</c:v>
                </c:pt>
                <c:pt idx="2">
                  <c:v>6.3E-2</c:v>
                </c:pt>
                <c:pt idx="3">
                  <c:v>8.3000000000000046E-2</c:v>
                </c:pt>
                <c:pt idx="4">
                  <c:v>8.3000000000000046E-2</c:v>
                </c:pt>
                <c:pt idx="5">
                  <c:v>4.2000000000000023E-2</c:v>
                </c:pt>
                <c:pt idx="6">
                  <c:v>4.2000000000000023E-2</c:v>
                </c:pt>
                <c:pt idx="7">
                  <c:v>0.125</c:v>
                </c:pt>
                <c:pt idx="8">
                  <c:v>4.2000000000000023E-2</c:v>
                </c:pt>
                <c:pt idx="9">
                  <c:v>2.1000000000000012E-2</c:v>
                </c:pt>
              </c:numCache>
            </c:numRef>
          </c:val>
          <c:extLst>
            <c:ext xmlns:c16="http://schemas.microsoft.com/office/drawing/2014/chart" uri="{C3380CC4-5D6E-409C-BE32-E72D297353CC}">
              <c16:uniqueId val="{0000000A-C41D-4126-BA33-ADB8F563DC3E}"/>
            </c:ext>
          </c:extLst>
        </c:ser>
        <c:dLbls>
          <c:showLegendKey val="0"/>
          <c:showVal val="0"/>
          <c:showCatName val="0"/>
          <c:showSerName val="0"/>
          <c:showPercent val="0"/>
          <c:showBubbleSize val="0"/>
          <c:showLeaderLines val="1"/>
        </c:dLbls>
        <c:firstSliceAng val="0"/>
      </c:pieChart>
      <c:spPr>
        <a:noFill/>
        <a:ln w="15219">
          <a:noFill/>
        </a:ln>
      </c:spPr>
    </c:plotArea>
    <c:plotVisOnly val="1"/>
    <c:dispBlanksAs val="zero"/>
    <c:showDLblsOverMax val="0"/>
  </c:chart>
  <c:spPr>
    <a:ln>
      <a:noFill/>
    </a:ln>
  </c:spPr>
  <c:txPr>
    <a:bodyPr/>
    <a:lstStyle/>
    <a:p>
      <a:pPr>
        <a:defRPr>
          <a:latin typeface="Perpetua" panose="02020502060401020303"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747823749139568E-2"/>
          <c:y val="0.15209066608609462"/>
          <c:w val="0.96450297566916909"/>
          <c:h val="0.48322313535944794"/>
        </c:manualLayout>
      </c:layout>
      <c:barChart>
        <c:barDir val="col"/>
        <c:grouping val="clustered"/>
        <c:varyColors val="0"/>
        <c:ser>
          <c:idx val="0"/>
          <c:order val="0"/>
          <c:tx>
            <c:strRef>
              <c:f>Sheet1!$B$1</c:f>
              <c:strCache>
                <c:ptCount val="1"/>
                <c:pt idx="0">
                  <c:v>Column1</c:v>
                </c:pt>
              </c:strCache>
            </c:strRef>
          </c:tx>
          <c:spPr>
            <a:solidFill>
              <a:srgbClr val="F79646"/>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1-3 years</c:v>
                </c:pt>
                <c:pt idx="1">
                  <c:v>4-6 years</c:v>
                </c:pt>
                <c:pt idx="2">
                  <c:v>7-10 years</c:v>
                </c:pt>
                <c:pt idx="3">
                  <c:v>11-15 years</c:v>
                </c:pt>
                <c:pt idx="4">
                  <c:v>16-20 years</c:v>
                </c:pt>
                <c:pt idx="5">
                  <c:v>21 or more years</c:v>
                </c:pt>
              </c:strCache>
            </c:strRef>
          </c:cat>
          <c:val>
            <c:numRef>
              <c:f>Sheet1!$B$2:$B$7</c:f>
              <c:numCache>
                <c:formatCode>0.0%</c:formatCode>
                <c:ptCount val="6"/>
                <c:pt idx="0">
                  <c:v>0.26700000000000002</c:v>
                </c:pt>
                <c:pt idx="1">
                  <c:v>8.8000000000000064E-2</c:v>
                </c:pt>
                <c:pt idx="2">
                  <c:v>0.111</c:v>
                </c:pt>
                <c:pt idx="3">
                  <c:v>0.26600000000000001</c:v>
                </c:pt>
                <c:pt idx="4">
                  <c:v>0.11</c:v>
                </c:pt>
                <c:pt idx="5">
                  <c:v>0.15500000000000044</c:v>
                </c:pt>
              </c:numCache>
            </c:numRef>
          </c:val>
          <c:extLst>
            <c:ext xmlns:c16="http://schemas.microsoft.com/office/drawing/2014/chart" uri="{C3380CC4-5D6E-409C-BE32-E72D297353CC}">
              <c16:uniqueId val="{00000000-099A-49D2-9EBD-972DCD432458}"/>
            </c:ext>
          </c:extLst>
        </c:ser>
        <c:dLbls>
          <c:showLegendKey val="0"/>
          <c:showVal val="0"/>
          <c:showCatName val="0"/>
          <c:showSerName val="0"/>
          <c:showPercent val="0"/>
          <c:showBubbleSize val="0"/>
        </c:dLbls>
        <c:gapWidth val="150"/>
        <c:axId val="103726080"/>
        <c:axId val="104211200"/>
      </c:barChart>
      <c:catAx>
        <c:axId val="103726080"/>
        <c:scaling>
          <c:orientation val="minMax"/>
        </c:scaling>
        <c:delete val="0"/>
        <c:axPos val="b"/>
        <c:numFmt formatCode="General" sourceLinked="1"/>
        <c:majorTickMark val="out"/>
        <c:minorTickMark val="none"/>
        <c:tickLblPos val="nextTo"/>
        <c:crossAx val="104211200"/>
        <c:crosses val="autoZero"/>
        <c:auto val="1"/>
        <c:lblAlgn val="ctr"/>
        <c:lblOffset val="100"/>
        <c:noMultiLvlLbl val="0"/>
      </c:catAx>
      <c:valAx>
        <c:axId val="104211200"/>
        <c:scaling>
          <c:orientation val="minMax"/>
        </c:scaling>
        <c:delete val="1"/>
        <c:axPos val="l"/>
        <c:numFmt formatCode="0.0%" sourceLinked="1"/>
        <c:majorTickMark val="out"/>
        <c:minorTickMark val="none"/>
        <c:tickLblPos val="none"/>
        <c:crossAx val="103726080"/>
        <c:crosses val="autoZero"/>
        <c:crossBetween val="between"/>
      </c:valAx>
      <c:spPr>
        <a:solidFill>
          <a:schemeClr val="bg1"/>
        </a:solidFill>
        <a:ln>
          <a:solidFill>
            <a:schemeClr val="bg1"/>
          </a:solidFill>
        </a:ln>
      </c:spPr>
    </c:plotArea>
    <c:plotVisOnly val="1"/>
    <c:dispBlanksAs val="gap"/>
    <c:showDLblsOverMax val="0"/>
  </c:chart>
  <c:spPr>
    <a:noFill/>
    <a:ln>
      <a:noFill/>
    </a:ln>
  </c:spPr>
  <c:txPr>
    <a:bodyPr/>
    <a:lstStyle/>
    <a:p>
      <a:pPr>
        <a:defRPr>
          <a:solidFill>
            <a:sysClr val="windowText" lastClr="000000"/>
          </a:solidFill>
          <a:latin typeface="Perpetua" panose="02020502060401020303"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644068427616781"/>
          <c:y val="4.3709536307961504E-2"/>
          <c:w val="0.5935593029329731"/>
          <c:h val="0.9353980430754999"/>
        </c:manualLayout>
      </c:layout>
      <c:barChart>
        <c:barDir val="bar"/>
        <c:grouping val="clustered"/>
        <c:varyColors val="0"/>
        <c:ser>
          <c:idx val="0"/>
          <c:order val="0"/>
          <c:tx>
            <c:strRef>
              <c:f>Sheet1!$B$1</c:f>
              <c:strCache>
                <c:ptCount val="1"/>
                <c:pt idx="0">
                  <c:v>Series 1</c:v>
                </c:pt>
              </c:strCache>
            </c:strRef>
          </c:tx>
          <c:spPr>
            <a:solidFill>
              <a:srgbClr val="800929"/>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School based programs</c:v>
                </c:pt>
                <c:pt idx="1">
                  <c:v>Job training &amp; assistance</c:v>
                </c:pt>
                <c:pt idx="2">
                  <c:v>Cool beds</c:v>
                </c:pt>
                <c:pt idx="3">
                  <c:v>Domestic violence programs</c:v>
                </c:pt>
                <c:pt idx="4">
                  <c:v>Other (please specify)</c:v>
                </c:pt>
                <c:pt idx="5">
                  <c:v>Home passes/Trial period</c:v>
                </c:pt>
                <c:pt idx="6">
                  <c:v>Probation case management practices</c:v>
                </c:pt>
                <c:pt idx="7">
                  <c:v>Parental education/support groups</c:v>
                </c:pt>
                <c:pt idx="8">
                  <c:v>Assistance for stable housing</c:v>
                </c:pt>
                <c:pt idx="9">
                  <c:v>Family Centered Meetings (e.g., TDM)</c:v>
                </c:pt>
                <c:pt idx="10">
                  <c:v>Substance abuse programs/ drug court</c:v>
                </c:pt>
                <c:pt idx="11">
                  <c:v>Individual/family therapy/counseling</c:v>
                </c:pt>
                <c:pt idx="12">
                  <c:v>Parent child visitation</c:v>
                </c:pt>
                <c:pt idx="13">
                  <c:v>Aftercare/Transitional services</c:v>
                </c:pt>
                <c:pt idx="14">
                  <c:v>In-home support/home visits</c:v>
                </c:pt>
                <c:pt idx="15">
                  <c:v>Wraparound services</c:v>
                </c:pt>
              </c:strCache>
            </c:strRef>
          </c:cat>
          <c:val>
            <c:numRef>
              <c:f>Sheet1!$B$2:$B$17</c:f>
              <c:numCache>
                <c:formatCode>0.0%</c:formatCode>
                <c:ptCount val="16"/>
                <c:pt idx="0">
                  <c:v>2.1000000000000012E-2</c:v>
                </c:pt>
                <c:pt idx="1">
                  <c:v>2.1000000000000012E-2</c:v>
                </c:pt>
                <c:pt idx="2">
                  <c:v>2.1000000000000012E-2</c:v>
                </c:pt>
                <c:pt idx="3">
                  <c:v>4.2000000000000023E-2</c:v>
                </c:pt>
                <c:pt idx="4">
                  <c:v>6.3E-2</c:v>
                </c:pt>
                <c:pt idx="5">
                  <c:v>8.3000000000000046E-2</c:v>
                </c:pt>
                <c:pt idx="6">
                  <c:v>0.125</c:v>
                </c:pt>
                <c:pt idx="7">
                  <c:v>0.16700000000000001</c:v>
                </c:pt>
                <c:pt idx="8">
                  <c:v>0.16700000000000001</c:v>
                </c:pt>
                <c:pt idx="9">
                  <c:v>0.18800000000000044</c:v>
                </c:pt>
                <c:pt idx="10">
                  <c:v>0.20800000000000021</c:v>
                </c:pt>
                <c:pt idx="11">
                  <c:v>0.27100000000000002</c:v>
                </c:pt>
                <c:pt idx="12">
                  <c:v>0.29200000000000031</c:v>
                </c:pt>
                <c:pt idx="13">
                  <c:v>0.29200000000000031</c:v>
                </c:pt>
                <c:pt idx="14">
                  <c:v>0.47900000000000031</c:v>
                </c:pt>
                <c:pt idx="15">
                  <c:v>0.47900000000000031</c:v>
                </c:pt>
              </c:numCache>
            </c:numRef>
          </c:val>
          <c:extLst>
            <c:ext xmlns:c16="http://schemas.microsoft.com/office/drawing/2014/chart" uri="{C3380CC4-5D6E-409C-BE32-E72D297353CC}">
              <c16:uniqueId val="{00000000-C347-4061-8350-7CDEB6341981}"/>
            </c:ext>
          </c:extLst>
        </c:ser>
        <c:dLbls>
          <c:showLegendKey val="0"/>
          <c:showVal val="0"/>
          <c:showCatName val="0"/>
          <c:showSerName val="0"/>
          <c:showPercent val="0"/>
          <c:showBubbleSize val="0"/>
        </c:dLbls>
        <c:gapWidth val="150"/>
        <c:axId val="104230912"/>
        <c:axId val="104232448"/>
      </c:barChart>
      <c:catAx>
        <c:axId val="104230912"/>
        <c:scaling>
          <c:orientation val="minMax"/>
        </c:scaling>
        <c:delete val="0"/>
        <c:axPos val="l"/>
        <c:numFmt formatCode="General" sourceLinked="1"/>
        <c:majorTickMark val="out"/>
        <c:minorTickMark val="none"/>
        <c:tickLblPos val="nextTo"/>
        <c:crossAx val="104232448"/>
        <c:crossesAt val="0"/>
        <c:auto val="1"/>
        <c:lblAlgn val="ctr"/>
        <c:lblOffset val="100"/>
        <c:noMultiLvlLbl val="0"/>
      </c:catAx>
      <c:valAx>
        <c:axId val="104232448"/>
        <c:scaling>
          <c:orientation val="minMax"/>
        </c:scaling>
        <c:delete val="1"/>
        <c:axPos val="b"/>
        <c:numFmt formatCode="0.0%" sourceLinked="1"/>
        <c:majorTickMark val="out"/>
        <c:minorTickMark val="none"/>
        <c:tickLblPos val="none"/>
        <c:crossAx val="104230912"/>
        <c:crosses val="autoZero"/>
        <c:crossBetween val="between"/>
      </c:valAx>
    </c:plotArea>
    <c:plotVisOnly val="1"/>
    <c:dispBlanksAs val="gap"/>
    <c:showDLblsOverMax val="0"/>
  </c:chart>
  <c:spPr>
    <a:ln>
      <a:noFill/>
    </a:ln>
  </c:spPr>
  <c:txPr>
    <a:bodyPr/>
    <a:lstStyle/>
    <a:p>
      <a:pPr>
        <a:defRPr>
          <a:ln>
            <a:noFill/>
          </a:ln>
          <a:latin typeface="Perpetua" panose="02020502060401020303"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644068427616781"/>
          <c:y val="4.3709536307961504E-2"/>
          <c:w val="0.59355930293297421"/>
          <c:h val="0.93539804307549879"/>
        </c:manualLayout>
      </c:layout>
      <c:barChart>
        <c:barDir val="bar"/>
        <c:grouping val="clustered"/>
        <c:varyColors val="0"/>
        <c:ser>
          <c:idx val="0"/>
          <c:order val="0"/>
          <c:tx>
            <c:strRef>
              <c:f>Sheet1!$B$1</c:f>
              <c:strCache>
                <c:ptCount val="1"/>
                <c:pt idx="0">
                  <c:v>Series 1</c:v>
                </c:pt>
              </c:strCache>
            </c:strRef>
          </c:tx>
          <c:spPr>
            <a:solidFill>
              <a:srgbClr val="800929"/>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Sheet1!$A$2:$A$17</c:f>
              <c:strCache>
                <c:ptCount val="16"/>
                <c:pt idx="0">
                  <c:v>School based programs</c:v>
                </c:pt>
                <c:pt idx="1">
                  <c:v>Job training &amp; assistance</c:v>
                </c:pt>
                <c:pt idx="2">
                  <c:v>Cool beds</c:v>
                </c:pt>
                <c:pt idx="3">
                  <c:v>Domestic violence programs</c:v>
                </c:pt>
                <c:pt idx="4">
                  <c:v>Other (please specify)</c:v>
                </c:pt>
                <c:pt idx="5">
                  <c:v>Home passes/Trial period</c:v>
                </c:pt>
                <c:pt idx="6">
                  <c:v>Probation case management practices</c:v>
                </c:pt>
                <c:pt idx="7">
                  <c:v>Parental education/support groups</c:v>
                </c:pt>
                <c:pt idx="8">
                  <c:v>Assistance for stable housing</c:v>
                </c:pt>
                <c:pt idx="9">
                  <c:v>Family Centered Meetings (e.g., TDM)</c:v>
                </c:pt>
                <c:pt idx="10">
                  <c:v>Substance abuse programs/ drug court</c:v>
                </c:pt>
                <c:pt idx="11">
                  <c:v>Individual/family therapy/counseling</c:v>
                </c:pt>
                <c:pt idx="12">
                  <c:v>Parent child visitation</c:v>
                </c:pt>
                <c:pt idx="13">
                  <c:v>Aftercare/Transitional services</c:v>
                </c:pt>
                <c:pt idx="14">
                  <c:v>In-home support/home visits</c:v>
                </c:pt>
                <c:pt idx="15">
                  <c:v>Wraparound services</c:v>
                </c:pt>
              </c:strCache>
            </c:strRef>
          </c:cat>
          <c:val>
            <c:numRef>
              <c:f>Sheet1!$B$2:$B$17</c:f>
              <c:numCache>
                <c:formatCode>0.0%</c:formatCode>
                <c:ptCount val="16"/>
                <c:pt idx="0">
                  <c:v>2.1000000000000012E-2</c:v>
                </c:pt>
                <c:pt idx="1">
                  <c:v>2.1000000000000012E-2</c:v>
                </c:pt>
                <c:pt idx="2">
                  <c:v>2.1000000000000012E-2</c:v>
                </c:pt>
                <c:pt idx="3">
                  <c:v>4.2000000000000023E-2</c:v>
                </c:pt>
                <c:pt idx="4">
                  <c:v>6.3E-2</c:v>
                </c:pt>
                <c:pt idx="5">
                  <c:v>8.3000000000000046E-2</c:v>
                </c:pt>
                <c:pt idx="6">
                  <c:v>0.125</c:v>
                </c:pt>
                <c:pt idx="7">
                  <c:v>0.16700000000000001</c:v>
                </c:pt>
                <c:pt idx="8">
                  <c:v>0.16700000000000001</c:v>
                </c:pt>
                <c:pt idx="9">
                  <c:v>0.18800000000000022</c:v>
                </c:pt>
                <c:pt idx="10">
                  <c:v>0.20800000000000018</c:v>
                </c:pt>
                <c:pt idx="11">
                  <c:v>0.27100000000000002</c:v>
                </c:pt>
                <c:pt idx="12">
                  <c:v>0.29200000000000031</c:v>
                </c:pt>
                <c:pt idx="13">
                  <c:v>0.29200000000000031</c:v>
                </c:pt>
                <c:pt idx="14">
                  <c:v>0.47900000000000031</c:v>
                </c:pt>
                <c:pt idx="15">
                  <c:v>0.47900000000000031</c:v>
                </c:pt>
              </c:numCache>
            </c:numRef>
          </c:val>
          <c:extLst>
            <c:ext xmlns:c16="http://schemas.microsoft.com/office/drawing/2014/chart" uri="{C3380CC4-5D6E-409C-BE32-E72D297353CC}">
              <c16:uniqueId val="{00000000-7FD6-46CC-B4A3-05114F43646D}"/>
            </c:ext>
          </c:extLst>
        </c:ser>
        <c:dLbls>
          <c:showLegendKey val="0"/>
          <c:showVal val="0"/>
          <c:showCatName val="0"/>
          <c:showSerName val="0"/>
          <c:showPercent val="0"/>
          <c:showBubbleSize val="0"/>
        </c:dLbls>
        <c:gapWidth val="150"/>
        <c:axId val="105030400"/>
        <c:axId val="105031936"/>
      </c:barChart>
      <c:catAx>
        <c:axId val="105030400"/>
        <c:scaling>
          <c:orientation val="minMax"/>
        </c:scaling>
        <c:delete val="0"/>
        <c:axPos val="l"/>
        <c:numFmt formatCode="General" sourceLinked="1"/>
        <c:majorTickMark val="out"/>
        <c:minorTickMark val="none"/>
        <c:tickLblPos val="nextTo"/>
        <c:crossAx val="105031936"/>
        <c:crossesAt val="0"/>
        <c:auto val="1"/>
        <c:lblAlgn val="ctr"/>
        <c:lblOffset val="100"/>
        <c:noMultiLvlLbl val="0"/>
      </c:catAx>
      <c:valAx>
        <c:axId val="105031936"/>
        <c:scaling>
          <c:orientation val="minMax"/>
        </c:scaling>
        <c:delete val="1"/>
        <c:axPos val="b"/>
        <c:numFmt formatCode="0.0%" sourceLinked="1"/>
        <c:majorTickMark val="out"/>
        <c:minorTickMark val="none"/>
        <c:tickLblPos val="none"/>
        <c:crossAx val="105030400"/>
        <c:crosses val="autoZero"/>
        <c:crossBetween val="between"/>
      </c:valAx>
    </c:plotArea>
    <c:plotVisOnly val="1"/>
    <c:dispBlanksAs val="gap"/>
    <c:showDLblsOverMax val="0"/>
  </c:chart>
  <c:spPr>
    <a:ln>
      <a:noFill/>
    </a:ln>
  </c:spPr>
  <c:txPr>
    <a:bodyPr/>
    <a:lstStyle/>
    <a:p>
      <a:pPr>
        <a:defRPr>
          <a:ln>
            <a:noFill/>
          </a:ln>
          <a:latin typeface="Perpetua" panose="02020502060401020303"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73108454035824"/>
          <c:y val="3.5714285714285712E-2"/>
          <c:w val="0.61363517060367856"/>
          <c:h val="0.912698412698418"/>
        </c:manualLayout>
      </c:layout>
      <c:barChart>
        <c:barDir val="bar"/>
        <c:grouping val="clustered"/>
        <c:varyColors val="0"/>
        <c:ser>
          <c:idx val="0"/>
          <c:order val="0"/>
          <c:tx>
            <c:strRef>
              <c:f>Sheet1!$B$1</c:f>
              <c:strCache>
                <c:ptCount val="1"/>
                <c:pt idx="0">
                  <c:v>Series 1</c:v>
                </c:pt>
              </c:strCache>
            </c:strRef>
          </c:tx>
          <c:spPr>
            <a:solidFill>
              <a:srgbClr val="2E7029"/>
            </a:solidFill>
          </c:spPr>
          <c:invertIfNegative val="0"/>
          <c:dLbls>
            <c:dLbl>
              <c:idx val="0"/>
              <c:tx>
                <c:rich>
                  <a:bodyPr/>
                  <a:lstStyle/>
                  <a:p>
                    <a:pPr>
                      <a:defRPr/>
                    </a:pPr>
                    <a:r>
                      <a:rPr lang="en-US" b="0"/>
                      <a:t>2.1%</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F7-486A-B81A-70191A5D1D4F}"/>
                </c:ext>
              </c:extLst>
            </c:dLbl>
            <c:dLbl>
              <c:idx val="1"/>
              <c:tx>
                <c:rich>
                  <a:bodyPr/>
                  <a:lstStyle/>
                  <a:p>
                    <a:pPr>
                      <a:defRPr/>
                    </a:pPr>
                    <a:r>
                      <a:rPr lang="en-US" b="0"/>
                      <a:t>8.3%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F7-486A-B81A-70191A5D1D4F}"/>
                </c:ext>
              </c:extLst>
            </c:dLbl>
            <c:dLbl>
              <c:idx val="2"/>
              <c:tx>
                <c:rich>
                  <a:bodyPr/>
                  <a:lstStyle/>
                  <a:p>
                    <a:pPr>
                      <a:defRPr/>
                    </a:pPr>
                    <a:r>
                      <a:rPr lang="en-US" b="0"/>
                      <a:t>12.5%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F7-486A-B81A-70191A5D1D4F}"/>
                </c:ext>
              </c:extLst>
            </c:dLbl>
            <c:dLbl>
              <c:idx val="3"/>
              <c:tx>
                <c:rich>
                  <a:bodyPr/>
                  <a:lstStyle/>
                  <a:p>
                    <a:pPr>
                      <a:defRPr/>
                    </a:pPr>
                    <a:r>
                      <a:rPr lang="en-US" b="0"/>
                      <a:t>12.5%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F7-486A-B81A-70191A5D1D4F}"/>
                </c:ext>
              </c:extLst>
            </c:dLbl>
            <c:dLbl>
              <c:idx val="4"/>
              <c:tx>
                <c:rich>
                  <a:bodyPr/>
                  <a:lstStyle/>
                  <a:p>
                    <a:pPr>
                      <a:defRPr/>
                    </a:pPr>
                    <a:r>
                      <a:rPr lang="en-US" b="0"/>
                      <a:t>12.5%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F7-486A-B81A-70191A5D1D4F}"/>
                </c:ext>
              </c:extLst>
            </c:dLbl>
            <c:dLbl>
              <c:idx val="5"/>
              <c:tx>
                <c:rich>
                  <a:bodyPr/>
                  <a:lstStyle/>
                  <a:p>
                    <a:pPr>
                      <a:defRPr/>
                    </a:pPr>
                    <a:r>
                      <a:rPr lang="en-US" b="0"/>
                      <a:t>14.6%</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F7-486A-B81A-70191A5D1D4F}"/>
                </c:ext>
              </c:extLst>
            </c:dLbl>
            <c:dLbl>
              <c:idx val="6"/>
              <c:tx>
                <c:rich>
                  <a:bodyPr/>
                  <a:lstStyle/>
                  <a:p>
                    <a:pPr>
                      <a:defRPr/>
                    </a:pPr>
                    <a:r>
                      <a:rPr lang="en-US" b="0"/>
                      <a:t>18.8%</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F7-486A-B81A-70191A5D1D4F}"/>
                </c:ext>
              </c:extLst>
            </c:dLbl>
            <c:dLbl>
              <c:idx val="7"/>
              <c:tx>
                <c:rich>
                  <a:bodyPr/>
                  <a:lstStyle/>
                  <a:p>
                    <a:pPr>
                      <a:defRPr/>
                    </a:pPr>
                    <a:r>
                      <a:rPr lang="en-US" b="0"/>
                      <a:t>22.9%</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F7-486A-B81A-70191A5D1D4F}"/>
                </c:ext>
              </c:extLst>
            </c:dLbl>
            <c:dLbl>
              <c:idx val="8"/>
              <c:tx>
                <c:rich>
                  <a:bodyPr/>
                  <a:lstStyle/>
                  <a:p>
                    <a:pPr>
                      <a:defRPr/>
                    </a:pPr>
                    <a:r>
                      <a:rPr lang="en-US" b="0"/>
                      <a:t>25%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5F7-486A-B81A-70191A5D1D4F}"/>
                </c:ext>
              </c:extLst>
            </c:dLbl>
            <c:dLbl>
              <c:idx val="9"/>
              <c:tx>
                <c:rich>
                  <a:bodyPr/>
                  <a:lstStyle/>
                  <a:p>
                    <a:pPr>
                      <a:defRPr/>
                    </a:pPr>
                    <a:r>
                      <a:rPr lang="en-US" b="0"/>
                      <a:t>29.2%</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F7-486A-B81A-70191A5D1D4F}"/>
                </c:ext>
              </c:extLst>
            </c:dLbl>
            <c:dLbl>
              <c:idx val="10"/>
              <c:tx>
                <c:rich>
                  <a:bodyPr/>
                  <a:lstStyle/>
                  <a:p>
                    <a:pPr>
                      <a:defRPr/>
                    </a:pPr>
                    <a:r>
                      <a:rPr lang="en-US" b="0"/>
                      <a:t>31.3%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5F7-486A-B81A-70191A5D1D4F}"/>
                </c:ext>
              </c:extLst>
            </c:dLbl>
            <c:dLbl>
              <c:idx val="11"/>
              <c:tx>
                <c:rich>
                  <a:bodyPr/>
                  <a:lstStyle/>
                  <a:p>
                    <a:pPr>
                      <a:defRPr/>
                    </a:pPr>
                    <a:r>
                      <a:rPr lang="en-US" b="0"/>
                      <a:t>33.3%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5F7-486A-B81A-70191A5D1D4F}"/>
                </c:ext>
              </c:extLst>
            </c:dLbl>
            <c:dLbl>
              <c:idx val="12"/>
              <c:tx>
                <c:rich>
                  <a:bodyPr/>
                  <a:lstStyle/>
                  <a:p>
                    <a:pPr>
                      <a:defRPr/>
                    </a:pPr>
                    <a:r>
                      <a:rPr lang="en-US" b="0"/>
                      <a:t>47.9%</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5F7-486A-B81A-70191A5D1D4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Lack of transportation</c:v>
                </c:pt>
                <c:pt idx="1">
                  <c:v>Other (please specify)</c:v>
                </c:pt>
                <c:pt idx="2">
                  <c:v>Probation case management practices</c:v>
                </c:pt>
                <c:pt idx="3">
                  <c:v>Wait list for services</c:v>
                </c:pt>
                <c:pt idx="4">
                  <c:v>Court process</c:v>
                </c:pt>
                <c:pt idx="5">
                  <c:v>Lack of understanding the system</c:v>
                </c:pt>
                <c:pt idx="6">
                  <c:v>Excessive or ineffective case plan goals</c:v>
                </c:pt>
                <c:pt idx="7">
                  <c:v>Insufficient housing</c:v>
                </c:pt>
                <c:pt idx="8">
                  <c:v>Lack of financial resources</c:v>
                </c:pt>
                <c:pt idx="9">
                  <c:v>Parent's limitations</c:v>
                </c:pt>
                <c:pt idx="10">
                  <c:v>Lack of parent engagement</c:v>
                </c:pt>
                <c:pt idx="11">
                  <c:v>Lack of social/family support</c:v>
                </c:pt>
              </c:strCache>
            </c:strRef>
          </c:cat>
          <c:val>
            <c:numRef>
              <c:f>Sheet1!$B$2:$B$13</c:f>
              <c:numCache>
                <c:formatCode>0.0%</c:formatCode>
                <c:ptCount val="12"/>
                <c:pt idx="0">
                  <c:v>2.1000000000000012E-2</c:v>
                </c:pt>
                <c:pt idx="1">
                  <c:v>8.3000000000000046E-2</c:v>
                </c:pt>
                <c:pt idx="2">
                  <c:v>0.125</c:v>
                </c:pt>
                <c:pt idx="3">
                  <c:v>0.125</c:v>
                </c:pt>
                <c:pt idx="4">
                  <c:v>0.14600000000000021</c:v>
                </c:pt>
                <c:pt idx="5">
                  <c:v>0.18800000000000044</c:v>
                </c:pt>
                <c:pt idx="6">
                  <c:v>0.22900000000000001</c:v>
                </c:pt>
                <c:pt idx="7">
                  <c:v>0.25</c:v>
                </c:pt>
                <c:pt idx="8">
                  <c:v>0.29200000000000031</c:v>
                </c:pt>
                <c:pt idx="9">
                  <c:v>0.31300000000000089</c:v>
                </c:pt>
                <c:pt idx="10">
                  <c:v>0.33300000000000113</c:v>
                </c:pt>
                <c:pt idx="11">
                  <c:v>0.47900000000000031</c:v>
                </c:pt>
              </c:numCache>
            </c:numRef>
          </c:val>
          <c:extLst>
            <c:ext xmlns:c16="http://schemas.microsoft.com/office/drawing/2014/chart" uri="{C3380CC4-5D6E-409C-BE32-E72D297353CC}">
              <c16:uniqueId val="{0000000D-F5F7-486A-B81A-70191A5D1D4F}"/>
            </c:ext>
          </c:extLst>
        </c:ser>
        <c:dLbls>
          <c:showLegendKey val="0"/>
          <c:showVal val="0"/>
          <c:showCatName val="0"/>
          <c:showSerName val="0"/>
          <c:showPercent val="0"/>
          <c:showBubbleSize val="0"/>
        </c:dLbls>
        <c:gapWidth val="150"/>
        <c:axId val="105405056"/>
        <c:axId val="105410944"/>
      </c:barChart>
      <c:catAx>
        <c:axId val="105405056"/>
        <c:scaling>
          <c:orientation val="minMax"/>
        </c:scaling>
        <c:delete val="0"/>
        <c:axPos val="l"/>
        <c:numFmt formatCode="General" sourceLinked="1"/>
        <c:majorTickMark val="out"/>
        <c:minorTickMark val="none"/>
        <c:tickLblPos val="nextTo"/>
        <c:crossAx val="105410944"/>
        <c:crosses val="autoZero"/>
        <c:auto val="1"/>
        <c:lblAlgn val="ctr"/>
        <c:lblOffset val="100"/>
        <c:noMultiLvlLbl val="0"/>
      </c:catAx>
      <c:valAx>
        <c:axId val="105410944"/>
        <c:scaling>
          <c:orientation val="minMax"/>
        </c:scaling>
        <c:delete val="1"/>
        <c:axPos val="b"/>
        <c:numFmt formatCode="0.0%" sourceLinked="1"/>
        <c:majorTickMark val="out"/>
        <c:minorTickMark val="none"/>
        <c:tickLblPos val="none"/>
        <c:crossAx val="105405056"/>
        <c:crosses val="autoZero"/>
        <c:crossBetween val="between"/>
      </c:valAx>
    </c:plotArea>
    <c:plotVisOnly val="1"/>
    <c:dispBlanksAs val="gap"/>
    <c:showDLblsOverMax val="0"/>
  </c:chart>
  <c:spPr>
    <a:ln>
      <a:noFill/>
    </a:ln>
  </c:spPr>
  <c:txPr>
    <a:bodyPr/>
    <a:lstStyle/>
    <a:p>
      <a:pPr>
        <a:defRPr>
          <a:ln>
            <a:noFill/>
          </a:ln>
          <a:latin typeface="Perpetua" panose="02020502060401020303"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373108454035824"/>
          <c:y val="3.5714285714285712E-2"/>
          <c:w val="0.61363517060367634"/>
          <c:h val="0.91269841269841501"/>
        </c:manualLayout>
      </c:layout>
      <c:barChart>
        <c:barDir val="bar"/>
        <c:grouping val="clustered"/>
        <c:varyColors val="0"/>
        <c:ser>
          <c:idx val="0"/>
          <c:order val="0"/>
          <c:tx>
            <c:strRef>
              <c:f>Sheet1!$B$1</c:f>
              <c:strCache>
                <c:ptCount val="1"/>
                <c:pt idx="0">
                  <c:v>Series 1</c:v>
                </c:pt>
              </c:strCache>
            </c:strRef>
          </c:tx>
          <c:spPr>
            <a:solidFill>
              <a:srgbClr val="2E7029"/>
            </a:solidFill>
          </c:spPr>
          <c:invertIfNegative val="0"/>
          <c:dLbls>
            <c:dLbl>
              <c:idx val="0"/>
              <c:tx>
                <c:rich>
                  <a:bodyPr/>
                  <a:lstStyle/>
                  <a:p>
                    <a:pPr>
                      <a:defRPr/>
                    </a:pPr>
                    <a:r>
                      <a:rPr lang="en-US" b="0"/>
                      <a:t>2.1%</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2F-49CA-AE3F-CBF158E1AC04}"/>
                </c:ext>
              </c:extLst>
            </c:dLbl>
            <c:dLbl>
              <c:idx val="1"/>
              <c:tx>
                <c:rich>
                  <a:bodyPr/>
                  <a:lstStyle/>
                  <a:p>
                    <a:pPr>
                      <a:defRPr/>
                    </a:pPr>
                    <a:r>
                      <a:rPr lang="en-US" b="0"/>
                      <a:t>8.3%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2F-49CA-AE3F-CBF158E1AC04}"/>
                </c:ext>
              </c:extLst>
            </c:dLbl>
            <c:dLbl>
              <c:idx val="2"/>
              <c:tx>
                <c:rich>
                  <a:bodyPr/>
                  <a:lstStyle/>
                  <a:p>
                    <a:pPr>
                      <a:defRPr/>
                    </a:pPr>
                    <a:r>
                      <a:rPr lang="en-US" b="0"/>
                      <a:t>12.5%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2F-49CA-AE3F-CBF158E1AC04}"/>
                </c:ext>
              </c:extLst>
            </c:dLbl>
            <c:dLbl>
              <c:idx val="3"/>
              <c:tx>
                <c:rich>
                  <a:bodyPr/>
                  <a:lstStyle/>
                  <a:p>
                    <a:pPr>
                      <a:defRPr/>
                    </a:pPr>
                    <a:r>
                      <a:rPr lang="en-US" b="0"/>
                      <a:t>12.5%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2F-49CA-AE3F-CBF158E1AC04}"/>
                </c:ext>
              </c:extLst>
            </c:dLbl>
            <c:dLbl>
              <c:idx val="4"/>
              <c:tx>
                <c:rich>
                  <a:bodyPr/>
                  <a:lstStyle/>
                  <a:p>
                    <a:pPr>
                      <a:defRPr/>
                    </a:pPr>
                    <a:r>
                      <a:rPr lang="en-US" b="0"/>
                      <a:t>12.5%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2F-49CA-AE3F-CBF158E1AC04}"/>
                </c:ext>
              </c:extLst>
            </c:dLbl>
            <c:dLbl>
              <c:idx val="5"/>
              <c:tx>
                <c:rich>
                  <a:bodyPr/>
                  <a:lstStyle/>
                  <a:p>
                    <a:pPr>
                      <a:defRPr/>
                    </a:pPr>
                    <a:r>
                      <a:rPr lang="en-US" b="0"/>
                      <a:t>14.6%</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2F-49CA-AE3F-CBF158E1AC04}"/>
                </c:ext>
              </c:extLst>
            </c:dLbl>
            <c:dLbl>
              <c:idx val="6"/>
              <c:tx>
                <c:rich>
                  <a:bodyPr/>
                  <a:lstStyle/>
                  <a:p>
                    <a:pPr>
                      <a:defRPr/>
                    </a:pPr>
                    <a:r>
                      <a:rPr lang="en-US" b="0"/>
                      <a:t>18.8%</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2F-49CA-AE3F-CBF158E1AC04}"/>
                </c:ext>
              </c:extLst>
            </c:dLbl>
            <c:dLbl>
              <c:idx val="7"/>
              <c:tx>
                <c:rich>
                  <a:bodyPr/>
                  <a:lstStyle/>
                  <a:p>
                    <a:pPr>
                      <a:defRPr/>
                    </a:pPr>
                    <a:r>
                      <a:rPr lang="en-US" b="0"/>
                      <a:t>22.9%</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92F-49CA-AE3F-CBF158E1AC04}"/>
                </c:ext>
              </c:extLst>
            </c:dLbl>
            <c:dLbl>
              <c:idx val="8"/>
              <c:tx>
                <c:rich>
                  <a:bodyPr/>
                  <a:lstStyle/>
                  <a:p>
                    <a:pPr>
                      <a:defRPr/>
                    </a:pPr>
                    <a:r>
                      <a:rPr lang="en-US" b="0"/>
                      <a:t>25%</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92F-49CA-AE3F-CBF158E1AC04}"/>
                </c:ext>
              </c:extLst>
            </c:dLbl>
            <c:dLbl>
              <c:idx val="9"/>
              <c:tx>
                <c:rich>
                  <a:bodyPr/>
                  <a:lstStyle/>
                  <a:p>
                    <a:pPr>
                      <a:defRPr/>
                    </a:pPr>
                    <a:r>
                      <a:rPr lang="en-US" b="0"/>
                      <a:t>29.2%</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92F-49CA-AE3F-CBF158E1AC04}"/>
                </c:ext>
              </c:extLst>
            </c:dLbl>
            <c:dLbl>
              <c:idx val="10"/>
              <c:tx>
                <c:rich>
                  <a:bodyPr/>
                  <a:lstStyle/>
                  <a:p>
                    <a:pPr>
                      <a:defRPr/>
                    </a:pPr>
                    <a:r>
                      <a:rPr lang="en-US" b="0"/>
                      <a:t>31.3%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92F-49CA-AE3F-CBF158E1AC04}"/>
                </c:ext>
              </c:extLst>
            </c:dLbl>
            <c:dLbl>
              <c:idx val="11"/>
              <c:tx>
                <c:rich>
                  <a:bodyPr/>
                  <a:lstStyle/>
                  <a:p>
                    <a:pPr>
                      <a:defRPr/>
                    </a:pPr>
                    <a:r>
                      <a:rPr lang="en-US" b="0"/>
                      <a:t>33.3%</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92F-49CA-AE3F-CBF158E1AC04}"/>
                </c:ext>
              </c:extLst>
            </c:dLbl>
            <c:dLbl>
              <c:idx val="12"/>
              <c:tx>
                <c:rich>
                  <a:bodyPr/>
                  <a:lstStyle/>
                  <a:p>
                    <a:pPr>
                      <a:defRPr/>
                    </a:pPr>
                    <a:r>
                      <a:rPr lang="en-US" b="0"/>
                      <a:t>47.9%</a:t>
                    </a:r>
                    <a:endParaRPr lang="en-US"/>
                  </a:p>
                </c:rich>
              </c:tx>
              <c:spPr/>
              <c:dLblPos val="outEnd"/>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92F-49CA-AE3F-CBF158E1AC0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Lack of transportation</c:v>
                </c:pt>
                <c:pt idx="1">
                  <c:v>Other (please specify)</c:v>
                </c:pt>
                <c:pt idx="2">
                  <c:v>Probation case management practices</c:v>
                </c:pt>
                <c:pt idx="3">
                  <c:v>Wait list for services</c:v>
                </c:pt>
                <c:pt idx="4">
                  <c:v>Court process</c:v>
                </c:pt>
                <c:pt idx="5">
                  <c:v>Lack of understanding the system</c:v>
                </c:pt>
                <c:pt idx="6">
                  <c:v>Excessive or ineffective case plan goals</c:v>
                </c:pt>
                <c:pt idx="7">
                  <c:v>Insufficient housing</c:v>
                </c:pt>
                <c:pt idx="8">
                  <c:v>Lack of financial resources</c:v>
                </c:pt>
                <c:pt idx="9">
                  <c:v>Parent's limitations</c:v>
                </c:pt>
                <c:pt idx="10">
                  <c:v>Lack of parent engagement</c:v>
                </c:pt>
                <c:pt idx="11">
                  <c:v>Lack of social/family support</c:v>
                </c:pt>
              </c:strCache>
            </c:strRef>
          </c:cat>
          <c:val>
            <c:numRef>
              <c:f>Sheet1!$B$2:$B$13</c:f>
              <c:numCache>
                <c:formatCode>0.0%</c:formatCode>
                <c:ptCount val="12"/>
                <c:pt idx="0">
                  <c:v>2.1000000000000012E-2</c:v>
                </c:pt>
                <c:pt idx="1">
                  <c:v>8.3000000000000046E-2</c:v>
                </c:pt>
                <c:pt idx="2">
                  <c:v>0.125</c:v>
                </c:pt>
                <c:pt idx="3">
                  <c:v>0.125</c:v>
                </c:pt>
                <c:pt idx="4">
                  <c:v>0.14600000000000019</c:v>
                </c:pt>
                <c:pt idx="5">
                  <c:v>0.18800000000000022</c:v>
                </c:pt>
                <c:pt idx="6">
                  <c:v>0.22900000000000001</c:v>
                </c:pt>
                <c:pt idx="7">
                  <c:v>0.25</c:v>
                </c:pt>
                <c:pt idx="8">
                  <c:v>0.29200000000000031</c:v>
                </c:pt>
                <c:pt idx="9">
                  <c:v>0.31300000000000039</c:v>
                </c:pt>
                <c:pt idx="10">
                  <c:v>0.33300000000000052</c:v>
                </c:pt>
                <c:pt idx="11">
                  <c:v>0.47900000000000031</c:v>
                </c:pt>
              </c:numCache>
            </c:numRef>
          </c:val>
          <c:extLst>
            <c:ext xmlns:c16="http://schemas.microsoft.com/office/drawing/2014/chart" uri="{C3380CC4-5D6E-409C-BE32-E72D297353CC}">
              <c16:uniqueId val="{0000000D-B92F-49CA-AE3F-CBF158E1AC04}"/>
            </c:ext>
          </c:extLst>
        </c:ser>
        <c:dLbls>
          <c:showLegendKey val="0"/>
          <c:showVal val="0"/>
          <c:showCatName val="0"/>
          <c:showSerName val="0"/>
          <c:showPercent val="0"/>
          <c:showBubbleSize val="0"/>
        </c:dLbls>
        <c:gapWidth val="150"/>
        <c:axId val="105505536"/>
        <c:axId val="105507072"/>
      </c:barChart>
      <c:catAx>
        <c:axId val="105505536"/>
        <c:scaling>
          <c:orientation val="minMax"/>
        </c:scaling>
        <c:delete val="0"/>
        <c:axPos val="l"/>
        <c:numFmt formatCode="General" sourceLinked="1"/>
        <c:majorTickMark val="out"/>
        <c:minorTickMark val="none"/>
        <c:tickLblPos val="nextTo"/>
        <c:crossAx val="105507072"/>
        <c:crosses val="autoZero"/>
        <c:auto val="1"/>
        <c:lblAlgn val="ctr"/>
        <c:lblOffset val="100"/>
        <c:noMultiLvlLbl val="0"/>
      </c:catAx>
      <c:valAx>
        <c:axId val="105507072"/>
        <c:scaling>
          <c:orientation val="minMax"/>
        </c:scaling>
        <c:delete val="1"/>
        <c:axPos val="b"/>
        <c:numFmt formatCode="0.0%" sourceLinked="1"/>
        <c:majorTickMark val="out"/>
        <c:minorTickMark val="none"/>
        <c:tickLblPos val="none"/>
        <c:crossAx val="105505536"/>
        <c:crosses val="autoZero"/>
        <c:crossBetween val="between"/>
      </c:valAx>
    </c:plotArea>
    <c:plotVisOnly val="1"/>
    <c:dispBlanksAs val="gap"/>
    <c:showDLblsOverMax val="0"/>
  </c:chart>
  <c:spPr>
    <a:ln>
      <a:noFill/>
    </a:ln>
  </c:spPr>
  <c:txPr>
    <a:bodyPr/>
    <a:lstStyle/>
    <a:p>
      <a:pPr>
        <a:defRPr>
          <a:ln>
            <a:noFill/>
          </a:ln>
          <a:latin typeface="Perpetua" panose="02020502060401020303"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b:Sources xmlns:b="http://schemas.openxmlformats.org/officeDocument/2006/bibliography" SelectedStyle="\APA.XSL" StyleName="APA"/>
</file>

<file path=customXml/item4.xml><?xml version="1.0" encoding="utf-8"?>
<b:Sources xmlns:b="http://schemas.openxmlformats.org/officeDocument/2006/bibliography" SelectedStyle="\APA.XSL" StyleName="APA"/>
</file>

<file path=customXml/item5.xml><?xml version="1.0" encoding="utf-8"?>
<b:Sources xmlns:b="http://schemas.openxmlformats.org/officeDocument/2006/bibliography" SelectedStyle="\APA.XSL" StyleName="APA"/>
</file>

<file path=customXml/item6.xml><?xml version="1.0" encoding="utf-8"?>
<b:Sources xmlns:b="http://schemas.openxmlformats.org/officeDocument/2006/bibliography" SelectedStyle="\APA.XSL" StyleName="APA"/>
</file>

<file path=customXml/item7.xml><?xml version="1.0" encoding="utf-8"?>
<b:Sources xmlns:b="http://schemas.openxmlformats.org/officeDocument/2006/bibliography" SelectedStyle="\APA.XSL" StyleName="APA"/>
</file>

<file path=customXml/item8.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9C4EA158-6381-4403-B672-7654AF6C664C}">
  <ds:schemaRefs>
    <ds:schemaRef ds:uri="http://schemas.microsoft.com/sharepoint/v3/contenttype/form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C82A602B-B55B-403D-B8B4-EEF3AB1D978F}">
  <ds:schemaRefs>
    <ds:schemaRef ds:uri="http://schemas.openxmlformats.org/officeDocument/2006/bibliography"/>
  </ds:schemaRefs>
</ds:datastoreItem>
</file>

<file path=customXml/itemProps4.xml><?xml version="1.0" encoding="utf-8"?>
<ds:datastoreItem xmlns:ds="http://schemas.openxmlformats.org/officeDocument/2006/customXml" ds:itemID="{BC6B0459-E6B8-4057-AA3A-3C3A779D9319}">
  <ds:schemaRefs>
    <ds:schemaRef ds:uri="http://schemas.openxmlformats.org/officeDocument/2006/bibliography"/>
  </ds:schemaRefs>
</ds:datastoreItem>
</file>

<file path=customXml/itemProps5.xml><?xml version="1.0" encoding="utf-8"?>
<ds:datastoreItem xmlns:ds="http://schemas.openxmlformats.org/officeDocument/2006/customXml" ds:itemID="{3A954026-9DFE-4026-B1E2-C160E55F37F8}">
  <ds:schemaRefs>
    <ds:schemaRef ds:uri="http://schemas.openxmlformats.org/officeDocument/2006/bibliography"/>
  </ds:schemaRefs>
</ds:datastoreItem>
</file>

<file path=customXml/itemProps6.xml><?xml version="1.0" encoding="utf-8"?>
<ds:datastoreItem xmlns:ds="http://schemas.openxmlformats.org/officeDocument/2006/customXml" ds:itemID="{0E645A11-39AD-4F61-94FC-AAD1737B8117}">
  <ds:schemaRefs>
    <ds:schemaRef ds:uri="http://schemas.openxmlformats.org/officeDocument/2006/bibliography"/>
  </ds:schemaRefs>
</ds:datastoreItem>
</file>

<file path=customXml/itemProps7.xml><?xml version="1.0" encoding="utf-8"?>
<ds:datastoreItem xmlns:ds="http://schemas.openxmlformats.org/officeDocument/2006/customXml" ds:itemID="{000FB72C-DF91-40EF-B531-448918F72CFF}">
  <ds:schemaRefs>
    <ds:schemaRef ds:uri="http://schemas.openxmlformats.org/officeDocument/2006/bibliography"/>
  </ds:schemaRefs>
</ds:datastoreItem>
</file>

<file path=customXml/itemProps8.xml><?xml version="1.0" encoding="utf-8"?>
<ds:datastoreItem xmlns:ds="http://schemas.openxmlformats.org/officeDocument/2006/customXml" ds:itemID="{0F1D89FE-3C71-4678-A534-EA4097674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2</TotalTime>
  <Pages>1</Pages>
  <Words>80400</Words>
  <Characters>458285</Characters>
  <Application>Microsoft Office Word</Application>
  <DocSecurity>0</DocSecurity>
  <Lines>3819</Lines>
  <Paragraphs>1075</Paragraphs>
  <ScaleCrop>false</ScaleCrop>
  <HeadingPairs>
    <vt:vector size="2" baseType="variant">
      <vt:variant>
        <vt:lpstr>Title</vt:lpstr>
      </vt:variant>
      <vt:variant>
        <vt:i4>1</vt:i4>
      </vt:variant>
    </vt:vector>
  </HeadingPairs>
  <TitlesOfParts>
    <vt:vector size="1" baseType="lpstr">
      <vt:lpstr>California - Child and Family Services Review</vt:lpstr>
    </vt:vector>
  </TitlesOfParts>
  <Company>[Insert Plan Period]</Company>
  <LinksUpToDate>false</LinksUpToDate>
  <CharactersWithSpaces>537610</CharactersWithSpaces>
  <SharedDoc>false</SharedDoc>
  <HLinks>
    <vt:vector size="444" baseType="variant">
      <vt:variant>
        <vt:i4>5701753</vt:i4>
      </vt:variant>
      <vt:variant>
        <vt:i4>141</vt:i4>
      </vt:variant>
      <vt:variant>
        <vt:i4>0</vt:i4>
      </vt:variant>
      <vt:variant>
        <vt:i4>5</vt:i4>
      </vt:variant>
      <vt:variant>
        <vt:lpwstr>http://pocweb.cac.washington.edu/sites/default/files/Family Visitation in the Child Welfare System 1-14-16_0.pdf</vt:lpwstr>
      </vt:variant>
      <vt:variant>
        <vt:lpwstr/>
      </vt:variant>
      <vt:variant>
        <vt:i4>1638400</vt:i4>
      </vt:variant>
      <vt:variant>
        <vt:i4>138</vt:i4>
      </vt:variant>
      <vt:variant>
        <vt:i4>0</vt:i4>
      </vt:variant>
      <vt:variant>
        <vt:i4>5</vt:i4>
      </vt:variant>
      <vt:variant>
        <vt:lpwstr>http://cascw.umn.edu/wp-content/uploads/2015/03/CW360-Winter2015.pdf</vt:lpwstr>
      </vt:variant>
      <vt:variant>
        <vt:lpwstr/>
      </vt:variant>
      <vt:variant>
        <vt:i4>3407914</vt:i4>
      </vt:variant>
      <vt:variant>
        <vt:i4>135</vt:i4>
      </vt:variant>
      <vt:variant>
        <vt:i4>0</vt:i4>
      </vt:variant>
      <vt:variant>
        <vt:i4>5</vt:i4>
      </vt:variant>
      <vt:variant>
        <vt:lpwstr>https://crcc.usc.edu/files/2015/02/childwelfare.pdf</vt:lpwstr>
      </vt:variant>
      <vt:variant>
        <vt:lpwstr/>
      </vt:variant>
      <vt:variant>
        <vt:i4>2621507</vt:i4>
      </vt:variant>
      <vt:variant>
        <vt:i4>132</vt:i4>
      </vt:variant>
      <vt:variant>
        <vt:i4>0</vt:i4>
      </vt:variant>
      <vt:variant>
        <vt:i4>5</vt:i4>
      </vt:variant>
      <vt:variant>
        <vt:lpwstr>http://www.courts.state.ny.us/ip/cwcip/Publications/CIPBBulletin6_11.pdf</vt:lpwstr>
      </vt:variant>
      <vt:variant>
        <vt:lpwstr/>
      </vt:variant>
      <vt:variant>
        <vt:i4>8126565</vt:i4>
      </vt:variant>
      <vt:variant>
        <vt:i4>129</vt:i4>
      </vt:variant>
      <vt:variant>
        <vt:i4>0</vt:i4>
      </vt:variant>
      <vt:variant>
        <vt:i4>5</vt:i4>
      </vt:variant>
      <vt:variant>
        <vt:lpwstr>http://www.foster-adopt.org/wp-content/uploads/2015/04/Missouri-Diligent-Recruitment-Grant-FINAL-REPORT.pdf</vt:lpwstr>
      </vt:variant>
      <vt:variant>
        <vt:lpwstr/>
      </vt:variant>
      <vt:variant>
        <vt:i4>4915215</vt:i4>
      </vt:variant>
      <vt:variant>
        <vt:i4>126</vt:i4>
      </vt:variant>
      <vt:variant>
        <vt:i4>0</vt:i4>
      </vt:variant>
      <vt:variant>
        <vt:i4>5</vt:i4>
      </vt:variant>
      <vt:variant>
        <vt:lpwstr>http://www.cssp.org/publications/child-welfare/alliance/Strategies-to-Reduce-Racially-Disparate-Outcomes-in-Child-Welfare-March-2015.pdf</vt:lpwstr>
      </vt:variant>
      <vt:variant>
        <vt:lpwstr/>
      </vt:variant>
      <vt:variant>
        <vt:i4>6815841</vt:i4>
      </vt:variant>
      <vt:variant>
        <vt:i4>123</vt:i4>
      </vt:variant>
      <vt:variant>
        <vt:i4>0</vt:i4>
      </vt:variant>
      <vt:variant>
        <vt:i4>5</vt:i4>
      </vt:variant>
      <vt:variant>
        <vt:lpwstr>https://web.unlv.edu/labs/frs/Documents/FBT Eval Report.pdf</vt:lpwstr>
      </vt:variant>
      <vt:variant>
        <vt:lpwstr/>
      </vt:variant>
      <vt:variant>
        <vt:i4>6619171</vt:i4>
      </vt:variant>
      <vt:variant>
        <vt:i4>120</vt:i4>
      </vt:variant>
      <vt:variant>
        <vt:i4>0</vt:i4>
      </vt:variant>
      <vt:variant>
        <vt:i4>5</vt:i4>
      </vt:variant>
      <vt:variant>
        <vt:lpwstr>http://academy.extensiondlc.net/file.php/1/resources/LR-ReentryReunificaton.pdf</vt:lpwstr>
      </vt:variant>
      <vt:variant>
        <vt:lpwstr/>
      </vt:variant>
      <vt:variant>
        <vt:i4>4915202</vt:i4>
      </vt:variant>
      <vt:variant>
        <vt:i4>117</vt:i4>
      </vt:variant>
      <vt:variant>
        <vt:i4>0</vt:i4>
      </vt:variant>
      <vt:variant>
        <vt:i4>5</vt:i4>
      </vt:variant>
      <vt:variant>
        <vt:lpwstr>http://slideplayer.com/slide/4668902/</vt:lpwstr>
      </vt:variant>
      <vt:variant>
        <vt:lpwstr/>
      </vt:variant>
      <vt:variant>
        <vt:i4>2031693</vt:i4>
      </vt:variant>
      <vt:variant>
        <vt:i4>114</vt:i4>
      </vt:variant>
      <vt:variant>
        <vt:i4>0</vt:i4>
      </vt:variant>
      <vt:variant>
        <vt:i4>5</vt:i4>
      </vt:variant>
      <vt:variant>
        <vt:lpwstr>https://sswr.confex.com/sswr/2015/webprogram/Paper24219.html</vt:lpwstr>
      </vt:variant>
      <vt:variant>
        <vt:lpwstr/>
      </vt:variant>
      <vt:variant>
        <vt:i4>22</vt:i4>
      </vt:variant>
      <vt:variant>
        <vt:i4>111</vt:i4>
      </vt:variant>
      <vt:variant>
        <vt:i4>0</vt:i4>
      </vt:variant>
      <vt:variant>
        <vt:i4>5</vt:i4>
      </vt:variant>
      <vt:variant>
        <vt:lpwstr>http://www.childwelfare.gov/pubPDFs/srpr.pdf</vt:lpwstr>
      </vt:variant>
      <vt:variant>
        <vt:lpwstr/>
      </vt:variant>
      <vt:variant>
        <vt:i4>2097181</vt:i4>
      </vt:variant>
      <vt:variant>
        <vt:i4>108</vt:i4>
      </vt:variant>
      <vt:variant>
        <vt:i4>0</vt:i4>
      </vt:variant>
      <vt:variant>
        <vt:i4>5</vt:i4>
      </vt:variant>
      <vt:variant>
        <vt:lpwstr>https://www.childwelfare.gov/pubPDFs/family_reunification.pdf</vt:lpwstr>
      </vt:variant>
      <vt:variant>
        <vt:lpwstr/>
      </vt:variant>
      <vt:variant>
        <vt:i4>7864432</vt:i4>
      </vt:variant>
      <vt:variant>
        <vt:i4>105</vt:i4>
      </vt:variant>
      <vt:variant>
        <vt:i4>0</vt:i4>
      </vt:variant>
      <vt:variant>
        <vt:i4>5</vt:i4>
      </vt:variant>
      <vt:variant>
        <vt:lpwstr>http://www.casey.org/media/TimelyPermanency.pdf</vt:lpwstr>
      </vt:variant>
      <vt:variant>
        <vt:lpwstr/>
      </vt:variant>
      <vt:variant>
        <vt:i4>5111892</vt:i4>
      </vt:variant>
      <vt:variant>
        <vt:i4>102</vt:i4>
      </vt:variant>
      <vt:variant>
        <vt:i4>0</vt:i4>
      </vt:variant>
      <vt:variant>
        <vt:i4>5</vt:i4>
      </vt:variant>
      <vt:variant>
        <vt:lpwstr>http://www.childsworld.ca.gov/PG1356.htm</vt:lpwstr>
      </vt:variant>
      <vt:variant>
        <vt:lpwstr/>
      </vt:variant>
      <vt:variant>
        <vt:i4>3735676</vt:i4>
      </vt:variant>
      <vt:variant>
        <vt:i4>99</vt:i4>
      </vt:variant>
      <vt:variant>
        <vt:i4>0</vt:i4>
      </vt:variant>
      <vt:variant>
        <vt:i4>5</vt:i4>
      </vt:variant>
      <vt:variant>
        <vt:lpwstr>https://www.childwelfare.gov/survey/?target=http%3A%2F%2Fwww.ocwtp.net%2FPDFs%2FReun-Reentry%2520Final%2520Report.pdf&amp;referrer=%27https://www.childwelfare.gov/topics/permanency/reunification/prev-reentry/%27</vt:lpwstr>
      </vt:variant>
      <vt:variant>
        <vt:lpwstr/>
      </vt:variant>
      <vt:variant>
        <vt:i4>7733356</vt:i4>
      </vt:variant>
      <vt:variant>
        <vt:i4>96</vt:i4>
      </vt:variant>
      <vt:variant>
        <vt:i4>0</vt:i4>
      </vt:variant>
      <vt:variant>
        <vt:i4>5</vt:i4>
      </vt:variant>
      <vt:variant>
        <vt:lpwstr>http://digitalcommons.library.tmc.edu/jfs/vol11/iss1/14</vt:lpwstr>
      </vt:variant>
      <vt:variant>
        <vt:lpwstr/>
      </vt:variant>
      <vt:variant>
        <vt:i4>4653105</vt:i4>
      </vt:variant>
      <vt:variant>
        <vt:i4>93</vt:i4>
      </vt:variant>
      <vt:variant>
        <vt:i4>0</vt:i4>
      </vt:variant>
      <vt:variant>
        <vt:i4>5</vt:i4>
      </vt:variant>
      <vt:variant>
        <vt:lpwstr>http://www.americanhumane.org/assets/pdfs/children/advocacy/reunification_paper.pdf</vt:lpwstr>
      </vt:variant>
      <vt:variant>
        <vt:lpwstr/>
      </vt:variant>
      <vt:variant>
        <vt:i4>3866673</vt:i4>
      </vt:variant>
      <vt:variant>
        <vt:i4>90</vt:i4>
      </vt:variant>
      <vt:variant>
        <vt:i4>0</vt:i4>
      </vt:variant>
      <vt:variant>
        <vt:i4>5</vt:i4>
      </vt:variant>
      <vt:variant>
        <vt:lpwstr>http://www.americanhumane.org/assets/pdfs/children/fatherhood/pc262.pdf</vt:lpwstr>
      </vt:variant>
      <vt:variant>
        <vt:lpwstr/>
      </vt:variant>
      <vt:variant>
        <vt:i4>7405602</vt:i4>
      </vt:variant>
      <vt:variant>
        <vt:i4>87</vt:i4>
      </vt:variant>
      <vt:variant>
        <vt:i4>0</vt:i4>
      </vt:variant>
      <vt:variant>
        <vt:i4>5</vt:i4>
      </vt:variant>
      <vt:variant>
        <vt:lpwstr>http://www.nationalococ.org/index.html</vt:lpwstr>
      </vt:variant>
      <vt:variant>
        <vt:lpwstr/>
      </vt:variant>
      <vt:variant>
        <vt:i4>3407914</vt:i4>
      </vt:variant>
      <vt:variant>
        <vt:i4>84</vt:i4>
      </vt:variant>
      <vt:variant>
        <vt:i4>0</vt:i4>
      </vt:variant>
      <vt:variant>
        <vt:i4>5</vt:i4>
      </vt:variant>
      <vt:variant>
        <vt:lpwstr>https://crcc.usc.edu/files/2015/02/childwelfare.pdf</vt:lpwstr>
      </vt:variant>
      <vt:variant>
        <vt:lpwstr/>
      </vt:variant>
      <vt:variant>
        <vt:i4>4980759</vt:i4>
      </vt:variant>
      <vt:variant>
        <vt:i4>81</vt:i4>
      </vt:variant>
      <vt:variant>
        <vt:i4>0</vt:i4>
      </vt:variant>
      <vt:variant>
        <vt:i4>5</vt:i4>
      </vt:variant>
      <vt:variant>
        <vt:lpwstr>https://www.childwelfare.gov/topics/famcentered/engaging/fathers/</vt:lpwstr>
      </vt:variant>
      <vt:variant>
        <vt:lpwstr/>
      </vt:variant>
      <vt:variant>
        <vt:i4>4259861</vt:i4>
      </vt:variant>
      <vt:variant>
        <vt:i4>78</vt:i4>
      </vt:variant>
      <vt:variant>
        <vt:i4>0</vt:i4>
      </vt:variant>
      <vt:variant>
        <vt:i4>5</vt:i4>
      </vt:variant>
      <vt:variant>
        <vt:lpwstr>http://www.fatherhoodqic.org/</vt:lpwstr>
      </vt:variant>
      <vt:variant>
        <vt:lpwstr/>
      </vt:variant>
      <vt:variant>
        <vt:i4>2293880</vt:i4>
      </vt:variant>
      <vt:variant>
        <vt:i4>75</vt:i4>
      </vt:variant>
      <vt:variant>
        <vt:i4>0</vt:i4>
      </vt:variant>
      <vt:variant>
        <vt:i4>5</vt:i4>
      </vt:variant>
      <vt:variant>
        <vt:lpwstr>https://www.childwelfare.gov/topics/outofhome/casework/casework-practice-with-birth-families/visiting/</vt:lpwstr>
      </vt:variant>
      <vt:variant>
        <vt:lpwstr/>
      </vt:variant>
      <vt:variant>
        <vt:i4>6291581</vt:i4>
      </vt:variant>
      <vt:variant>
        <vt:i4>72</vt:i4>
      </vt:variant>
      <vt:variant>
        <vt:i4>0</vt:i4>
      </vt:variant>
      <vt:variant>
        <vt:i4>5</vt:i4>
      </vt:variant>
      <vt:variant>
        <vt:lpwstr>https://www.dshs.wa.gov/ca/4250-assessment-out-home-placement/4254-parent-child-and-sibling-visits</vt:lpwstr>
      </vt:variant>
      <vt:variant>
        <vt:lpwstr/>
      </vt:variant>
      <vt:variant>
        <vt:i4>2293871</vt:i4>
      </vt:variant>
      <vt:variant>
        <vt:i4>69</vt:i4>
      </vt:variant>
      <vt:variant>
        <vt:i4>0</vt:i4>
      </vt:variant>
      <vt:variant>
        <vt:i4>5</vt:i4>
      </vt:variant>
      <vt:variant>
        <vt:lpwstr>https://dhs.iowa.gov/sites/default/files/10.09_Family_Interaction_Practice_Bulletin.pdf</vt:lpwstr>
      </vt:variant>
      <vt:variant>
        <vt:lpwstr/>
      </vt:variant>
      <vt:variant>
        <vt:i4>6357097</vt:i4>
      </vt:variant>
      <vt:variant>
        <vt:i4>66</vt:i4>
      </vt:variant>
      <vt:variant>
        <vt:i4>0</vt:i4>
      </vt:variant>
      <vt:variant>
        <vt:i4>5</vt:i4>
      </vt:variant>
      <vt:variant>
        <vt:lpwstr>http://www.cebc4cw.org/</vt:lpwstr>
      </vt:variant>
      <vt:variant>
        <vt:lpwstr/>
      </vt:variant>
      <vt:variant>
        <vt:i4>3080289</vt:i4>
      </vt:variant>
      <vt:variant>
        <vt:i4>63</vt:i4>
      </vt:variant>
      <vt:variant>
        <vt:i4>0</vt:i4>
      </vt:variant>
      <vt:variant>
        <vt:i4>5</vt:i4>
      </vt:variant>
      <vt:variant>
        <vt:lpwstr>http://www.ocwtp.net/pdfs/reun-reentry final report.pdf</vt:lpwstr>
      </vt:variant>
      <vt:variant>
        <vt:lpwstr/>
      </vt:variant>
      <vt:variant>
        <vt:i4>3735676</vt:i4>
      </vt:variant>
      <vt:variant>
        <vt:i4>60</vt:i4>
      </vt:variant>
      <vt:variant>
        <vt:i4>0</vt:i4>
      </vt:variant>
      <vt:variant>
        <vt:i4>5</vt:i4>
      </vt:variant>
      <vt:variant>
        <vt:lpwstr>https://www.childwelfare.gov/survey/?target=http%3A%2F%2Fwww.ocwtp.net%2FPDFs%2FReun-Reentry%2520Final%2520Report.pdf&amp;referrer=%27https://www.childwelfare.gov/topics/permanency/reunification/prev-reentry/%27</vt:lpwstr>
      </vt:variant>
      <vt:variant>
        <vt:lpwstr/>
      </vt:variant>
      <vt:variant>
        <vt:i4>2293808</vt:i4>
      </vt:variant>
      <vt:variant>
        <vt:i4>57</vt:i4>
      </vt:variant>
      <vt:variant>
        <vt:i4>0</vt:i4>
      </vt:variant>
      <vt:variant>
        <vt:i4>5</vt:i4>
      </vt:variant>
      <vt:variant>
        <vt:lpwstr>http://www.uiowa.edu/nrcihs/files/nrcihs/files/In-Home Services and EBP registries.pdf</vt:lpwstr>
      </vt:variant>
      <vt:variant>
        <vt:lpwstr/>
      </vt:variant>
      <vt:variant>
        <vt:i4>8323157</vt:i4>
      </vt:variant>
      <vt:variant>
        <vt:i4>54</vt:i4>
      </vt:variant>
      <vt:variant>
        <vt:i4>0</vt:i4>
      </vt:variant>
      <vt:variant>
        <vt:i4>5</vt:i4>
      </vt:variant>
      <vt:variant>
        <vt:lpwstr>http://www.sphereinstitute.org/publications/Reentry_Final.pdf</vt:lpwstr>
      </vt:variant>
      <vt:variant>
        <vt:lpwstr/>
      </vt:variant>
      <vt:variant>
        <vt:i4>2293808</vt:i4>
      </vt:variant>
      <vt:variant>
        <vt:i4>51</vt:i4>
      </vt:variant>
      <vt:variant>
        <vt:i4>0</vt:i4>
      </vt:variant>
      <vt:variant>
        <vt:i4>5</vt:i4>
      </vt:variant>
      <vt:variant>
        <vt:lpwstr>http://www.uiowa.edu/nrcihs/files/nrcihs/files/In-Home Services and EBP registries.pdf</vt:lpwstr>
      </vt:variant>
      <vt:variant>
        <vt:lpwstr/>
      </vt:variant>
      <vt:variant>
        <vt:i4>3145762</vt:i4>
      </vt:variant>
      <vt:variant>
        <vt:i4>48</vt:i4>
      </vt:variant>
      <vt:variant>
        <vt:i4>0</vt:i4>
      </vt:variant>
      <vt:variant>
        <vt:i4>5</vt:i4>
      </vt:variant>
      <vt:variant>
        <vt:lpwstr>https://edocs.dhs.state.mn.us/lfserver/Public/DHS-6637A-ENG</vt:lpwstr>
      </vt:variant>
      <vt:variant>
        <vt:lpwstr/>
      </vt:variant>
      <vt:variant>
        <vt:i4>5898315</vt:i4>
      </vt:variant>
      <vt:variant>
        <vt:i4>45</vt:i4>
      </vt:variant>
      <vt:variant>
        <vt:i4>0</vt:i4>
      </vt:variant>
      <vt:variant>
        <vt:i4>5</vt:i4>
      </vt:variant>
      <vt:variant>
        <vt:lpwstr>http://cssr.berkeley.edu/bassc/cases/2005/McGhee.pdf</vt:lpwstr>
      </vt:variant>
      <vt:variant>
        <vt:lpwstr/>
      </vt:variant>
      <vt:variant>
        <vt:i4>1310820</vt:i4>
      </vt:variant>
      <vt:variant>
        <vt:i4>42</vt:i4>
      </vt:variant>
      <vt:variant>
        <vt:i4>0</vt:i4>
      </vt:variant>
      <vt:variant>
        <vt:i4>5</vt:i4>
      </vt:variant>
      <vt:variant>
        <vt:lpwstr>http://cascw.umn.edu/wp-content/uploads/2014/02/Re-entry-Report_Feb-2010_Final_rev.pdf</vt:lpwstr>
      </vt:variant>
      <vt:variant>
        <vt:lpwstr/>
      </vt:variant>
      <vt:variant>
        <vt:i4>6619171</vt:i4>
      </vt:variant>
      <vt:variant>
        <vt:i4>39</vt:i4>
      </vt:variant>
      <vt:variant>
        <vt:i4>0</vt:i4>
      </vt:variant>
      <vt:variant>
        <vt:i4>5</vt:i4>
      </vt:variant>
      <vt:variant>
        <vt:lpwstr>http://academy.extensiondlc.net/file.php/1/resources/LR-ReentryReunificaton.pdf</vt:lpwstr>
      </vt:variant>
      <vt:variant>
        <vt:lpwstr/>
      </vt:variant>
      <vt:variant>
        <vt:i4>5701646</vt:i4>
      </vt:variant>
      <vt:variant>
        <vt:i4>36</vt:i4>
      </vt:variant>
      <vt:variant>
        <vt:i4>0</vt:i4>
      </vt:variant>
      <vt:variant>
        <vt:i4>5</vt:i4>
      </vt:variant>
      <vt:variant>
        <vt:lpwstr>http://www.childsworld.ca.gov/res/pdf/PreventingRe-entry.pdf</vt:lpwstr>
      </vt:variant>
      <vt:variant>
        <vt:lpwstr/>
      </vt:variant>
      <vt:variant>
        <vt:i4>22</vt:i4>
      </vt:variant>
      <vt:variant>
        <vt:i4>33</vt:i4>
      </vt:variant>
      <vt:variant>
        <vt:i4>0</vt:i4>
      </vt:variant>
      <vt:variant>
        <vt:i4>5</vt:i4>
      </vt:variant>
      <vt:variant>
        <vt:lpwstr>http://www.childwelfare.gov/pubPDFs/srpr.pdf</vt:lpwstr>
      </vt:variant>
      <vt:variant>
        <vt:lpwstr/>
      </vt:variant>
      <vt:variant>
        <vt:i4>7274548</vt:i4>
      </vt:variant>
      <vt:variant>
        <vt:i4>30</vt:i4>
      </vt:variant>
      <vt:variant>
        <vt:i4>0</vt:i4>
      </vt:variant>
      <vt:variant>
        <vt:i4>5</vt:i4>
      </vt:variant>
      <vt:variant>
        <vt:lpwstr>http://www.cssp.org/reform/child-welfare/youth-thrive/ei-profiles/Child-Wellbeing-Profile-2-27.pdf</vt:lpwstr>
      </vt:variant>
      <vt:variant>
        <vt:lpwstr/>
      </vt:variant>
      <vt:variant>
        <vt:i4>7143528</vt:i4>
      </vt:variant>
      <vt:variant>
        <vt:i4>27</vt:i4>
      </vt:variant>
      <vt:variant>
        <vt:i4>0</vt:i4>
      </vt:variant>
      <vt:variant>
        <vt:i4>5</vt:i4>
      </vt:variant>
      <vt:variant>
        <vt:lpwstr>http://centerforchildwelfare.fmhi.usf.edu/kb/cirres/CaseyPracticeDigest3-ReEntries.pdf</vt:lpwstr>
      </vt:variant>
      <vt:variant>
        <vt:lpwstr/>
      </vt:variant>
      <vt:variant>
        <vt:i4>5111892</vt:i4>
      </vt:variant>
      <vt:variant>
        <vt:i4>24</vt:i4>
      </vt:variant>
      <vt:variant>
        <vt:i4>0</vt:i4>
      </vt:variant>
      <vt:variant>
        <vt:i4>5</vt:i4>
      </vt:variant>
      <vt:variant>
        <vt:lpwstr>http://www.childsworld.ca.gov/PG1356.htm</vt:lpwstr>
      </vt:variant>
      <vt:variant>
        <vt:lpwstr/>
      </vt:variant>
      <vt:variant>
        <vt:i4>3735676</vt:i4>
      </vt:variant>
      <vt:variant>
        <vt:i4>21</vt:i4>
      </vt:variant>
      <vt:variant>
        <vt:i4>0</vt:i4>
      </vt:variant>
      <vt:variant>
        <vt:i4>5</vt:i4>
      </vt:variant>
      <vt:variant>
        <vt:lpwstr>https://www.childwelfare.gov/survey/?target=http%3A%2F%2Fwww.ocwtp.net%2FPDFs%2FReun-Reentry%2520Final%2520Report.pdf&amp;referrer=%27https://www.childwelfare.gov/topics/permanency/reunification/prev-reentry/%27</vt:lpwstr>
      </vt:variant>
      <vt:variant>
        <vt:lpwstr/>
      </vt:variant>
      <vt:variant>
        <vt:i4>655434</vt:i4>
      </vt:variant>
      <vt:variant>
        <vt:i4>18</vt:i4>
      </vt:variant>
      <vt:variant>
        <vt:i4>0</vt:i4>
      </vt:variant>
      <vt:variant>
        <vt:i4>5</vt:i4>
      </vt:variant>
      <vt:variant>
        <vt:lpwstr>http://www.catawbacountync.gov/dss/PW/ChildWellbeing.asp</vt:lpwstr>
      </vt:variant>
      <vt:variant>
        <vt:lpwstr/>
      </vt:variant>
      <vt:variant>
        <vt:i4>7733250</vt:i4>
      </vt:variant>
      <vt:variant>
        <vt:i4>15</vt:i4>
      </vt:variant>
      <vt:variant>
        <vt:i4>0</vt:i4>
      </vt:variant>
      <vt:variant>
        <vt:i4>5</vt:i4>
      </vt:variant>
      <vt:variant>
        <vt:lpwstr>https://www.childwelfare.gov/survey/?target=http%3A%2F%2Fcascw.umn.edu%2Fwp-content%2Fuploads%2F2014%2F02%2FRe-entry-Report_Feb-2010_Final_rev.pdf&amp;referrer=%27https://www.childwelfare.gov/topics/permanency/reunification/prev-reentry/%27</vt:lpwstr>
      </vt:variant>
      <vt:variant>
        <vt:lpwstr/>
      </vt:variant>
      <vt:variant>
        <vt:i4>4653122</vt:i4>
      </vt:variant>
      <vt:variant>
        <vt:i4>3</vt:i4>
      </vt:variant>
      <vt:variant>
        <vt:i4>0</vt:i4>
      </vt:variant>
      <vt:variant>
        <vt:i4>5</vt:i4>
      </vt:variant>
      <vt:variant>
        <vt:lpwstr>http://www.kidsdata.org/</vt:lpwstr>
      </vt:variant>
      <vt:variant>
        <vt:lpwstr/>
      </vt:variant>
      <vt:variant>
        <vt:i4>6357069</vt:i4>
      </vt:variant>
      <vt:variant>
        <vt:i4>0</vt:i4>
      </vt:variant>
      <vt:variant>
        <vt:i4>0</vt:i4>
      </vt:variant>
      <vt:variant>
        <vt:i4>5</vt:i4>
      </vt:variant>
      <vt:variant>
        <vt:lpwstr>http://alldadsmattermerced.org/ADM_bc.html</vt:lpwstr>
      </vt:variant>
      <vt:variant>
        <vt:lpwstr/>
      </vt:variant>
      <vt:variant>
        <vt:i4>2621562</vt:i4>
      </vt:variant>
      <vt:variant>
        <vt:i4>84</vt:i4>
      </vt:variant>
      <vt:variant>
        <vt:i4>0</vt:i4>
      </vt:variant>
      <vt:variant>
        <vt:i4>5</vt:i4>
      </vt:variant>
      <vt:variant>
        <vt:lpwstr>http://californiahealthline.org/morning-breakout/brown-signs-bills-to-reduce-rx-use-among-foster-children/</vt:lpwstr>
      </vt:variant>
      <vt:variant>
        <vt:lpwstr/>
      </vt:variant>
      <vt:variant>
        <vt:i4>2818103</vt:i4>
      </vt:variant>
      <vt:variant>
        <vt:i4>81</vt:i4>
      </vt:variant>
      <vt:variant>
        <vt:i4>0</vt:i4>
      </vt:variant>
      <vt:variant>
        <vt:i4>5</vt:i4>
      </vt:variant>
      <vt:variant>
        <vt:lpwstr>http://www.livewellsd.org/content/livewell/home/data-results/indicators-dashboard-and-data-portal.html</vt:lpwstr>
      </vt:variant>
      <vt:variant>
        <vt:lpwstr/>
      </vt:variant>
      <vt:variant>
        <vt:i4>1704018</vt:i4>
      </vt:variant>
      <vt:variant>
        <vt:i4>78</vt:i4>
      </vt:variant>
      <vt:variant>
        <vt:i4>0</vt:i4>
      </vt:variant>
      <vt:variant>
        <vt:i4>5</vt:i4>
      </vt:variant>
      <vt:variant>
        <vt:lpwstr>http://www.kidsdata.org/region/368/san-diego-county/results</vt:lpwstr>
      </vt:variant>
      <vt:variant>
        <vt:lpwstr>cat=12</vt:lpwstr>
      </vt:variant>
      <vt:variant>
        <vt:i4>2162693</vt:i4>
      </vt:variant>
      <vt:variant>
        <vt:i4>75</vt:i4>
      </vt:variant>
      <vt:variant>
        <vt:i4>0</vt:i4>
      </vt:variant>
      <vt:variant>
        <vt:i4>5</vt:i4>
      </vt:variant>
      <vt:variant>
        <vt:lpwstr>http://www.sandiegocounty.gov/content/dam/sdc/me/docs/SDME_Annual_Report_2011.pdf</vt:lpwstr>
      </vt:variant>
      <vt:variant>
        <vt:lpwstr/>
      </vt:variant>
      <vt:variant>
        <vt:i4>101</vt:i4>
      </vt:variant>
      <vt:variant>
        <vt:i4>72</vt:i4>
      </vt:variant>
      <vt:variant>
        <vt:i4>0</vt:i4>
      </vt:variant>
      <vt:variant>
        <vt:i4>5</vt:i4>
      </vt:variant>
      <vt:variant>
        <vt:lpwstr>http://www.sandiegocounty.gov/content/dam/sdc/me/docs/SDME_Annual_Report_2014.pdf 2011</vt:lpwstr>
      </vt:variant>
      <vt:variant>
        <vt:lpwstr/>
      </vt:variant>
      <vt:variant>
        <vt:i4>7733368</vt:i4>
      </vt:variant>
      <vt:variant>
        <vt:i4>69</vt:i4>
      </vt:variant>
      <vt:variant>
        <vt:i4>0</vt:i4>
      </vt:variant>
      <vt:variant>
        <vt:i4>5</vt:i4>
      </vt:variant>
      <vt:variant>
        <vt:lpwstr>https://www.justice.gov/usao-sdca/file/796391/download</vt:lpwstr>
      </vt:variant>
      <vt:variant>
        <vt:lpwstr/>
      </vt:variant>
      <vt:variant>
        <vt:i4>6684731</vt:i4>
      </vt:variant>
      <vt:variant>
        <vt:i4>66</vt:i4>
      </vt:variant>
      <vt:variant>
        <vt:i4>0</vt:i4>
      </vt:variant>
      <vt:variant>
        <vt:i4>5</vt:i4>
      </vt:variant>
      <vt:variant>
        <vt:lpwstr>http://www.countyhealthrankings.org/app/california/2016/rankings/san-diego/county/outcomes/overall/snapshot</vt:lpwstr>
      </vt:variant>
      <vt:variant>
        <vt:lpwstr/>
      </vt:variant>
      <vt:variant>
        <vt:i4>3342386</vt:i4>
      </vt:variant>
      <vt:variant>
        <vt:i4>63</vt:i4>
      </vt:variant>
      <vt:variant>
        <vt:i4>0</vt:i4>
      </vt:variant>
      <vt:variant>
        <vt:i4>5</vt:i4>
      </vt:variant>
      <vt:variant>
        <vt:lpwstr>http://www.sandiegomagazine.com/San-Diego-Magazine/March-2016/San-Diegos-Next-Hot-Neighborhoods/Rent-Uncontrolled/</vt:lpwstr>
      </vt:variant>
      <vt:variant>
        <vt:lpwstr/>
      </vt:variant>
      <vt:variant>
        <vt:i4>458807</vt:i4>
      </vt:variant>
      <vt:variant>
        <vt:i4>60</vt:i4>
      </vt:variant>
      <vt:variant>
        <vt:i4>0</vt:i4>
      </vt:variant>
      <vt:variant>
        <vt:i4>5</vt:i4>
      </vt:variant>
      <vt:variant>
        <vt:lpwstr>http://factfinder.census.gov/faces/tableservices/jsf/pages/productview.xhtml?pid=ACS_14_5YR_S1101&amp;prodType=table</vt:lpwstr>
      </vt:variant>
      <vt:variant>
        <vt:lpwstr/>
      </vt:variant>
      <vt:variant>
        <vt:i4>458807</vt:i4>
      </vt:variant>
      <vt:variant>
        <vt:i4>57</vt:i4>
      </vt:variant>
      <vt:variant>
        <vt:i4>0</vt:i4>
      </vt:variant>
      <vt:variant>
        <vt:i4>5</vt:i4>
      </vt:variant>
      <vt:variant>
        <vt:lpwstr>http://factfinder.census.gov/faces/tableservices/jsf/pages/productview.xhtml?pid=ACS_14_5YR_S1101&amp;prodType=table</vt:lpwstr>
      </vt:variant>
      <vt:variant>
        <vt:lpwstr/>
      </vt:variant>
      <vt:variant>
        <vt:i4>5111886</vt:i4>
      </vt:variant>
      <vt:variant>
        <vt:i4>54</vt:i4>
      </vt:variant>
      <vt:variant>
        <vt:i4>0</vt:i4>
      </vt:variant>
      <vt:variant>
        <vt:i4>5</vt:i4>
      </vt:variant>
      <vt:variant>
        <vt:lpwstr>http://www.futureofchildren.org/publications/journals/article/index.xml?journalid=73&amp;articleid=532&amp;sectionid=3661</vt:lpwstr>
      </vt:variant>
      <vt:variant>
        <vt:lpwstr/>
      </vt:variant>
      <vt:variant>
        <vt:i4>6488096</vt:i4>
      </vt:variant>
      <vt:variant>
        <vt:i4>51</vt:i4>
      </vt:variant>
      <vt:variant>
        <vt:i4>0</vt:i4>
      </vt:variant>
      <vt:variant>
        <vt:i4>5</vt:i4>
      </vt:variant>
      <vt:variant>
        <vt:lpwstr>http://www.kidsdata.org/region/368/san-diego-county/results</vt:lpwstr>
      </vt:variant>
      <vt:variant>
        <vt:lpwstr>ind=&amp;say=&amp;cat=44</vt:lpwstr>
      </vt:variant>
      <vt:variant>
        <vt:i4>7602233</vt:i4>
      </vt:variant>
      <vt:variant>
        <vt:i4>48</vt:i4>
      </vt:variant>
      <vt:variant>
        <vt:i4>0</vt:i4>
      </vt:variant>
      <vt:variant>
        <vt:i4>5</vt:i4>
      </vt:variant>
      <vt:variant>
        <vt:lpwstr>http://www.kidsdata.org/region/368/san-diego-county/summary</vt:lpwstr>
      </vt:variant>
      <vt:variant>
        <vt:lpwstr>1/child-and-youth-safety</vt:lpwstr>
      </vt:variant>
      <vt:variant>
        <vt:i4>4653122</vt:i4>
      </vt:variant>
      <vt:variant>
        <vt:i4>45</vt:i4>
      </vt:variant>
      <vt:variant>
        <vt:i4>0</vt:i4>
      </vt:variant>
      <vt:variant>
        <vt:i4>5</vt:i4>
      </vt:variant>
      <vt:variant>
        <vt:lpwstr>http://www.kidsdata.org/</vt:lpwstr>
      </vt:variant>
      <vt:variant>
        <vt:lpwstr/>
      </vt:variant>
      <vt:variant>
        <vt:i4>524373</vt:i4>
      </vt:variant>
      <vt:variant>
        <vt:i4>42</vt:i4>
      </vt:variant>
      <vt:variant>
        <vt:i4>0</vt:i4>
      </vt:variant>
      <vt:variant>
        <vt:i4>5</vt:i4>
      </vt:variant>
      <vt:variant>
        <vt:lpwstr>http://www.kidsdata.org/region/368/san-diego-county/results</vt:lpwstr>
      </vt:variant>
      <vt:variant>
        <vt:lpwstr>ind=&amp;say=674,675&amp;cat=37</vt:lpwstr>
      </vt:variant>
      <vt:variant>
        <vt:i4>5111811</vt:i4>
      </vt:variant>
      <vt:variant>
        <vt:i4>39</vt:i4>
      </vt:variant>
      <vt:variant>
        <vt:i4>0</vt:i4>
      </vt:variant>
      <vt:variant>
        <vt:i4>5</vt:i4>
      </vt:variant>
      <vt:variant>
        <vt:lpwstr>http://data1.cde.ca.gov/dataquest/cohortmulti/CohortMultiYear.aspx?agglevel=O&amp;cdscode=37000000000000</vt:lpwstr>
      </vt:variant>
      <vt:variant>
        <vt:lpwstr/>
      </vt:variant>
      <vt:variant>
        <vt:i4>4653122</vt:i4>
      </vt:variant>
      <vt:variant>
        <vt:i4>36</vt:i4>
      </vt:variant>
      <vt:variant>
        <vt:i4>0</vt:i4>
      </vt:variant>
      <vt:variant>
        <vt:i4>5</vt:i4>
      </vt:variant>
      <vt:variant>
        <vt:lpwstr>http://www.kidsdata.org/</vt:lpwstr>
      </vt:variant>
      <vt:variant>
        <vt:lpwstr/>
      </vt:variant>
      <vt:variant>
        <vt:i4>3735602</vt:i4>
      </vt:variant>
      <vt:variant>
        <vt:i4>33</vt:i4>
      </vt:variant>
      <vt:variant>
        <vt:i4>0</vt:i4>
      </vt:variant>
      <vt:variant>
        <vt:i4>5</vt:i4>
      </vt:variant>
      <vt:variant>
        <vt:lpwstr>http://www.sandag.org/?subclassid=105&amp;fuseaction=home.subclasshome</vt:lpwstr>
      </vt:variant>
      <vt:variant>
        <vt:lpwstr/>
      </vt:variant>
      <vt:variant>
        <vt:i4>2949181</vt:i4>
      </vt:variant>
      <vt:variant>
        <vt:i4>30</vt:i4>
      </vt:variant>
      <vt:variant>
        <vt:i4>0</vt:i4>
      </vt:variant>
      <vt:variant>
        <vt:i4>5</vt:i4>
      </vt:variant>
      <vt:variant>
        <vt:lpwstr>http://www.rtfhsd.org/publications/</vt:lpwstr>
      </vt:variant>
      <vt:variant>
        <vt:lpwstr/>
      </vt:variant>
      <vt:variant>
        <vt:i4>3080310</vt:i4>
      </vt:variant>
      <vt:variant>
        <vt:i4>27</vt:i4>
      </vt:variant>
      <vt:variant>
        <vt:i4>0</vt:i4>
      </vt:variant>
      <vt:variant>
        <vt:i4>5</vt:i4>
      </vt:variant>
      <vt:variant>
        <vt:lpwstr>http://www.sandiegouniontribune.com/news/2016/apr/18/march-home-prices-core-logic/</vt:lpwstr>
      </vt:variant>
      <vt:variant>
        <vt:lpwstr/>
      </vt:variant>
      <vt:variant>
        <vt:i4>327786</vt:i4>
      </vt:variant>
      <vt:variant>
        <vt:i4>24</vt:i4>
      </vt:variant>
      <vt:variant>
        <vt:i4>0</vt:i4>
      </vt:variant>
      <vt:variant>
        <vt:i4>5</vt:i4>
      </vt:variant>
      <vt:variant>
        <vt:lpwstr>http://www.sandiegocounty.gov/content/dam/sdc/hhsa/programs/phs/CHS/healthequity/_HE_SES_FINAL.pdf</vt:lpwstr>
      </vt:variant>
      <vt:variant>
        <vt:lpwstr/>
      </vt:variant>
      <vt:variant>
        <vt:i4>458801</vt:i4>
      </vt:variant>
      <vt:variant>
        <vt:i4>21</vt:i4>
      </vt:variant>
      <vt:variant>
        <vt:i4>0</vt:i4>
      </vt:variant>
      <vt:variant>
        <vt:i4>5</vt:i4>
      </vt:variant>
      <vt:variant>
        <vt:lpwstr>http://factfinder.census.gov/faces/tableservices/jsf/pages/productview.xhtml?pid=ACS_14_5YR_S1701&amp;prodType=table</vt:lpwstr>
      </vt:variant>
      <vt:variant>
        <vt:lpwstr/>
      </vt:variant>
      <vt:variant>
        <vt:i4>458803</vt:i4>
      </vt:variant>
      <vt:variant>
        <vt:i4>18</vt:i4>
      </vt:variant>
      <vt:variant>
        <vt:i4>0</vt:i4>
      </vt:variant>
      <vt:variant>
        <vt:i4>5</vt:i4>
      </vt:variant>
      <vt:variant>
        <vt:lpwstr>http://factfinder.census.gov/faces/tableservices/jsf/pages/productview.xhtml?pid=ACS_10_3YR_S1701&amp;prodType=table</vt:lpwstr>
      </vt:variant>
      <vt:variant>
        <vt:lpwstr/>
      </vt:variant>
      <vt:variant>
        <vt:i4>6881366</vt:i4>
      </vt:variant>
      <vt:variant>
        <vt:i4>15</vt:i4>
      </vt:variant>
      <vt:variant>
        <vt:i4>0</vt:i4>
      </vt:variant>
      <vt:variant>
        <vt:i4>5</vt:i4>
      </vt:variant>
      <vt:variant>
        <vt:lpwstr>http://www.nusinstitute.org/assets/resources/pageResources/NUSIPR_Concentrated_Poverty_Brief.pdf</vt:lpwstr>
      </vt:variant>
      <vt:variant>
        <vt:lpwstr/>
      </vt:variant>
      <vt:variant>
        <vt:i4>458815</vt:i4>
      </vt:variant>
      <vt:variant>
        <vt:i4>12</vt:i4>
      </vt:variant>
      <vt:variant>
        <vt:i4>0</vt:i4>
      </vt:variant>
      <vt:variant>
        <vt:i4>5</vt:i4>
      </vt:variant>
      <vt:variant>
        <vt:lpwstr>http://factfinder.census.gov/faces/tableservices/jsf/pages/productview.xhtml?pid=ACS_14_5YR_S1901&amp;prodType=table</vt:lpwstr>
      </vt:variant>
      <vt:variant>
        <vt:lpwstr/>
      </vt:variant>
      <vt:variant>
        <vt:i4>6422601</vt:i4>
      </vt:variant>
      <vt:variant>
        <vt:i4>9</vt:i4>
      </vt:variant>
      <vt:variant>
        <vt:i4>0</vt:i4>
      </vt:variant>
      <vt:variant>
        <vt:i4>5</vt:i4>
      </vt:variant>
      <vt:variant>
        <vt:lpwstr>http://www.bls.gov/news.release/archives/metro_06292011.pdf</vt:lpwstr>
      </vt:variant>
      <vt:variant>
        <vt:lpwstr/>
      </vt:variant>
      <vt:variant>
        <vt:i4>2818173</vt:i4>
      </vt:variant>
      <vt:variant>
        <vt:i4>6</vt:i4>
      </vt:variant>
      <vt:variant>
        <vt:i4>0</vt:i4>
      </vt:variant>
      <vt:variant>
        <vt:i4>5</vt:i4>
      </vt:variant>
      <vt:variant>
        <vt:lpwstr>http://www.bls.gov/</vt:lpwstr>
      </vt:variant>
      <vt:variant>
        <vt:lpwstr/>
      </vt:variant>
      <vt:variant>
        <vt:i4>458803</vt:i4>
      </vt:variant>
      <vt:variant>
        <vt:i4>3</vt:i4>
      </vt:variant>
      <vt:variant>
        <vt:i4>0</vt:i4>
      </vt:variant>
      <vt:variant>
        <vt:i4>5</vt:i4>
      </vt:variant>
      <vt:variant>
        <vt:lpwstr>http://factfinder.census.gov/faces/tableservices/jsf/pages/productview.xhtml?pid=ACS_14_5YR_S1501&amp;prodType=table</vt:lpwstr>
      </vt:variant>
      <vt:variant>
        <vt:lpwstr/>
      </vt:variant>
      <vt:variant>
        <vt:i4>1703946</vt:i4>
      </vt:variant>
      <vt:variant>
        <vt:i4>0</vt:i4>
      </vt:variant>
      <vt:variant>
        <vt:i4>0</vt:i4>
      </vt:variant>
      <vt:variant>
        <vt:i4>5</vt:i4>
      </vt:variant>
      <vt:variant>
        <vt:lpwstr>http://www.census.gov/quickfacts/table/PST045215/06073,00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 - Child and Family Services Review</dc:title>
  <dc:subject>County Self-Assessment</dc:subject>
  <dc:creator>Owner</dc:creator>
  <cp:lastModifiedBy>Glass, Sarah</cp:lastModifiedBy>
  <cp:revision>4</cp:revision>
  <cp:lastPrinted>2016-11-23T21:38:00Z</cp:lastPrinted>
  <dcterms:created xsi:type="dcterms:W3CDTF">2019-03-14T00:39:00Z</dcterms:created>
  <dcterms:modified xsi:type="dcterms:W3CDTF">2019-03-14T00:55:00Z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_NewReviewCycle">
    <vt:lpwstr/>
  </property>
</Properties>
</file>