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B0D" w:rsidRPr="002E7CF8" w:rsidRDefault="00FF1B0D" w:rsidP="002E7CF8">
      <w:pPr>
        <w:autoSpaceDE w:val="0"/>
        <w:autoSpaceDN w:val="0"/>
        <w:adjustRightInd w:val="0"/>
        <w:ind w:left="720"/>
        <w:jc w:val="both"/>
        <w:rPr>
          <w:rFonts w:cs="Arial"/>
          <w:spacing w:val="4"/>
          <w:szCs w:val="24"/>
        </w:rPr>
      </w:pPr>
      <w:r>
        <w:rPr>
          <w:rFonts w:cs="Arial"/>
          <w:szCs w:val="24"/>
        </w:rPr>
        <w:t xml:space="preserve">The </w:t>
      </w:r>
      <w:r>
        <w:rPr>
          <w:rFonts w:cs="Arial"/>
          <w:szCs w:val="24"/>
        </w:rPr>
        <w:t xml:space="preserve">JVR Energy </w:t>
      </w:r>
      <w:r>
        <w:rPr>
          <w:rFonts w:cs="Arial"/>
          <w:szCs w:val="24"/>
        </w:rPr>
        <w:t xml:space="preserve">Project </w:t>
      </w:r>
      <w:r>
        <w:rPr>
          <w:rFonts w:cs="Arial"/>
          <w:szCs w:val="24"/>
        </w:rPr>
        <w:t xml:space="preserve">(Project) </w:t>
      </w:r>
      <w:r>
        <w:rPr>
          <w:rFonts w:cs="Arial"/>
          <w:szCs w:val="24"/>
        </w:rPr>
        <w:t xml:space="preserve">involves the construction and operation of a 90-megawatt (MW) solar energy facility and a 20-MW energy storage system. </w:t>
      </w:r>
      <w:r>
        <w:rPr>
          <w:rFonts w:cs="Arial"/>
          <w:spacing w:val="4"/>
          <w:szCs w:val="24"/>
        </w:rPr>
        <w:t xml:space="preserve">The Project proposes a General Plan Amendment </w:t>
      </w:r>
      <w:r>
        <w:rPr>
          <w:rFonts w:cs="Arial"/>
          <w:spacing w:val="4"/>
          <w:szCs w:val="24"/>
        </w:rPr>
        <w:t xml:space="preserve">(GPA) </w:t>
      </w:r>
      <w:r>
        <w:rPr>
          <w:rFonts w:cs="Arial"/>
          <w:spacing w:val="4"/>
          <w:szCs w:val="24"/>
        </w:rPr>
        <w:t xml:space="preserve">and Rezone. </w:t>
      </w:r>
      <w:r>
        <w:rPr>
          <w:rFonts w:cs="Arial"/>
          <w:spacing w:val="4"/>
          <w:szCs w:val="24"/>
        </w:rPr>
        <w:t xml:space="preserve">The proposed GPA would include text changes to the County’s Mountain Empire Subregional Plan to remove text relating to the Ketchum Specific Plan area. The Project may also propose changes to the </w:t>
      </w:r>
      <w:r w:rsidR="002E7CF8">
        <w:rPr>
          <w:rFonts w:cs="Arial"/>
          <w:spacing w:val="4"/>
          <w:szCs w:val="24"/>
        </w:rPr>
        <w:t xml:space="preserve">existing </w:t>
      </w:r>
      <w:r>
        <w:rPr>
          <w:rFonts w:cs="Arial"/>
          <w:spacing w:val="4"/>
          <w:szCs w:val="24"/>
        </w:rPr>
        <w:t xml:space="preserve">Regional Categories and/or Land Use </w:t>
      </w:r>
      <w:r w:rsidR="002E7CF8">
        <w:rPr>
          <w:rFonts w:cs="Arial"/>
          <w:spacing w:val="4"/>
          <w:szCs w:val="24"/>
        </w:rPr>
        <w:t xml:space="preserve">Designations on parcels within the Project site. </w:t>
      </w:r>
      <w:r>
        <w:rPr>
          <w:rFonts w:cs="Arial"/>
          <w:spacing w:val="4"/>
          <w:szCs w:val="24"/>
        </w:rPr>
        <w:t xml:space="preserve">The </w:t>
      </w:r>
      <w:r w:rsidRPr="008D4E7A">
        <w:rPr>
          <w:rFonts w:cs="Arial"/>
          <w:spacing w:val="4"/>
          <w:szCs w:val="24"/>
        </w:rPr>
        <w:t>Project</w:t>
      </w:r>
      <w:r w:rsidRPr="008D4E7A" w:rsidDel="00B16864">
        <w:rPr>
          <w:rFonts w:cs="Arial"/>
          <w:spacing w:val="4"/>
          <w:szCs w:val="24"/>
        </w:rPr>
        <w:t xml:space="preserve"> </w:t>
      </w:r>
      <w:r w:rsidRPr="008D4E7A">
        <w:rPr>
          <w:rFonts w:cs="Arial"/>
          <w:spacing w:val="4"/>
          <w:szCs w:val="24"/>
        </w:rPr>
        <w:t xml:space="preserve">would </w:t>
      </w:r>
      <w:r>
        <w:rPr>
          <w:rFonts w:cs="Arial"/>
          <w:spacing w:val="4"/>
          <w:szCs w:val="24"/>
        </w:rPr>
        <w:t xml:space="preserve">also </w:t>
      </w:r>
      <w:r w:rsidRPr="008D4E7A">
        <w:rPr>
          <w:rFonts w:cs="Arial"/>
          <w:spacing w:val="4"/>
          <w:szCs w:val="24"/>
        </w:rPr>
        <w:t xml:space="preserve">require a Major Use Permit (MUP) to authorize the development </w:t>
      </w:r>
      <w:r>
        <w:rPr>
          <w:rFonts w:cs="Arial"/>
          <w:spacing w:val="4"/>
          <w:szCs w:val="24"/>
        </w:rPr>
        <w:t xml:space="preserve">of </w:t>
      </w:r>
      <w:r w:rsidRPr="008D4E7A">
        <w:rPr>
          <w:rFonts w:cs="Arial"/>
          <w:spacing w:val="4"/>
          <w:szCs w:val="24"/>
        </w:rPr>
        <w:t>the solar project, which is classified as a Major Impact Utility, pursuant to Sectio</w:t>
      </w:r>
      <w:r>
        <w:rPr>
          <w:rFonts w:cs="Arial"/>
          <w:spacing w:val="4"/>
          <w:szCs w:val="24"/>
        </w:rPr>
        <w:t xml:space="preserve">ns 1350, 2705, and 2926 of the </w:t>
      </w:r>
      <w:r w:rsidRPr="008D4E7A">
        <w:rPr>
          <w:rFonts w:cs="Arial"/>
          <w:spacing w:val="4"/>
          <w:szCs w:val="24"/>
        </w:rPr>
        <w:t xml:space="preserve">Zoning Ordinance. </w:t>
      </w:r>
      <w:r w:rsidRPr="008D4E7A">
        <w:rPr>
          <w:rFonts w:cs="Arial"/>
          <w:szCs w:val="24"/>
        </w:rPr>
        <w:t xml:space="preserve">All anticipated </w:t>
      </w:r>
      <w:r>
        <w:rPr>
          <w:rFonts w:cs="Arial"/>
          <w:szCs w:val="24"/>
        </w:rPr>
        <w:t>P</w:t>
      </w:r>
      <w:r w:rsidRPr="008D4E7A">
        <w:rPr>
          <w:rFonts w:cs="Arial"/>
          <w:szCs w:val="24"/>
        </w:rPr>
        <w:t xml:space="preserve">roject permits and approvals required from the County are listed </w:t>
      </w:r>
      <w:r>
        <w:rPr>
          <w:rFonts w:cs="Arial"/>
          <w:szCs w:val="24"/>
        </w:rPr>
        <w:t>below:</w:t>
      </w:r>
    </w:p>
    <w:p w:rsidR="002E7CF8" w:rsidRDefault="002E7CF8" w:rsidP="00FF1B0D">
      <w:pPr>
        <w:autoSpaceDE w:val="0"/>
        <w:autoSpaceDN w:val="0"/>
        <w:adjustRightInd w:val="0"/>
        <w:ind w:left="720"/>
        <w:jc w:val="center"/>
        <w:rPr>
          <w:rFonts w:cs="Arial"/>
          <w:b/>
          <w:szCs w:val="24"/>
        </w:rPr>
      </w:pPr>
    </w:p>
    <w:p w:rsidR="00FF1B0D" w:rsidRPr="00670A40" w:rsidRDefault="00FF1B0D" w:rsidP="00FF1B0D">
      <w:pPr>
        <w:autoSpaceDE w:val="0"/>
        <w:autoSpaceDN w:val="0"/>
        <w:adjustRightInd w:val="0"/>
        <w:ind w:left="720"/>
        <w:jc w:val="center"/>
        <w:rPr>
          <w:rFonts w:cs="Arial"/>
          <w:b/>
          <w:szCs w:val="24"/>
        </w:rPr>
      </w:pPr>
      <w:r w:rsidRPr="00670A40">
        <w:rPr>
          <w:rFonts w:cs="Arial"/>
          <w:b/>
          <w:szCs w:val="24"/>
        </w:rPr>
        <w:t>County Permits/Actions Required</w:t>
      </w:r>
    </w:p>
    <w:p w:rsidR="00FF1B0D" w:rsidRPr="00670A40" w:rsidRDefault="00FF1B0D" w:rsidP="00FF1B0D">
      <w:pPr>
        <w:autoSpaceDE w:val="0"/>
        <w:autoSpaceDN w:val="0"/>
        <w:adjustRightInd w:val="0"/>
        <w:ind w:left="720"/>
        <w:jc w:val="both"/>
        <w:rPr>
          <w:rFonts w:cs="Arial"/>
          <w:sz w:val="16"/>
          <w:szCs w:val="16"/>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FF1B0D" w:rsidRPr="00670A40" w:rsidTr="00904778">
        <w:trPr>
          <w:trHeight w:val="268"/>
        </w:trPr>
        <w:tc>
          <w:tcPr>
            <w:tcW w:w="8280" w:type="dxa"/>
          </w:tcPr>
          <w:p w:rsidR="00FF1B0D" w:rsidRPr="00670A40" w:rsidRDefault="00FF1B0D" w:rsidP="00904778">
            <w:pPr>
              <w:pStyle w:val="Heading9"/>
              <w:jc w:val="left"/>
              <w:rPr>
                <w:rFonts w:cs="Arial"/>
                <w:b/>
                <w:sz w:val="23"/>
                <w:szCs w:val="23"/>
              </w:rPr>
            </w:pPr>
            <w:r w:rsidRPr="00670A40">
              <w:rPr>
                <w:rFonts w:cs="Arial"/>
                <w:b/>
                <w:sz w:val="23"/>
                <w:szCs w:val="23"/>
              </w:rPr>
              <w:t>Permit Type/Action</w:t>
            </w:r>
          </w:p>
        </w:tc>
      </w:tr>
      <w:tr w:rsidR="00FF1B0D" w:rsidRPr="00670A40" w:rsidTr="00904778">
        <w:trPr>
          <w:trHeight w:val="251"/>
        </w:trPr>
        <w:tc>
          <w:tcPr>
            <w:tcW w:w="8280" w:type="dxa"/>
          </w:tcPr>
          <w:p w:rsidR="00FF1B0D" w:rsidRPr="00670A40" w:rsidRDefault="00FF1B0D" w:rsidP="00904778">
            <w:pPr>
              <w:rPr>
                <w:rFonts w:cs="Arial"/>
                <w:sz w:val="23"/>
                <w:szCs w:val="23"/>
              </w:rPr>
            </w:pPr>
            <w:r>
              <w:rPr>
                <w:rFonts w:cs="Arial"/>
                <w:sz w:val="23"/>
                <w:szCs w:val="23"/>
              </w:rPr>
              <w:t>General Plan Amendment</w:t>
            </w:r>
          </w:p>
        </w:tc>
      </w:tr>
      <w:tr w:rsidR="00FF1B0D" w:rsidRPr="00670A40" w:rsidTr="00904778">
        <w:trPr>
          <w:trHeight w:val="251"/>
        </w:trPr>
        <w:tc>
          <w:tcPr>
            <w:tcW w:w="8280" w:type="dxa"/>
          </w:tcPr>
          <w:p w:rsidR="00FF1B0D" w:rsidRPr="00670A40" w:rsidRDefault="00FF1B0D" w:rsidP="00904778">
            <w:pPr>
              <w:rPr>
                <w:rFonts w:cs="Arial"/>
                <w:sz w:val="23"/>
                <w:szCs w:val="23"/>
              </w:rPr>
            </w:pPr>
            <w:r>
              <w:rPr>
                <w:rFonts w:cs="Arial"/>
                <w:sz w:val="23"/>
                <w:szCs w:val="23"/>
              </w:rPr>
              <w:t>Rezone</w:t>
            </w:r>
          </w:p>
        </w:tc>
      </w:tr>
      <w:tr w:rsidR="00FF1B0D" w:rsidRPr="00670A40" w:rsidTr="00904778">
        <w:trPr>
          <w:trHeight w:val="251"/>
        </w:trPr>
        <w:tc>
          <w:tcPr>
            <w:tcW w:w="8280" w:type="dxa"/>
          </w:tcPr>
          <w:p w:rsidR="00FF1B0D" w:rsidRPr="00670A40" w:rsidRDefault="00FF1B0D" w:rsidP="00904778">
            <w:pPr>
              <w:rPr>
                <w:rFonts w:cs="Arial"/>
                <w:sz w:val="23"/>
                <w:szCs w:val="23"/>
              </w:rPr>
            </w:pPr>
            <w:r w:rsidRPr="00670A40">
              <w:rPr>
                <w:rFonts w:cs="Arial"/>
                <w:sz w:val="23"/>
                <w:szCs w:val="23"/>
              </w:rPr>
              <w:t>Major Use Permit</w:t>
            </w:r>
            <w:r>
              <w:rPr>
                <w:rFonts w:cs="Arial"/>
                <w:sz w:val="23"/>
                <w:szCs w:val="23"/>
              </w:rPr>
              <w:t xml:space="preserve"> for compliance with Sections 1350, 2705 and 2926 of the County Zoning Ordinance</w:t>
            </w:r>
          </w:p>
        </w:tc>
      </w:tr>
      <w:tr w:rsidR="00FF1B0D" w:rsidRPr="00670A40" w:rsidTr="00904778">
        <w:trPr>
          <w:trHeight w:val="251"/>
        </w:trPr>
        <w:tc>
          <w:tcPr>
            <w:tcW w:w="8280" w:type="dxa"/>
          </w:tcPr>
          <w:p w:rsidR="00FF1B0D" w:rsidRPr="00670A40" w:rsidRDefault="00FF1B0D" w:rsidP="00904778">
            <w:pPr>
              <w:rPr>
                <w:rFonts w:cs="Arial"/>
                <w:sz w:val="23"/>
                <w:szCs w:val="23"/>
              </w:rPr>
            </w:pPr>
            <w:r>
              <w:rPr>
                <w:rFonts w:cs="Arial"/>
                <w:sz w:val="23"/>
                <w:szCs w:val="23"/>
              </w:rPr>
              <w:t>Minor Use Permit</w:t>
            </w:r>
          </w:p>
        </w:tc>
      </w:tr>
      <w:tr w:rsidR="00FF1B0D" w:rsidRPr="00670A40" w:rsidTr="00904778">
        <w:trPr>
          <w:trHeight w:val="575"/>
        </w:trPr>
        <w:tc>
          <w:tcPr>
            <w:tcW w:w="8280" w:type="dxa"/>
          </w:tcPr>
          <w:p w:rsidR="00FF1B0D" w:rsidRPr="00670A40" w:rsidRDefault="00FF1B0D" w:rsidP="00904778">
            <w:pPr>
              <w:rPr>
                <w:rFonts w:cs="Arial"/>
                <w:sz w:val="23"/>
                <w:szCs w:val="23"/>
              </w:rPr>
            </w:pPr>
            <w:r w:rsidRPr="00670A40">
              <w:rPr>
                <w:rFonts w:cs="Arial"/>
                <w:sz w:val="23"/>
                <w:szCs w:val="23"/>
              </w:rPr>
              <w:t>County Right-of-Way Permits (Construction Permit, Excavation Permit, and Encroachment Permit)</w:t>
            </w:r>
          </w:p>
        </w:tc>
      </w:tr>
      <w:tr w:rsidR="00FF1B0D" w:rsidRPr="00670A40" w:rsidTr="00904778">
        <w:trPr>
          <w:trHeight w:val="268"/>
        </w:trPr>
        <w:tc>
          <w:tcPr>
            <w:tcW w:w="8280" w:type="dxa"/>
          </w:tcPr>
          <w:p w:rsidR="00FF1B0D" w:rsidRPr="00670A40" w:rsidRDefault="00FF1B0D" w:rsidP="00904778">
            <w:pPr>
              <w:rPr>
                <w:rFonts w:cs="Arial"/>
                <w:sz w:val="23"/>
                <w:szCs w:val="23"/>
              </w:rPr>
            </w:pPr>
            <w:r>
              <w:rPr>
                <w:rFonts w:cs="Arial"/>
                <w:sz w:val="23"/>
                <w:szCs w:val="23"/>
              </w:rPr>
              <w:t>Building Permit</w:t>
            </w:r>
          </w:p>
        </w:tc>
      </w:tr>
      <w:tr w:rsidR="00FF1B0D" w:rsidRPr="00670A40" w:rsidTr="00904778">
        <w:trPr>
          <w:trHeight w:val="268"/>
        </w:trPr>
        <w:tc>
          <w:tcPr>
            <w:tcW w:w="8280" w:type="dxa"/>
          </w:tcPr>
          <w:p w:rsidR="00FF1B0D" w:rsidRPr="00670A40" w:rsidRDefault="00FF1B0D" w:rsidP="00904778">
            <w:pPr>
              <w:rPr>
                <w:rFonts w:cs="Arial"/>
                <w:sz w:val="23"/>
                <w:szCs w:val="23"/>
              </w:rPr>
            </w:pPr>
            <w:r w:rsidRPr="00670A40">
              <w:rPr>
                <w:rFonts w:cs="Arial"/>
                <w:sz w:val="23"/>
                <w:szCs w:val="23"/>
              </w:rPr>
              <w:t>Grading Permit</w:t>
            </w:r>
          </w:p>
        </w:tc>
      </w:tr>
      <w:tr w:rsidR="00FF1B0D" w:rsidRPr="00670A40" w:rsidTr="00904778">
        <w:trPr>
          <w:trHeight w:val="251"/>
        </w:trPr>
        <w:tc>
          <w:tcPr>
            <w:tcW w:w="8280" w:type="dxa"/>
          </w:tcPr>
          <w:p w:rsidR="00FF1B0D" w:rsidRPr="00670A40" w:rsidRDefault="00FF1B0D" w:rsidP="00904778">
            <w:pPr>
              <w:rPr>
                <w:rFonts w:cs="Arial"/>
                <w:sz w:val="23"/>
                <w:szCs w:val="23"/>
              </w:rPr>
            </w:pPr>
            <w:r w:rsidRPr="00670A40">
              <w:rPr>
                <w:rFonts w:cs="Arial"/>
                <w:sz w:val="23"/>
                <w:szCs w:val="23"/>
              </w:rPr>
              <w:t>Improvement Plans</w:t>
            </w:r>
          </w:p>
        </w:tc>
      </w:tr>
      <w:tr w:rsidR="00FF1B0D" w:rsidRPr="00670A40" w:rsidTr="00904778">
        <w:trPr>
          <w:trHeight w:val="368"/>
        </w:trPr>
        <w:tc>
          <w:tcPr>
            <w:tcW w:w="8280" w:type="dxa"/>
          </w:tcPr>
          <w:p w:rsidR="00FF1B0D" w:rsidRPr="00670A40" w:rsidRDefault="00FF1B0D" w:rsidP="00904778">
            <w:pPr>
              <w:rPr>
                <w:rFonts w:cs="Arial"/>
                <w:sz w:val="23"/>
                <w:szCs w:val="23"/>
              </w:rPr>
            </w:pPr>
            <w:r w:rsidRPr="00670A40">
              <w:rPr>
                <w:rFonts w:cs="Arial"/>
                <w:sz w:val="23"/>
                <w:szCs w:val="23"/>
              </w:rPr>
              <w:t>Exploratory Borings, Direct-push Samplers and Cone Penotrometers Permits</w:t>
            </w:r>
          </w:p>
        </w:tc>
      </w:tr>
      <w:tr w:rsidR="00FF1B0D" w:rsidRPr="00670A40" w:rsidTr="00904778">
        <w:trPr>
          <w:trHeight w:val="368"/>
        </w:trPr>
        <w:tc>
          <w:tcPr>
            <w:tcW w:w="8280" w:type="dxa"/>
          </w:tcPr>
          <w:p w:rsidR="00FF1B0D" w:rsidRPr="00670A40" w:rsidRDefault="00FF1B0D" w:rsidP="00904778">
            <w:pPr>
              <w:rPr>
                <w:rFonts w:cs="Arial"/>
                <w:sz w:val="23"/>
                <w:szCs w:val="23"/>
              </w:rPr>
            </w:pPr>
            <w:r>
              <w:rPr>
                <w:sz w:val="23"/>
                <w:szCs w:val="23"/>
              </w:rPr>
              <w:t xml:space="preserve">Waiver of Board Policy </w:t>
            </w:r>
            <w:r w:rsidRPr="00670A40">
              <w:rPr>
                <w:sz w:val="23"/>
                <w:szCs w:val="23"/>
              </w:rPr>
              <w:t>I-111</w:t>
            </w:r>
          </w:p>
        </w:tc>
      </w:tr>
      <w:tr w:rsidR="00FF1B0D" w:rsidRPr="00670A40" w:rsidTr="00904778">
        <w:trPr>
          <w:trHeight w:val="268"/>
        </w:trPr>
        <w:tc>
          <w:tcPr>
            <w:tcW w:w="8280" w:type="dxa"/>
          </w:tcPr>
          <w:p w:rsidR="00FF1B0D" w:rsidRPr="00670A40" w:rsidRDefault="00FF1B0D" w:rsidP="00904778">
            <w:r w:rsidRPr="00670A40">
              <w:rPr>
                <w:rFonts w:cs="Arial"/>
                <w:sz w:val="23"/>
                <w:szCs w:val="23"/>
              </w:rPr>
              <w:t>Certification of Final EIR</w:t>
            </w:r>
          </w:p>
        </w:tc>
      </w:tr>
    </w:tbl>
    <w:p w:rsidR="00FF1B0D" w:rsidRDefault="00FF1B0D" w:rsidP="00FF1B0D">
      <w:pPr>
        <w:tabs>
          <w:tab w:val="left" w:pos="1350"/>
        </w:tabs>
        <w:jc w:val="both"/>
        <w:rPr>
          <w:rFonts w:cs="Arial"/>
          <w:szCs w:val="24"/>
        </w:rPr>
      </w:pPr>
    </w:p>
    <w:p w:rsidR="002E7CF8" w:rsidRDefault="002E7CF8" w:rsidP="00FF1B0D">
      <w:pPr>
        <w:tabs>
          <w:tab w:val="left" w:pos="1350"/>
        </w:tabs>
        <w:ind w:left="720"/>
        <w:jc w:val="both"/>
        <w:rPr>
          <w:rFonts w:cs="Arial"/>
          <w:szCs w:val="24"/>
        </w:rPr>
      </w:pPr>
    </w:p>
    <w:p w:rsidR="002E7CF8" w:rsidRPr="002E7CF8" w:rsidRDefault="002E7CF8" w:rsidP="00FF1B0D">
      <w:pPr>
        <w:tabs>
          <w:tab w:val="left" w:pos="1350"/>
        </w:tabs>
        <w:ind w:left="720"/>
        <w:jc w:val="both"/>
        <w:rPr>
          <w:rFonts w:cs="Arial"/>
          <w:b/>
          <w:szCs w:val="24"/>
        </w:rPr>
      </w:pPr>
      <w:r w:rsidRPr="002E7CF8">
        <w:rPr>
          <w:rFonts w:cs="Arial"/>
          <w:b/>
          <w:szCs w:val="24"/>
        </w:rPr>
        <w:t xml:space="preserve">Project Components </w:t>
      </w:r>
    </w:p>
    <w:p w:rsidR="002E7CF8" w:rsidRPr="002E7CF8" w:rsidRDefault="002E7CF8" w:rsidP="00FF1B0D">
      <w:pPr>
        <w:tabs>
          <w:tab w:val="left" w:pos="1350"/>
        </w:tabs>
        <w:ind w:left="720"/>
        <w:jc w:val="both"/>
        <w:rPr>
          <w:rFonts w:cs="Arial"/>
          <w:b/>
          <w:szCs w:val="24"/>
        </w:rPr>
      </w:pPr>
    </w:p>
    <w:p w:rsidR="00FF1B0D" w:rsidRDefault="00FF1B0D" w:rsidP="00FF1B0D">
      <w:pPr>
        <w:tabs>
          <w:tab w:val="left" w:pos="1350"/>
        </w:tabs>
        <w:ind w:left="720"/>
        <w:jc w:val="both"/>
        <w:rPr>
          <w:rFonts w:cs="Arial"/>
          <w:szCs w:val="24"/>
        </w:rPr>
      </w:pPr>
      <w:r>
        <w:rPr>
          <w:rFonts w:cs="Arial"/>
          <w:szCs w:val="24"/>
        </w:rPr>
        <w:t xml:space="preserve">The Project components include the following and are described in greater detail below: </w:t>
      </w:r>
    </w:p>
    <w:p w:rsidR="00FF1B0D" w:rsidRDefault="00FF1B0D" w:rsidP="00FF1B0D">
      <w:pPr>
        <w:pStyle w:val="ListParagraph"/>
        <w:numPr>
          <w:ilvl w:val="0"/>
          <w:numId w:val="3"/>
        </w:numPr>
        <w:tabs>
          <w:tab w:val="left" w:pos="1440"/>
        </w:tabs>
        <w:ind w:left="1440" w:hanging="288"/>
        <w:jc w:val="both"/>
      </w:pPr>
      <w:r>
        <w:t>Approximately 300,000 photovoltaic (PV) modules fitted on single axis trackers</w:t>
      </w:r>
    </w:p>
    <w:p w:rsidR="00FF1B0D" w:rsidRDefault="00FF1B0D" w:rsidP="00FF1B0D">
      <w:pPr>
        <w:tabs>
          <w:tab w:val="left" w:pos="1440"/>
        </w:tabs>
        <w:ind w:left="1440" w:hanging="360"/>
        <w:jc w:val="both"/>
      </w:pPr>
      <w:r>
        <w:t>•</w:t>
      </w:r>
      <w:r>
        <w:tab/>
        <w:t>Direct current (DC) to alternative current (AC) conversion equipment (i.e., inverter and transformer units)</w:t>
      </w:r>
    </w:p>
    <w:p w:rsidR="00FF1B0D" w:rsidRPr="001C522E" w:rsidRDefault="00FF1B0D" w:rsidP="00FF1B0D">
      <w:pPr>
        <w:pStyle w:val="ListParagraph"/>
        <w:numPr>
          <w:ilvl w:val="0"/>
          <w:numId w:val="2"/>
        </w:numPr>
        <w:tabs>
          <w:tab w:val="left" w:pos="1440"/>
        </w:tabs>
        <w:jc w:val="both"/>
      </w:pPr>
      <w:r w:rsidRPr="005315F9">
        <w:t xml:space="preserve">A 1,000-volt to 1,500-volt DC underground collection system and a 34.5-kilovolt (kV) overhead and underground collection system linking the </w:t>
      </w:r>
      <w:r w:rsidRPr="001C522E">
        <w:t xml:space="preserve">inverters to the on-site </w:t>
      </w:r>
      <w:r>
        <w:t>collector</w:t>
      </w:r>
      <w:r w:rsidRPr="001C522E">
        <w:t xml:space="preserve"> substation</w:t>
      </w:r>
    </w:p>
    <w:p w:rsidR="00FF1B0D" w:rsidRPr="001C522E" w:rsidRDefault="00FF1B0D" w:rsidP="00FF1B0D">
      <w:pPr>
        <w:tabs>
          <w:tab w:val="left" w:pos="1440"/>
        </w:tabs>
        <w:ind w:left="1440" w:hanging="360"/>
        <w:jc w:val="both"/>
      </w:pPr>
      <w:r w:rsidRPr="001C522E">
        <w:t>•</w:t>
      </w:r>
      <w:r w:rsidRPr="001C522E">
        <w:tab/>
        <w:t>An on-site collector substation located on an approximately 22,500 square foot (150-foot by 150-foot) grounding mat atop gravel</w:t>
      </w:r>
    </w:p>
    <w:p w:rsidR="00FF1B0D" w:rsidRPr="001C522E" w:rsidRDefault="00FF1B0D" w:rsidP="00FF1B0D">
      <w:pPr>
        <w:tabs>
          <w:tab w:val="left" w:pos="1440"/>
        </w:tabs>
        <w:ind w:left="1440" w:hanging="360"/>
        <w:jc w:val="both"/>
      </w:pPr>
      <w:r w:rsidRPr="001C522E">
        <w:t>•</w:t>
      </w:r>
      <w:r w:rsidRPr="001C522E">
        <w:tab/>
        <w:t xml:space="preserve">An approximately 20 MW battery energy storage system </w:t>
      </w:r>
    </w:p>
    <w:p w:rsidR="00FF1B0D" w:rsidRDefault="00FF1B0D" w:rsidP="00FF1B0D">
      <w:pPr>
        <w:tabs>
          <w:tab w:val="left" w:pos="1440"/>
        </w:tabs>
        <w:ind w:left="1440" w:hanging="360"/>
        <w:jc w:val="both"/>
      </w:pPr>
      <w:r w:rsidRPr="001C522E">
        <w:lastRenderedPageBreak/>
        <w:t>•</w:t>
      </w:r>
      <w:r w:rsidRPr="001C522E">
        <w:tab/>
        <w:t>A 138 kV overhead transmission line (gen-tie) connecting the on-site substation to San Diego Gas and Electric’s (SDG&amp;E’s) proposed Kettle One Substation</w:t>
      </w:r>
      <w:r>
        <w:t xml:space="preserve"> located adjacent to the Project site</w:t>
      </w:r>
    </w:p>
    <w:p w:rsidR="00FF1B0D" w:rsidRPr="002E7CF8" w:rsidRDefault="00FF1B0D" w:rsidP="002E7CF8">
      <w:pPr>
        <w:ind w:left="720"/>
        <w:jc w:val="both"/>
      </w:pPr>
      <w:r>
        <w:rPr>
          <w:rFonts w:cs="Arial"/>
          <w:szCs w:val="24"/>
        </w:rPr>
        <w:t xml:space="preserve">Decommissioning of the Project would occur at the end of the Project’s useful life. </w:t>
      </w:r>
    </w:p>
    <w:p w:rsidR="00FF1B0D" w:rsidRPr="002E7CF8" w:rsidRDefault="002E7CF8" w:rsidP="002E7CF8">
      <w:pPr>
        <w:jc w:val="both"/>
        <w:rPr>
          <w:highlight w:val="lightGray"/>
        </w:rPr>
      </w:pPr>
      <w:r>
        <w:rPr>
          <w:rFonts w:cs="Arial"/>
          <w:b/>
          <w:szCs w:val="24"/>
        </w:rPr>
        <w:t xml:space="preserve"> </w:t>
      </w:r>
    </w:p>
    <w:p w:rsidR="00FF1B0D" w:rsidRPr="00694EA5" w:rsidRDefault="00FF1B0D" w:rsidP="00FF1B0D">
      <w:pPr>
        <w:ind w:left="720"/>
        <w:jc w:val="both"/>
        <w:rPr>
          <w:u w:val="single"/>
        </w:rPr>
      </w:pPr>
      <w:r>
        <w:rPr>
          <w:u w:val="single"/>
        </w:rPr>
        <w:t xml:space="preserve">PV </w:t>
      </w:r>
      <w:r w:rsidRPr="00694EA5">
        <w:rPr>
          <w:u w:val="single"/>
        </w:rPr>
        <w:t>Modules</w:t>
      </w:r>
    </w:p>
    <w:p w:rsidR="00FF1B0D" w:rsidRDefault="00FF1B0D" w:rsidP="00FF1B0D">
      <w:pPr>
        <w:ind w:left="720"/>
        <w:jc w:val="both"/>
      </w:pPr>
      <w:r>
        <w:t xml:space="preserve">The PV modules generate electricity by converting the energy of the sun’s photons into DC electrons. The Project would include approximately 300,000 PV modules installed on </w:t>
      </w:r>
      <w:r w:rsidRPr="004D795D">
        <w:t>single-axis trackers oriented in the north-south direction. The PV modules would cover the majority of the area of the proposed facility.</w:t>
      </w:r>
      <w:r>
        <w:t xml:space="preserve"> </w:t>
      </w:r>
      <w:r w:rsidRPr="004D795D">
        <w:t xml:space="preserve">Single-axis tracking systems would employ a motor mechanism which allow the arrays to track the path of the sun (from east to west) throughout the day. The mounting structures for the PV module arrays are typically mounted on metal pipe pile or I-beam foundations 6 to 10 inches in diameter. </w:t>
      </w:r>
      <w:r>
        <w:t xml:space="preserve">The beam would be driven into the soil to approximate depths of 10 to 15 feet. The PV modules, at their highest point, would be approximately 7 feet above the ground surface. For purposes of the analysis, the maximum height above the graded ground surface would be less than 9 feet. </w:t>
      </w:r>
      <w:r w:rsidRPr="004D795D">
        <w:t xml:space="preserve">The PV modules are uniformly dark in color, non-reflective, and designed to be highly absorptive of all light that strikes their glass surfaces. The PV modules would comply with all industry standard quality testing. The PV modules would be electrically connected to the grounding system of the facility in accordance with local codes and regulations. The final PV module selection would be determined during the </w:t>
      </w:r>
      <w:r>
        <w:t xml:space="preserve">detailed engineering phase. </w:t>
      </w:r>
      <w:r w:rsidRPr="004D795D">
        <w:t>The majority of PV modules are guaranteed a useful life of 35 years in adverse weather conditions.</w:t>
      </w:r>
    </w:p>
    <w:p w:rsidR="00FF1B0D" w:rsidRDefault="00FF1B0D" w:rsidP="00FF1B0D">
      <w:pPr>
        <w:ind w:left="720"/>
        <w:jc w:val="both"/>
      </w:pPr>
    </w:p>
    <w:p w:rsidR="00FF1B0D" w:rsidRDefault="00FF1B0D" w:rsidP="00FF1B0D">
      <w:pPr>
        <w:ind w:left="720"/>
        <w:jc w:val="both"/>
        <w:rPr>
          <w:u w:val="single"/>
        </w:rPr>
      </w:pPr>
      <w:r w:rsidRPr="00052E39">
        <w:rPr>
          <w:u w:val="single"/>
        </w:rPr>
        <w:t>Electrical Collection System</w:t>
      </w:r>
    </w:p>
    <w:p w:rsidR="00FF1B0D" w:rsidRPr="008C56FA" w:rsidRDefault="00FF1B0D" w:rsidP="00FF1B0D">
      <w:pPr>
        <w:ind w:left="720"/>
        <w:jc w:val="both"/>
      </w:pPr>
      <w:r w:rsidRPr="008C56FA">
        <w:t>Electrical collection systems would be installed in conjunction with</w:t>
      </w:r>
      <w:r>
        <w:t xml:space="preserve"> the panel arrays within the Project site, connecting each solar panel to a feeder circuit. Each feeder circuit would be connected to the on-site collector substation. </w:t>
      </w:r>
      <w:r w:rsidRPr="008C56FA">
        <w:t xml:space="preserve"> </w:t>
      </w:r>
    </w:p>
    <w:p w:rsidR="00FF1B0D" w:rsidRPr="005315F9" w:rsidRDefault="00FF1B0D" w:rsidP="00FF1B0D">
      <w:pPr>
        <w:jc w:val="both"/>
        <w:rPr>
          <w:highlight w:val="lightGray"/>
        </w:rPr>
      </w:pPr>
    </w:p>
    <w:p w:rsidR="00FF1B0D" w:rsidRPr="00052E39" w:rsidRDefault="00FF1B0D" w:rsidP="00FF1B0D">
      <w:pPr>
        <w:ind w:left="720"/>
        <w:jc w:val="both"/>
        <w:rPr>
          <w:u w:val="single"/>
        </w:rPr>
      </w:pPr>
      <w:r w:rsidRPr="00052E39">
        <w:rPr>
          <w:u w:val="single"/>
        </w:rPr>
        <w:t>Inverters, Transformers, and Associated Equipment</w:t>
      </w:r>
    </w:p>
    <w:p w:rsidR="00FF1B0D" w:rsidRDefault="00FF1B0D" w:rsidP="00FF1B0D">
      <w:pPr>
        <w:ind w:left="720"/>
        <w:jc w:val="both"/>
        <w:rPr>
          <w:highlight w:val="lightGray"/>
        </w:rPr>
      </w:pPr>
      <w:r w:rsidRPr="00867CD0">
        <w:t xml:space="preserve">Inverters are a key component of solar PV power-generating facilities because they convert the DC generated by the PV module array into AC that is compatible for use with the transmission network. </w:t>
      </w:r>
      <w:r>
        <w:t xml:space="preserve">The inverters within the electrical enclosures would convert the DC power to AC power and medium-voltage transformers would step up the voltage to collection level voltage (34.5 kV). </w:t>
      </w:r>
      <w:r w:rsidRPr="00F46491">
        <w:t xml:space="preserve">The inverters, medium-voltage transformers, and other electrical equipment would be located throughout the </w:t>
      </w:r>
      <w:r>
        <w:t>P</w:t>
      </w:r>
      <w:r w:rsidRPr="00F46491">
        <w:t>roject site</w:t>
      </w:r>
      <w:r>
        <w:t xml:space="preserve"> in 26 enclosures. The inverter skid consists of the inverter, switch gear, and transformer. The skid is then mounted on a set of driven piles with a grounding mat and surrounded by gravel. </w:t>
      </w:r>
    </w:p>
    <w:p w:rsidR="00FF1B0D" w:rsidRDefault="00FF1B0D" w:rsidP="00FF1B0D">
      <w:pPr>
        <w:ind w:left="720"/>
        <w:jc w:val="both"/>
        <w:rPr>
          <w:highlight w:val="lightGray"/>
        </w:rPr>
      </w:pPr>
    </w:p>
    <w:p w:rsidR="00FF1B0D" w:rsidRPr="00052E39" w:rsidRDefault="00FF1B0D" w:rsidP="00FF1B0D">
      <w:pPr>
        <w:ind w:left="720"/>
        <w:jc w:val="both"/>
        <w:rPr>
          <w:u w:val="single"/>
        </w:rPr>
      </w:pPr>
      <w:r w:rsidRPr="00052E39">
        <w:rPr>
          <w:u w:val="single"/>
        </w:rPr>
        <w:t>Collector Substation</w:t>
      </w:r>
    </w:p>
    <w:p w:rsidR="00FF1B0D" w:rsidRDefault="00FF1B0D" w:rsidP="00FF1B0D">
      <w:pPr>
        <w:ind w:left="720"/>
        <w:jc w:val="both"/>
      </w:pPr>
      <w:r w:rsidRPr="00372D5E">
        <w:t xml:space="preserve">The Project </w:t>
      </w:r>
      <w:r>
        <w:t xml:space="preserve">would include a 22,500-square foot </w:t>
      </w:r>
      <w:r w:rsidRPr="00372D5E">
        <w:t xml:space="preserve">on-site collector substation (150-foot by 150-foot) that would be located near the center of the eastern </w:t>
      </w:r>
      <w:r>
        <w:t xml:space="preserve">portion </w:t>
      </w:r>
      <w:r w:rsidRPr="00372D5E">
        <w:t xml:space="preserve">of the </w:t>
      </w:r>
      <w:r>
        <w:t>P</w:t>
      </w:r>
      <w:r w:rsidRPr="00372D5E">
        <w:t xml:space="preserve">roject site. </w:t>
      </w:r>
      <w:r>
        <w:t xml:space="preserve">The purpose of the substation is to collect the power received from the collector lines and convert the voltage from 34.5 kV to 138 kV, as well as to be </w:t>
      </w:r>
      <w:r>
        <w:lastRenderedPageBreak/>
        <w:t xml:space="preserve">able to isolate equipment in the event of an electrical short-circuit, or for maintenance. The major components of the proposed on-site collector substation are as follows: </w:t>
      </w:r>
    </w:p>
    <w:p w:rsidR="00FF1B0D" w:rsidRPr="00565741" w:rsidRDefault="00FF1B0D" w:rsidP="00FF1B0D">
      <w:pPr>
        <w:pStyle w:val="ListParagraph"/>
        <w:numPr>
          <w:ilvl w:val="0"/>
          <w:numId w:val="1"/>
        </w:numPr>
        <w:jc w:val="both"/>
      </w:pPr>
      <w:r w:rsidRPr="00565741">
        <w:t xml:space="preserve">One 34.5 kVA to 138 kVA transformer including secondary containment area per local and state regulations </w:t>
      </w:r>
    </w:p>
    <w:p w:rsidR="00FF1B0D" w:rsidRPr="00565741" w:rsidRDefault="00FF1B0D" w:rsidP="00FF1B0D">
      <w:pPr>
        <w:pStyle w:val="ListParagraph"/>
        <w:numPr>
          <w:ilvl w:val="0"/>
          <w:numId w:val="1"/>
        </w:numPr>
        <w:jc w:val="both"/>
      </w:pPr>
      <w:r w:rsidRPr="00565741">
        <w:t xml:space="preserve">One 138 kV circuit breaker used to protect equipment from an electrical short circuit on the gen-tie. Disconnect switches, wire, cables and aluminum bus work used to connect and isolate the major pieces of equipment. </w:t>
      </w:r>
    </w:p>
    <w:p w:rsidR="00FF1B0D" w:rsidRPr="00565741" w:rsidRDefault="00FF1B0D" w:rsidP="00FF1B0D">
      <w:pPr>
        <w:pStyle w:val="ListParagraph"/>
        <w:numPr>
          <w:ilvl w:val="0"/>
          <w:numId w:val="1"/>
        </w:numPr>
        <w:jc w:val="both"/>
      </w:pPr>
      <w:r w:rsidRPr="00565741">
        <w:t xml:space="preserve">The substation would also include a single 34.5 kV circuit breaker used to protect equipment from an electrical short circuit on the collection system, disconnects and bus work to connect and isolate the collector circuits, relays used to detect short circuits, equipment controls, telemetering equipment used to provide system control and data acquisition, voice communication, and the meters used to measure electrical power generated from the Project. Switching gear and other components would be a maximum of 60 feet in height. </w:t>
      </w:r>
    </w:p>
    <w:p w:rsidR="00FF1B0D" w:rsidRPr="00565741" w:rsidRDefault="00FF1B0D" w:rsidP="00FF1B0D">
      <w:pPr>
        <w:pStyle w:val="ListParagraph"/>
        <w:numPr>
          <w:ilvl w:val="0"/>
          <w:numId w:val="1"/>
        </w:numPr>
        <w:jc w:val="both"/>
      </w:pPr>
      <w:r w:rsidRPr="00565741">
        <w:t>A 138 kV dead-end structure where the power output from each transformer is delivered to the gen-tie line</w:t>
      </w:r>
    </w:p>
    <w:p w:rsidR="00FF1B0D" w:rsidRPr="00052E39" w:rsidRDefault="00FF1B0D" w:rsidP="00FF1B0D">
      <w:pPr>
        <w:pStyle w:val="ListParagraph"/>
        <w:numPr>
          <w:ilvl w:val="0"/>
          <w:numId w:val="1"/>
        </w:numPr>
        <w:jc w:val="both"/>
        <w:rPr>
          <w:sz w:val="20"/>
        </w:rPr>
      </w:pPr>
      <w:r w:rsidRPr="00052E39">
        <w:t>One Control House for the supervisory control and data acquisition (SCADA) system that would be approximately 15 feet in height by 30 feet in length</w:t>
      </w:r>
    </w:p>
    <w:p w:rsidR="00FF1B0D" w:rsidRDefault="00FF1B0D" w:rsidP="00FF1B0D">
      <w:pPr>
        <w:ind w:left="720"/>
        <w:jc w:val="both"/>
      </w:pPr>
    </w:p>
    <w:p w:rsidR="00FF1B0D" w:rsidRPr="00052E39" w:rsidRDefault="00FF1B0D" w:rsidP="00FF1B0D">
      <w:pPr>
        <w:ind w:left="720"/>
        <w:jc w:val="both"/>
        <w:rPr>
          <w:u w:val="single"/>
        </w:rPr>
      </w:pPr>
      <w:r w:rsidRPr="00052E39">
        <w:rPr>
          <w:u w:val="single"/>
        </w:rPr>
        <w:t>Switchyard</w:t>
      </w:r>
    </w:p>
    <w:p w:rsidR="00FF1B0D" w:rsidRPr="00565741" w:rsidRDefault="00FF1B0D" w:rsidP="00FF1B0D">
      <w:pPr>
        <w:ind w:left="720"/>
        <w:jc w:val="both"/>
      </w:pPr>
      <w:r w:rsidRPr="00565741">
        <w:t>The Project</w:t>
      </w:r>
      <w:r w:rsidRPr="00565741" w:rsidDel="00B16864">
        <w:t xml:space="preserve"> </w:t>
      </w:r>
      <w:r w:rsidRPr="00565741">
        <w:t xml:space="preserve">would </w:t>
      </w:r>
      <w:r>
        <w:t xml:space="preserve">include a 138kV switchyard which would be located adjacent to the proposed collector substation within the Project site. The switchyard would be accessible off of Carrizo Gorge Road. The switchyard may include circuit breakers, overhead electric bus work, switches, and controls, and a control building. The entire switchyard would be enclosed by a security fence. To provide for communication, a fiber optic cable would be placed underground to connect the collector substation to the switchyard. A redundant fiber optic cable would also be installed within the Project footprint and the proposed switchyard boundary. The switchyard would be transferred to SDG&amp;E after construction. </w:t>
      </w:r>
    </w:p>
    <w:p w:rsidR="00FF1B0D" w:rsidRDefault="00FF1B0D" w:rsidP="00FF1B0D">
      <w:pPr>
        <w:ind w:left="720"/>
        <w:jc w:val="both"/>
        <w:rPr>
          <w:highlight w:val="lightGray"/>
        </w:rPr>
      </w:pPr>
    </w:p>
    <w:p w:rsidR="00FF1B0D" w:rsidRPr="00052E39" w:rsidRDefault="00FF1B0D" w:rsidP="00FF1B0D">
      <w:pPr>
        <w:keepNext/>
        <w:keepLines/>
        <w:ind w:left="720"/>
        <w:jc w:val="both"/>
        <w:rPr>
          <w:u w:val="single"/>
        </w:rPr>
      </w:pPr>
      <w:r w:rsidRPr="00052E39">
        <w:rPr>
          <w:u w:val="single"/>
        </w:rPr>
        <w:t>Energy Storage System</w:t>
      </w:r>
    </w:p>
    <w:p w:rsidR="00FF1B0D" w:rsidRPr="005315F9" w:rsidRDefault="00FF1B0D" w:rsidP="00FF1B0D">
      <w:pPr>
        <w:ind w:left="720"/>
        <w:jc w:val="both"/>
        <w:rPr>
          <w:highlight w:val="lightGray"/>
        </w:rPr>
      </w:pPr>
      <w:r>
        <w:t>A battery storage system is proposed which would consist of approximately 47 inverters in 26 enclosures located throughout the solar facility. The enclosures would be similar to storage containers and would be approximately 45 feet long by approximately 9 feet in height, and approximately eight feet wide. Each enclosure would include an air conditioning unit for cooling purposes and a self-extinguishing fire sy</w:t>
      </w:r>
      <w:bookmarkStart w:id="0" w:name="_GoBack"/>
      <w:bookmarkEnd w:id="0"/>
      <w:r>
        <w:t xml:space="preserve">stem. </w:t>
      </w:r>
    </w:p>
    <w:p w:rsidR="00FF1B0D" w:rsidRDefault="00FF1B0D" w:rsidP="00FF1B0D">
      <w:pPr>
        <w:keepNext/>
        <w:keepLines/>
        <w:ind w:left="720"/>
        <w:jc w:val="both"/>
      </w:pPr>
    </w:p>
    <w:p w:rsidR="00FF1B0D" w:rsidRPr="008D67EF" w:rsidRDefault="00FF1B0D" w:rsidP="00FF1B0D">
      <w:pPr>
        <w:keepNext/>
        <w:keepLines/>
        <w:ind w:left="720"/>
        <w:jc w:val="both"/>
        <w:rPr>
          <w:u w:val="single"/>
        </w:rPr>
      </w:pPr>
      <w:r w:rsidRPr="008D67EF">
        <w:rPr>
          <w:u w:val="single"/>
        </w:rPr>
        <w:t>Connector Line</w:t>
      </w:r>
    </w:p>
    <w:p w:rsidR="00FF1B0D" w:rsidRDefault="00FF1B0D" w:rsidP="00FF1B0D">
      <w:pPr>
        <w:keepNext/>
        <w:keepLines/>
        <w:ind w:left="720"/>
        <w:jc w:val="both"/>
      </w:pPr>
      <w:r>
        <w:t xml:space="preserve">The Project would interconnect to an existing 138 kV overhead transmission line. The length of the interconnecting, or gen-tie, line would be approximately 1,500 feet. </w:t>
      </w:r>
    </w:p>
    <w:p w:rsidR="00FF1B0D" w:rsidRDefault="00FF1B0D" w:rsidP="00FF1B0D">
      <w:pPr>
        <w:keepNext/>
        <w:keepLines/>
        <w:jc w:val="both"/>
      </w:pPr>
    </w:p>
    <w:p w:rsidR="00FF1B0D" w:rsidRPr="00052E39" w:rsidRDefault="00FF1B0D" w:rsidP="00FF1B0D">
      <w:pPr>
        <w:keepNext/>
        <w:keepLines/>
        <w:ind w:left="720"/>
        <w:jc w:val="both"/>
        <w:rPr>
          <w:u w:val="single"/>
        </w:rPr>
      </w:pPr>
      <w:r w:rsidRPr="00052E39">
        <w:rPr>
          <w:u w:val="single"/>
        </w:rPr>
        <w:t>Control System</w:t>
      </w:r>
    </w:p>
    <w:p w:rsidR="00FF1B0D" w:rsidRDefault="00FF1B0D" w:rsidP="00FF1B0D">
      <w:pPr>
        <w:keepNext/>
        <w:keepLines/>
        <w:ind w:left="720"/>
        <w:jc w:val="both"/>
      </w:pPr>
      <w:r>
        <w:t xml:space="preserve">Operation of the solar facility would require monitoring through a SCADA system, which be located within a Control House in the collector substation yard. The SCADA system would be used to provide critical operation information (e.g., power production, equipment status and alarms, and meteorological information). The SCADA system would be monitored remotely and no on-site operations personnel would be necessary. </w:t>
      </w:r>
    </w:p>
    <w:p w:rsidR="00FF1B0D" w:rsidRDefault="00FF1B0D" w:rsidP="00FF1B0D">
      <w:pPr>
        <w:keepNext/>
        <w:keepLines/>
        <w:jc w:val="both"/>
      </w:pPr>
    </w:p>
    <w:p w:rsidR="00FF1B0D" w:rsidRDefault="00FF1B0D" w:rsidP="00FF1B0D">
      <w:pPr>
        <w:keepNext/>
        <w:keepLines/>
        <w:ind w:left="720"/>
        <w:jc w:val="both"/>
        <w:rPr>
          <w:u w:val="single"/>
        </w:rPr>
      </w:pPr>
      <w:r>
        <w:rPr>
          <w:u w:val="single"/>
        </w:rPr>
        <w:t xml:space="preserve">Roads </w:t>
      </w:r>
    </w:p>
    <w:p w:rsidR="00FF1B0D" w:rsidRDefault="00FF1B0D" w:rsidP="00FF1B0D">
      <w:pPr>
        <w:keepNext/>
        <w:keepLines/>
        <w:ind w:left="720"/>
        <w:jc w:val="both"/>
        <w:rPr>
          <w:u w:val="single"/>
        </w:rPr>
      </w:pPr>
      <w:r>
        <w:t xml:space="preserve">The primary access driveway would be approximately 35 feet wide and would provide access off of Old Highway 80. The secondary access would be off of Carrizo Gorge Road. The Project would include dual purposed fire access roads and service roads within the Project site. All road surfaces would have a permeable nontoxic soil binding agent in order to reduce fugitive dust and erosion. The interior site roads would be constructed to a minimum width of approximately 20 feet improved width. The roads would be graded and maintained to support the imposed loads of fire apparatus (50,000 pounds) and would be designed and maintained to provide all-weather driving capabilities. </w:t>
      </w:r>
    </w:p>
    <w:p w:rsidR="00FF1B0D" w:rsidRDefault="00FF1B0D" w:rsidP="00FF1B0D">
      <w:pPr>
        <w:keepNext/>
        <w:keepLines/>
        <w:ind w:left="720"/>
        <w:jc w:val="both"/>
        <w:rPr>
          <w:u w:val="single"/>
        </w:rPr>
      </w:pPr>
    </w:p>
    <w:p w:rsidR="00FF1B0D" w:rsidRPr="006A6C9A" w:rsidRDefault="00FF1B0D" w:rsidP="00FF1B0D">
      <w:pPr>
        <w:keepNext/>
        <w:keepLines/>
        <w:ind w:left="720"/>
        <w:jc w:val="both"/>
        <w:rPr>
          <w:u w:val="single"/>
        </w:rPr>
      </w:pPr>
      <w:r>
        <w:rPr>
          <w:u w:val="single"/>
        </w:rPr>
        <w:t xml:space="preserve">Security Fencing </w:t>
      </w:r>
    </w:p>
    <w:p w:rsidR="00FF1B0D" w:rsidRDefault="00FF1B0D" w:rsidP="00FF1B0D">
      <w:pPr>
        <w:keepNext/>
        <w:keepLines/>
        <w:ind w:left="720"/>
        <w:jc w:val="both"/>
      </w:pPr>
      <w:r w:rsidRPr="002C5560">
        <w:t xml:space="preserve">The </w:t>
      </w:r>
      <w:r>
        <w:t xml:space="preserve">solar facility </w:t>
      </w:r>
      <w:r w:rsidRPr="002C5560">
        <w:t>would be fenced along the entire facility boundary for security with 7-foot high fencing that meets National Electrical Safety Code (NESC) requirements for protective arrangements in electric supply stations.</w:t>
      </w:r>
      <w:r>
        <w:t xml:space="preserve"> Fencing would be a 6-foot-high chain link perimeter fence and 1 one foot of three strands of barbed wire. Additionally, an access-controlled gate would be installed at the collector substation driveway. </w:t>
      </w:r>
    </w:p>
    <w:p w:rsidR="00FF1B0D" w:rsidRDefault="00FF1B0D" w:rsidP="00FF1B0D">
      <w:pPr>
        <w:keepNext/>
        <w:keepLines/>
        <w:ind w:left="720"/>
        <w:jc w:val="both"/>
      </w:pPr>
    </w:p>
    <w:p w:rsidR="00FF1B0D" w:rsidRDefault="00FF1B0D" w:rsidP="00FF1B0D">
      <w:pPr>
        <w:keepNext/>
        <w:keepLines/>
        <w:ind w:left="720"/>
        <w:jc w:val="both"/>
        <w:rPr>
          <w:u w:val="single"/>
        </w:rPr>
      </w:pPr>
      <w:r w:rsidRPr="00052E39">
        <w:rPr>
          <w:u w:val="single"/>
        </w:rPr>
        <w:t>Lighting</w:t>
      </w:r>
    </w:p>
    <w:p w:rsidR="00FF1B0D" w:rsidRPr="00052E39" w:rsidRDefault="00FF1B0D" w:rsidP="00FF1B0D">
      <w:pPr>
        <w:keepNext/>
        <w:keepLines/>
        <w:ind w:left="720"/>
        <w:jc w:val="both"/>
      </w:pPr>
      <w:r w:rsidRPr="00052E39">
        <w:t xml:space="preserve">Lighting would be designed to provide security lighting and general nighttime lighting for operation and maintenance personnel, as may be required from time to time. Lighting would be shielded and directed downward to minimize any effects to the surrounding area and would be used on as-needed basis only. Lighting would be provided at the entrance gates and the at the collector substation. </w:t>
      </w:r>
    </w:p>
    <w:p w:rsidR="00FF1B0D" w:rsidRPr="005315F9" w:rsidRDefault="00FF1B0D" w:rsidP="00FF1B0D">
      <w:pPr>
        <w:autoSpaceDE w:val="0"/>
        <w:autoSpaceDN w:val="0"/>
        <w:adjustRightInd w:val="0"/>
        <w:ind w:left="720"/>
        <w:jc w:val="both"/>
        <w:rPr>
          <w:rFonts w:cs="Arial"/>
          <w:szCs w:val="24"/>
          <w:highlight w:val="lightGray"/>
        </w:rPr>
      </w:pPr>
    </w:p>
    <w:p w:rsidR="00FF1B0D" w:rsidRPr="008D67EF" w:rsidRDefault="00FF1B0D" w:rsidP="00FF1B0D">
      <w:pPr>
        <w:autoSpaceDE w:val="0"/>
        <w:autoSpaceDN w:val="0"/>
        <w:adjustRightInd w:val="0"/>
        <w:ind w:left="720"/>
        <w:jc w:val="both"/>
        <w:rPr>
          <w:rFonts w:cs="Arial"/>
          <w:szCs w:val="24"/>
        </w:rPr>
      </w:pPr>
      <w:r w:rsidRPr="008D67EF">
        <w:rPr>
          <w:rFonts w:cs="Arial"/>
          <w:szCs w:val="24"/>
          <w:u w:val="single"/>
        </w:rPr>
        <w:t>Construction</w:t>
      </w:r>
      <w:r w:rsidRPr="008D67EF">
        <w:rPr>
          <w:rFonts w:cs="Arial"/>
          <w:szCs w:val="24"/>
        </w:rPr>
        <w:t xml:space="preserve"> </w:t>
      </w:r>
    </w:p>
    <w:p w:rsidR="00FF1B0D" w:rsidRDefault="00FF1B0D" w:rsidP="00FF1B0D">
      <w:pPr>
        <w:autoSpaceDE w:val="0"/>
        <w:autoSpaceDN w:val="0"/>
        <w:adjustRightInd w:val="0"/>
        <w:ind w:left="720"/>
        <w:jc w:val="both"/>
        <w:rPr>
          <w:rFonts w:cs="Arial"/>
          <w:szCs w:val="24"/>
        </w:rPr>
      </w:pPr>
      <w:r>
        <w:rPr>
          <w:rFonts w:cs="Arial"/>
          <w:szCs w:val="24"/>
        </w:rPr>
        <w:t>Construction of the Project is anticipated to last approximately 12months. Project construction would involve the following tasks:</w:t>
      </w:r>
    </w:p>
    <w:p w:rsidR="00FF1B0D" w:rsidRDefault="00FF1B0D" w:rsidP="00FF1B0D">
      <w:pPr>
        <w:pStyle w:val="ListParagraph"/>
        <w:numPr>
          <w:ilvl w:val="0"/>
          <w:numId w:val="2"/>
        </w:numPr>
        <w:autoSpaceDE w:val="0"/>
        <w:autoSpaceDN w:val="0"/>
        <w:adjustRightInd w:val="0"/>
        <w:jc w:val="both"/>
        <w:rPr>
          <w:rFonts w:cs="Arial"/>
          <w:szCs w:val="24"/>
        </w:rPr>
      </w:pPr>
      <w:r>
        <w:rPr>
          <w:rFonts w:cs="Arial"/>
          <w:szCs w:val="24"/>
        </w:rPr>
        <w:t>Clearing, grubbing and grading of Project site</w:t>
      </w:r>
    </w:p>
    <w:p w:rsidR="00FF1B0D" w:rsidRDefault="00FF1B0D" w:rsidP="00FF1B0D">
      <w:pPr>
        <w:pStyle w:val="ListParagraph"/>
        <w:numPr>
          <w:ilvl w:val="0"/>
          <w:numId w:val="2"/>
        </w:numPr>
        <w:autoSpaceDE w:val="0"/>
        <w:autoSpaceDN w:val="0"/>
        <w:adjustRightInd w:val="0"/>
        <w:jc w:val="both"/>
        <w:rPr>
          <w:rFonts w:cs="Arial"/>
          <w:szCs w:val="24"/>
        </w:rPr>
      </w:pPr>
      <w:r>
        <w:rPr>
          <w:rFonts w:cs="Arial"/>
          <w:szCs w:val="24"/>
        </w:rPr>
        <w:t>Development of staging areas and site access roads</w:t>
      </w:r>
    </w:p>
    <w:p w:rsidR="00FF1B0D" w:rsidRDefault="00FF1B0D" w:rsidP="00FF1B0D">
      <w:pPr>
        <w:pStyle w:val="ListParagraph"/>
        <w:numPr>
          <w:ilvl w:val="0"/>
          <w:numId w:val="2"/>
        </w:numPr>
        <w:autoSpaceDE w:val="0"/>
        <w:autoSpaceDN w:val="0"/>
        <w:adjustRightInd w:val="0"/>
        <w:jc w:val="both"/>
        <w:rPr>
          <w:rFonts w:cs="Arial"/>
          <w:szCs w:val="24"/>
        </w:rPr>
      </w:pPr>
      <w:r>
        <w:rPr>
          <w:rFonts w:cs="Arial"/>
          <w:szCs w:val="24"/>
        </w:rPr>
        <w:t xml:space="preserve">Trenching and installation of the DC and AC collection system </w:t>
      </w:r>
    </w:p>
    <w:p w:rsidR="00FF1B0D" w:rsidRDefault="00FF1B0D" w:rsidP="00FF1B0D">
      <w:pPr>
        <w:pStyle w:val="ListParagraph"/>
        <w:numPr>
          <w:ilvl w:val="0"/>
          <w:numId w:val="2"/>
        </w:numPr>
        <w:autoSpaceDE w:val="0"/>
        <w:autoSpaceDN w:val="0"/>
        <w:adjustRightInd w:val="0"/>
        <w:jc w:val="both"/>
        <w:rPr>
          <w:rFonts w:cs="Arial"/>
          <w:szCs w:val="24"/>
        </w:rPr>
      </w:pPr>
      <w:r>
        <w:rPr>
          <w:rFonts w:cs="Arial"/>
          <w:szCs w:val="24"/>
        </w:rPr>
        <w:lastRenderedPageBreak/>
        <w:t>Installation of PV systems, including assembly of fixed-tilt racks, pile driving of support racks, and placement of PV modules</w:t>
      </w:r>
    </w:p>
    <w:p w:rsidR="00FF1B0D" w:rsidRDefault="00FF1B0D" w:rsidP="00FF1B0D">
      <w:pPr>
        <w:pStyle w:val="ListParagraph"/>
        <w:numPr>
          <w:ilvl w:val="0"/>
          <w:numId w:val="2"/>
        </w:numPr>
        <w:autoSpaceDE w:val="0"/>
        <w:autoSpaceDN w:val="0"/>
        <w:adjustRightInd w:val="0"/>
        <w:jc w:val="both"/>
        <w:rPr>
          <w:rFonts w:cs="Arial"/>
          <w:szCs w:val="24"/>
        </w:rPr>
      </w:pPr>
      <w:r>
        <w:rPr>
          <w:rFonts w:cs="Arial"/>
          <w:szCs w:val="24"/>
        </w:rPr>
        <w:t>Construction of on-site collector substation</w:t>
      </w:r>
    </w:p>
    <w:p w:rsidR="00FF1B0D" w:rsidRDefault="00FF1B0D" w:rsidP="00FF1B0D">
      <w:pPr>
        <w:pStyle w:val="ListParagraph"/>
        <w:numPr>
          <w:ilvl w:val="0"/>
          <w:numId w:val="2"/>
        </w:numPr>
        <w:autoSpaceDE w:val="0"/>
        <w:autoSpaceDN w:val="0"/>
        <w:adjustRightInd w:val="0"/>
        <w:jc w:val="both"/>
        <w:rPr>
          <w:rFonts w:cs="Arial"/>
          <w:szCs w:val="24"/>
        </w:rPr>
      </w:pPr>
      <w:r>
        <w:rPr>
          <w:rFonts w:cs="Arial"/>
          <w:szCs w:val="24"/>
        </w:rPr>
        <w:t>Construction of switchyard</w:t>
      </w:r>
    </w:p>
    <w:p w:rsidR="00FF1B0D" w:rsidRDefault="00FF1B0D" w:rsidP="00FF1B0D">
      <w:pPr>
        <w:pStyle w:val="ListParagraph"/>
        <w:numPr>
          <w:ilvl w:val="0"/>
          <w:numId w:val="2"/>
        </w:numPr>
        <w:autoSpaceDE w:val="0"/>
        <w:autoSpaceDN w:val="0"/>
        <w:adjustRightInd w:val="0"/>
        <w:jc w:val="both"/>
        <w:rPr>
          <w:rFonts w:cs="Arial"/>
          <w:szCs w:val="24"/>
        </w:rPr>
      </w:pPr>
      <w:r>
        <w:rPr>
          <w:rFonts w:cs="Arial"/>
          <w:szCs w:val="24"/>
        </w:rPr>
        <w:t>Installation of battery energy storage system</w:t>
      </w:r>
    </w:p>
    <w:p w:rsidR="00FF1B0D" w:rsidRDefault="00FF1B0D" w:rsidP="00FF1B0D">
      <w:pPr>
        <w:pStyle w:val="ListParagraph"/>
        <w:numPr>
          <w:ilvl w:val="0"/>
          <w:numId w:val="2"/>
        </w:numPr>
        <w:autoSpaceDE w:val="0"/>
        <w:autoSpaceDN w:val="0"/>
        <w:adjustRightInd w:val="0"/>
        <w:jc w:val="both"/>
        <w:rPr>
          <w:rFonts w:cs="Arial"/>
          <w:szCs w:val="24"/>
        </w:rPr>
      </w:pPr>
      <w:r>
        <w:rPr>
          <w:rFonts w:cs="Arial"/>
          <w:szCs w:val="24"/>
        </w:rPr>
        <w:t>Installation of gen-tie transmission line</w:t>
      </w:r>
    </w:p>
    <w:p w:rsidR="00FF1B0D" w:rsidRDefault="00FF1B0D" w:rsidP="00FF1B0D">
      <w:pPr>
        <w:pStyle w:val="ListParagraph"/>
        <w:numPr>
          <w:ilvl w:val="0"/>
          <w:numId w:val="2"/>
        </w:numPr>
        <w:autoSpaceDE w:val="0"/>
        <w:autoSpaceDN w:val="0"/>
        <w:adjustRightInd w:val="0"/>
        <w:jc w:val="both"/>
        <w:rPr>
          <w:rFonts w:cs="Arial"/>
          <w:szCs w:val="24"/>
        </w:rPr>
      </w:pPr>
      <w:r>
        <w:rPr>
          <w:rFonts w:cs="Arial"/>
          <w:szCs w:val="24"/>
        </w:rPr>
        <w:t>Installation of permanent security fencing</w:t>
      </w:r>
    </w:p>
    <w:p w:rsidR="00FF1B0D" w:rsidRDefault="00FF1B0D" w:rsidP="00FF1B0D">
      <w:pPr>
        <w:pStyle w:val="ListParagraph"/>
        <w:numPr>
          <w:ilvl w:val="0"/>
          <w:numId w:val="2"/>
        </w:numPr>
        <w:autoSpaceDE w:val="0"/>
        <w:autoSpaceDN w:val="0"/>
        <w:adjustRightInd w:val="0"/>
        <w:jc w:val="both"/>
        <w:rPr>
          <w:rFonts w:cs="Arial"/>
          <w:szCs w:val="24"/>
        </w:rPr>
      </w:pPr>
      <w:r>
        <w:rPr>
          <w:rFonts w:cs="Arial"/>
          <w:szCs w:val="24"/>
        </w:rPr>
        <w:t xml:space="preserve">Soil stabilization and landscaping  </w:t>
      </w:r>
    </w:p>
    <w:p w:rsidR="00FF1B0D" w:rsidRDefault="00FF1B0D" w:rsidP="00FF1B0D">
      <w:pPr>
        <w:pStyle w:val="ListParagraph"/>
        <w:autoSpaceDE w:val="0"/>
        <w:autoSpaceDN w:val="0"/>
        <w:adjustRightInd w:val="0"/>
        <w:ind w:left="1440"/>
        <w:jc w:val="both"/>
        <w:rPr>
          <w:rFonts w:cs="Arial"/>
          <w:szCs w:val="24"/>
        </w:rPr>
      </w:pPr>
    </w:p>
    <w:p w:rsidR="00FF1B0D" w:rsidRDefault="00FF1B0D" w:rsidP="00FF1B0D">
      <w:pPr>
        <w:autoSpaceDE w:val="0"/>
        <w:autoSpaceDN w:val="0"/>
        <w:adjustRightInd w:val="0"/>
        <w:ind w:left="720"/>
        <w:jc w:val="both"/>
        <w:rPr>
          <w:rFonts w:cs="Arial"/>
          <w:szCs w:val="24"/>
        </w:rPr>
      </w:pPr>
      <w:r>
        <w:rPr>
          <w:rFonts w:cs="Arial"/>
          <w:szCs w:val="24"/>
        </w:rPr>
        <w:t xml:space="preserve">The number of construction workers on site during construction would vary over the construction period. The number of workers on site is expected to average approximately 200 each day. </w:t>
      </w:r>
    </w:p>
    <w:p w:rsidR="00FF1B0D" w:rsidRDefault="00FF1B0D" w:rsidP="00FF1B0D">
      <w:pPr>
        <w:autoSpaceDE w:val="0"/>
        <w:autoSpaceDN w:val="0"/>
        <w:adjustRightInd w:val="0"/>
        <w:ind w:left="720"/>
        <w:jc w:val="both"/>
        <w:rPr>
          <w:rFonts w:cs="Arial"/>
          <w:szCs w:val="24"/>
        </w:rPr>
      </w:pPr>
    </w:p>
    <w:p w:rsidR="00FF1B0D" w:rsidRDefault="00FF1B0D" w:rsidP="00FF1B0D">
      <w:pPr>
        <w:autoSpaceDE w:val="0"/>
        <w:autoSpaceDN w:val="0"/>
        <w:adjustRightInd w:val="0"/>
        <w:ind w:left="720"/>
        <w:jc w:val="both"/>
        <w:rPr>
          <w:rFonts w:cs="Arial"/>
          <w:szCs w:val="24"/>
        </w:rPr>
      </w:pPr>
      <w:r>
        <w:rPr>
          <w:rFonts w:cs="Arial"/>
          <w:szCs w:val="24"/>
        </w:rPr>
        <w:t>Water would be required during the construction phase of the Project. During construction, water would be used for road construction, dust suppression, concrete mixing for foundations, and fire protection.</w:t>
      </w:r>
    </w:p>
    <w:p w:rsidR="00FF1B0D" w:rsidRPr="005315F9" w:rsidRDefault="00FF1B0D" w:rsidP="00FF1B0D">
      <w:pPr>
        <w:autoSpaceDE w:val="0"/>
        <w:autoSpaceDN w:val="0"/>
        <w:adjustRightInd w:val="0"/>
        <w:jc w:val="both"/>
        <w:rPr>
          <w:rFonts w:cs="Arial"/>
          <w:szCs w:val="24"/>
          <w:highlight w:val="lightGray"/>
        </w:rPr>
      </w:pPr>
    </w:p>
    <w:p w:rsidR="00FF1B0D" w:rsidRDefault="00FF1B0D" w:rsidP="00FF1B0D">
      <w:pPr>
        <w:autoSpaceDE w:val="0"/>
        <w:autoSpaceDN w:val="0"/>
        <w:adjustRightInd w:val="0"/>
        <w:ind w:left="720"/>
        <w:jc w:val="both"/>
        <w:rPr>
          <w:rFonts w:cs="Arial"/>
          <w:szCs w:val="24"/>
        </w:rPr>
      </w:pPr>
      <w:r w:rsidRPr="00AE19BA">
        <w:rPr>
          <w:rFonts w:cs="Arial"/>
          <w:szCs w:val="24"/>
          <w:u w:val="single"/>
        </w:rPr>
        <w:t>Operation</w:t>
      </w:r>
      <w:r w:rsidRPr="00052E39">
        <w:rPr>
          <w:rFonts w:cs="Arial"/>
          <w:szCs w:val="24"/>
          <w:u w:val="single"/>
        </w:rPr>
        <w:t xml:space="preserve"> and Maintenance</w:t>
      </w:r>
      <w:r w:rsidRPr="00DD3F48">
        <w:rPr>
          <w:rFonts w:cs="Arial"/>
          <w:szCs w:val="24"/>
        </w:rPr>
        <w:t xml:space="preserve"> </w:t>
      </w:r>
    </w:p>
    <w:p w:rsidR="00FF1B0D" w:rsidRPr="005315F9" w:rsidRDefault="00FF1B0D" w:rsidP="00FF1B0D">
      <w:pPr>
        <w:autoSpaceDE w:val="0"/>
        <w:autoSpaceDN w:val="0"/>
        <w:adjustRightInd w:val="0"/>
        <w:ind w:left="720"/>
        <w:jc w:val="both"/>
        <w:rPr>
          <w:rFonts w:cs="Arial"/>
          <w:szCs w:val="24"/>
          <w:highlight w:val="lightGray"/>
        </w:rPr>
      </w:pPr>
      <w:r w:rsidRPr="00DD3F48">
        <w:rPr>
          <w:rFonts w:cs="Arial"/>
          <w:szCs w:val="24"/>
        </w:rPr>
        <w:t>The Project would be an unmanned facility th</w:t>
      </w:r>
      <w:r>
        <w:rPr>
          <w:rFonts w:cs="Arial"/>
          <w:szCs w:val="24"/>
        </w:rPr>
        <w:t xml:space="preserve">at would be monitored remotely. </w:t>
      </w:r>
      <w:r w:rsidRPr="00DD3F48">
        <w:rPr>
          <w:rFonts w:cs="Arial"/>
          <w:szCs w:val="24"/>
        </w:rPr>
        <w:t xml:space="preserve">The site would be secured 24 hours per day by remote security services with motion-detection cameras. </w:t>
      </w:r>
      <w:r>
        <w:rPr>
          <w:rFonts w:cs="Arial"/>
          <w:szCs w:val="24"/>
        </w:rPr>
        <w:t>O</w:t>
      </w:r>
      <w:r w:rsidRPr="00DD3F48">
        <w:rPr>
          <w:rFonts w:cs="Arial"/>
          <w:szCs w:val="24"/>
        </w:rPr>
        <w:t>peration</w:t>
      </w:r>
      <w:r>
        <w:rPr>
          <w:rFonts w:cs="Arial"/>
          <w:szCs w:val="24"/>
        </w:rPr>
        <w:t>al</w:t>
      </w:r>
      <w:r w:rsidRPr="00DD3F48">
        <w:rPr>
          <w:rFonts w:cs="Arial"/>
          <w:szCs w:val="24"/>
        </w:rPr>
        <w:t xml:space="preserve"> </w:t>
      </w:r>
      <w:r>
        <w:rPr>
          <w:rFonts w:cs="Arial"/>
          <w:szCs w:val="24"/>
        </w:rPr>
        <w:t xml:space="preserve">and maintenance </w:t>
      </w:r>
      <w:r w:rsidRPr="00DD3F48">
        <w:rPr>
          <w:rFonts w:cs="Arial"/>
          <w:szCs w:val="24"/>
        </w:rPr>
        <w:t>activities would include the following: (1) routine inspection of overhead components and underground portions of cable systems</w:t>
      </w:r>
      <w:r>
        <w:rPr>
          <w:rFonts w:cs="Arial"/>
          <w:szCs w:val="24"/>
        </w:rPr>
        <w:t>, and repair as needed</w:t>
      </w:r>
      <w:r w:rsidRPr="00DD3F48">
        <w:rPr>
          <w:rFonts w:cs="Arial"/>
          <w:szCs w:val="24"/>
        </w:rPr>
        <w:t>; (2) routine maintenance including, but not limited to, PV panel washing</w:t>
      </w:r>
      <w:r>
        <w:rPr>
          <w:rFonts w:cs="Arial"/>
          <w:szCs w:val="24"/>
        </w:rPr>
        <w:t xml:space="preserve"> (approximately twice a year, as needed)</w:t>
      </w:r>
      <w:r w:rsidRPr="00DD3F48">
        <w:rPr>
          <w:rFonts w:cs="Arial"/>
          <w:szCs w:val="24"/>
        </w:rPr>
        <w:t xml:space="preserve">, equipment testing, monitoring, and repair; routine procedures to ensure service continuity; and standard preventative maintenance; (3) </w:t>
      </w:r>
      <w:r>
        <w:rPr>
          <w:rFonts w:cs="Arial"/>
          <w:szCs w:val="24"/>
        </w:rPr>
        <w:t xml:space="preserve">periodic switching and other operational activities at the collector substation; and (4) </w:t>
      </w:r>
      <w:r w:rsidRPr="00DD3F48">
        <w:rPr>
          <w:rFonts w:cs="Arial"/>
          <w:szCs w:val="24"/>
        </w:rPr>
        <w:t>maintenance and repair of transmission facilities</w:t>
      </w:r>
      <w:r>
        <w:rPr>
          <w:rFonts w:cs="Arial"/>
          <w:szCs w:val="24"/>
        </w:rPr>
        <w:t>.</w:t>
      </w:r>
      <w:r w:rsidRPr="00DD3F48">
        <w:rPr>
          <w:rFonts w:cs="Arial"/>
          <w:szCs w:val="24"/>
        </w:rPr>
        <w:t xml:space="preserve">  </w:t>
      </w:r>
    </w:p>
    <w:p w:rsidR="00FF1B0D" w:rsidRDefault="00FF1B0D" w:rsidP="00FF1B0D">
      <w:pPr>
        <w:autoSpaceDE w:val="0"/>
        <w:autoSpaceDN w:val="0"/>
        <w:adjustRightInd w:val="0"/>
        <w:jc w:val="both"/>
        <w:rPr>
          <w:rFonts w:cs="Arial"/>
          <w:szCs w:val="24"/>
        </w:rPr>
      </w:pPr>
    </w:p>
    <w:p w:rsidR="00FF1B0D" w:rsidRPr="00052E39" w:rsidRDefault="00FF1B0D" w:rsidP="00FF1B0D">
      <w:pPr>
        <w:autoSpaceDE w:val="0"/>
        <w:autoSpaceDN w:val="0"/>
        <w:adjustRightInd w:val="0"/>
        <w:ind w:left="720"/>
        <w:jc w:val="both"/>
        <w:rPr>
          <w:rFonts w:cs="Arial"/>
          <w:szCs w:val="24"/>
          <w:u w:val="single"/>
        </w:rPr>
      </w:pPr>
      <w:r w:rsidRPr="00052E39">
        <w:rPr>
          <w:rFonts w:cs="Arial"/>
          <w:szCs w:val="24"/>
          <w:u w:val="single"/>
        </w:rPr>
        <w:t>Facility Decommissioning</w:t>
      </w:r>
    </w:p>
    <w:p w:rsidR="00FF1B0D" w:rsidRDefault="00FF1B0D" w:rsidP="00FF1B0D">
      <w:pPr>
        <w:autoSpaceDE w:val="0"/>
        <w:autoSpaceDN w:val="0"/>
        <w:adjustRightInd w:val="0"/>
        <w:ind w:left="720"/>
        <w:jc w:val="both"/>
        <w:rPr>
          <w:rFonts w:cs="Arial"/>
          <w:szCs w:val="24"/>
        </w:rPr>
      </w:pPr>
      <w:r w:rsidRPr="008D4E7A">
        <w:rPr>
          <w:rFonts w:cs="Arial"/>
          <w:szCs w:val="24"/>
        </w:rPr>
        <w:t xml:space="preserve">The </w:t>
      </w:r>
      <w:r>
        <w:rPr>
          <w:rFonts w:cs="Arial"/>
          <w:szCs w:val="24"/>
        </w:rPr>
        <w:t>Project</w:t>
      </w:r>
      <w:r w:rsidRPr="008D4E7A">
        <w:rPr>
          <w:rFonts w:cs="Arial"/>
          <w:szCs w:val="24"/>
        </w:rPr>
        <w:t xml:space="preserve"> would operate, at a minimum, for the life of a long-term Power Purchase Agreement (PPA). The initial term of the PPA for the solar facilities is anticipated to be 20 years, with additional terms possible. The lifespan of the solar facility equipment is estimated to be 35 years. Due to the establishment of the Project infrastructure (both physical and contractual), the continued operation of JVR Energy Park beyond the initial PPA term is very likely. </w:t>
      </w:r>
    </w:p>
    <w:p w:rsidR="00FF1B0D" w:rsidRDefault="00FF1B0D" w:rsidP="00FF1B0D">
      <w:pPr>
        <w:autoSpaceDE w:val="0"/>
        <w:autoSpaceDN w:val="0"/>
        <w:adjustRightInd w:val="0"/>
        <w:ind w:left="720"/>
        <w:jc w:val="both"/>
        <w:rPr>
          <w:rFonts w:cs="Arial"/>
          <w:szCs w:val="24"/>
        </w:rPr>
      </w:pPr>
    </w:p>
    <w:p w:rsidR="00FF1B0D" w:rsidRDefault="00FF1B0D" w:rsidP="00FF1B0D">
      <w:pPr>
        <w:autoSpaceDE w:val="0"/>
        <w:autoSpaceDN w:val="0"/>
        <w:adjustRightInd w:val="0"/>
        <w:ind w:left="720"/>
        <w:jc w:val="both"/>
        <w:rPr>
          <w:rFonts w:cs="Arial"/>
          <w:szCs w:val="24"/>
        </w:rPr>
      </w:pPr>
      <w:r w:rsidRPr="008D4E7A">
        <w:rPr>
          <w:rFonts w:cs="Arial"/>
          <w:szCs w:val="24"/>
        </w:rPr>
        <w:t>At the end of the useful project life, decommissioning would commence</w:t>
      </w:r>
      <w:r>
        <w:rPr>
          <w:rFonts w:cs="Arial"/>
          <w:szCs w:val="24"/>
        </w:rPr>
        <w:t xml:space="preserve">. A Decommissioning Plan would be developed in compliance with the standards and requirements for closing a site at the time decommissioning occurs. </w:t>
      </w:r>
    </w:p>
    <w:p w:rsidR="00FF1B0D" w:rsidRDefault="00FF1B0D" w:rsidP="00FF1B0D">
      <w:pPr>
        <w:autoSpaceDE w:val="0"/>
        <w:autoSpaceDN w:val="0"/>
        <w:adjustRightInd w:val="0"/>
        <w:ind w:left="720"/>
        <w:jc w:val="both"/>
        <w:rPr>
          <w:rFonts w:cs="Arial"/>
          <w:szCs w:val="24"/>
        </w:rPr>
      </w:pPr>
    </w:p>
    <w:p w:rsidR="00FF1B0D" w:rsidRPr="008D4E7A" w:rsidRDefault="00FF1B0D" w:rsidP="00FF1B0D">
      <w:pPr>
        <w:autoSpaceDE w:val="0"/>
        <w:autoSpaceDN w:val="0"/>
        <w:adjustRightInd w:val="0"/>
        <w:ind w:left="720"/>
        <w:jc w:val="both"/>
        <w:rPr>
          <w:rFonts w:cs="Arial"/>
          <w:szCs w:val="24"/>
        </w:rPr>
      </w:pPr>
      <w:r>
        <w:rPr>
          <w:rFonts w:cs="Arial"/>
          <w:szCs w:val="24"/>
        </w:rPr>
        <w:t xml:space="preserve">When the facility is decommissioned, </w:t>
      </w:r>
      <w:r w:rsidRPr="008D4E7A">
        <w:rPr>
          <w:rFonts w:cs="Arial"/>
          <w:szCs w:val="24"/>
        </w:rPr>
        <w:t xml:space="preserve">the panels </w:t>
      </w:r>
      <w:r>
        <w:rPr>
          <w:rFonts w:cs="Arial"/>
          <w:szCs w:val="24"/>
        </w:rPr>
        <w:t xml:space="preserve">would be removed </w:t>
      </w:r>
      <w:r w:rsidRPr="008D4E7A">
        <w:rPr>
          <w:rFonts w:cs="Arial"/>
          <w:szCs w:val="24"/>
        </w:rPr>
        <w:t xml:space="preserve">for sale into a secondary solar PV panel market. The </w:t>
      </w:r>
      <w:r>
        <w:rPr>
          <w:rFonts w:cs="Arial"/>
          <w:szCs w:val="24"/>
        </w:rPr>
        <w:t>P</w:t>
      </w:r>
      <w:r w:rsidRPr="008D4E7A">
        <w:rPr>
          <w:rFonts w:cs="Arial"/>
          <w:szCs w:val="24"/>
        </w:rPr>
        <w:t>roject</w:t>
      </w:r>
      <w:r>
        <w:rPr>
          <w:rFonts w:cs="Arial"/>
          <w:szCs w:val="24"/>
        </w:rPr>
        <w:t>’</w:t>
      </w:r>
      <w:r w:rsidRPr="008D4E7A">
        <w:rPr>
          <w:rFonts w:cs="Arial"/>
          <w:szCs w:val="24"/>
        </w:rPr>
        <w:t xml:space="preserve">s components and on-site materials </w:t>
      </w:r>
      <w:r>
        <w:rPr>
          <w:rFonts w:cs="Arial"/>
          <w:szCs w:val="24"/>
        </w:rPr>
        <w:t xml:space="preserve">would be </w:t>
      </w:r>
      <w:r w:rsidRPr="008D4E7A">
        <w:rPr>
          <w:rFonts w:cs="Arial"/>
          <w:szCs w:val="24"/>
        </w:rPr>
        <w:t>recycled</w:t>
      </w:r>
      <w:r>
        <w:rPr>
          <w:rFonts w:cs="Arial"/>
          <w:szCs w:val="24"/>
        </w:rPr>
        <w:t xml:space="preserve"> as feasible</w:t>
      </w:r>
      <w:r w:rsidRPr="008D4E7A">
        <w:rPr>
          <w:rFonts w:cs="Arial"/>
          <w:szCs w:val="24"/>
        </w:rPr>
        <w:t>.</w:t>
      </w:r>
      <w:r>
        <w:rPr>
          <w:rFonts w:cs="Arial"/>
          <w:szCs w:val="24"/>
        </w:rPr>
        <w:t xml:space="preserve"> Remaining materials that cannot be recycled or reclaimed would be limited and would be contained and disposed of offsite, </w:t>
      </w:r>
      <w:r>
        <w:rPr>
          <w:rFonts w:cs="Arial"/>
          <w:szCs w:val="24"/>
        </w:rPr>
        <w:lastRenderedPageBreak/>
        <w:t>consistent with the County of San Diego Demolition and Debris Management Plan (County Ordinance 68.508-68.518).</w:t>
      </w:r>
    </w:p>
    <w:p w:rsidR="00FF1B0D" w:rsidRPr="008D4E7A" w:rsidRDefault="00FF1B0D" w:rsidP="00FF1B0D">
      <w:pPr>
        <w:autoSpaceDE w:val="0"/>
        <w:autoSpaceDN w:val="0"/>
        <w:adjustRightInd w:val="0"/>
        <w:jc w:val="both"/>
        <w:rPr>
          <w:rFonts w:cs="Arial"/>
          <w:szCs w:val="24"/>
        </w:rPr>
      </w:pPr>
    </w:p>
    <w:p w:rsidR="00FF1B0D" w:rsidRPr="005315F9" w:rsidRDefault="00FF1B0D" w:rsidP="00FF1B0D">
      <w:pPr>
        <w:autoSpaceDE w:val="0"/>
        <w:autoSpaceDN w:val="0"/>
        <w:adjustRightInd w:val="0"/>
        <w:ind w:left="720"/>
        <w:jc w:val="both"/>
        <w:rPr>
          <w:rFonts w:cs="Arial"/>
          <w:szCs w:val="24"/>
          <w:highlight w:val="lightGray"/>
        </w:rPr>
      </w:pPr>
      <w:r w:rsidRPr="008D4E7A">
        <w:rPr>
          <w:rFonts w:cs="Arial"/>
          <w:szCs w:val="24"/>
        </w:rPr>
        <w:t xml:space="preserve">Dismantling the </w:t>
      </w:r>
      <w:r>
        <w:rPr>
          <w:rFonts w:cs="Arial"/>
          <w:szCs w:val="24"/>
        </w:rPr>
        <w:t>P</w:t>
      </w:r>
      <w:r w:rsidRPr="008D4E7A">
        <w:rPr>
          <w:rFonts w:cs="Arial"/>
          <w:szCs w:val="24"/>
        </w:rPr>
        <w:t xml:space="preserve">roject would entail disassembly of the solar facilities and substantive restoration of the </w:t>
      </w:r>
      <w:r>
        <w:rPr>
          <w:rFonts w:cs="Arial"/>
          <w:szCs w:val="24"/>
        </w:rPr>
        <w:t xml:space="preserve">Project </w:t>
      </w:r>
      <w:r w:rsidRPr="008D4E7A">
        <w:rPr>
          <w:rFonts w:cs="Arial"/>
          <w:szCs w:val="24"/>
        </w:rPr>
        <w:t xml:space="preserve">site. Impacts associated with closure and decommissioning of the </w:t>
      </w:r>
      <w:r>
        <w:rPr>
          <w:rFonts w:cs="Arial"/>
          <w:szCs w:val="24"/>
        </w:rPr>
        <w:t>P</w:t>
      </w:r>
      <w:r w:rsidRPr="008D4E7A">
        <w:rPr>
          <w:rFonts w:cs="Arial"/>
          <w:szCs w:val="24"/>
        </w:rPr>
        <w:t>roject site would be temporary</w:t>
      </w:r>
      <w:r>
        <w:rPr>
          <w:rFonts w:cs="Arial"/>
          <w:szCs w:val="24"/>
        </w:rPr>
        <w:t>. The use of the land would be returned to a use that is consistent with the County General Plan and the County Zoning Ordinance at that time.</w:t>
      </w:r>
      <w:r w:rsidRPr="008D4E7A">
        <w:rPr>
          <w:rFonts w:cs="Arial"/>
          <w:szCs w:val="24"/>
        </w:rPr>
        <w:t xml:space="preserve"> </w:t>
      </w:r>
    </w:p>
    <w:p w:rsidR="00DA6995" w:rsidRDefault="002E7CF8"/>
    <w:sectPr w:rsidR="00DA6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E472A"/>
    <w:multiLevelType w:val="hybridMultilevel"/>
    <w:tmpl w:val="AA8E788E"/>
    <w:lvl w:ilvl="0" w:tplc="34342DD6">
      <w:numFmt w:val="bullet"/>
      <w:lvlText w:val="•"/>
      <w:lvlJc w:val="left"/>
      <w:pPr>
        <w:ind w:left="1512" w:hanging="360"/>
      </w:pPr>
      <w:rPr>
        <w:rFonts w:ascii="Arial" w:eastAsia="Times New Roman"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369E193C"/>
    <w:multiLevelType w:val="hybridMultilevel"/>
    <w:tmpl w:val="7228C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A454D8"/>
    <w:multiLevelType w:val="hybridMultilevel"/>
    <w:tmpl w:val="34920B54"/>
    <w:lvl w:ilvl="0" w:tplc="34342DD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69"/>
    <w:rsid w:val="002668BD"/>
    <w:rsid w:val="002E7CF8"/>
    <w:rsid w:val="00835BE6"/>
    <w:rsid w:val="009A7394"/>
    <w:rsid w:val="00CD6469"/>
    <w:rsid w:val="00FF1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376E5-B2CE-48D2-8342-CED163D8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B0D"/>
    <w:pPr>
      <w:spacing w:after="0" w:line="240" w:lineRule="auto"/>
    </w:pPr>
    <w:rPr>
      <w:rFonts w:ascii="Arial" w:eastAsia="Times New Roman" w:hAnsi="Arial" w:cs="Times New Roman"/>
      <w:sz w:val="24"/>
      <w:szCs w:val="20"/>
    </w:rPr>
  </w:style>
  <w:style w:type="paragraph" w:styleId="Heading9">
    <w:name w:val="heading 9"/>
    <w:basedOn w:val="Normal"/>
    <w:next w:val="Normal"/>
    <w:link w:val="Heading9Char"/>
    <w:qFormat/>
    <w:rsid w:val="00FF1B0D"/>
    <w:pPr>
      <w:keepNext/>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FF1B0D"/>
    <w:rPr>
      <w:rFonts w:ascii="Arial" w:eastAsia="Times New Roman" w:hAnsi="Arial" w:cs="Times New Roman"/>
      <w:sz w:val="24"/>
      <w:szCs w:val="20"/>
      <w:u w:val="single"/>
    </w:rPr>
  </w:style>
  <w:style w:type="paragraph" w:styleId="ListParagraph">
    <w:name w:val="List Paragraph"/>
    <w:basedOn w:val="Normal"/>
    <w:link w:val="ListParagraphChar"/>
    <w:uiPriority w:val="1"/>
    <w:qFormat/>
    <w:rsid w:val="00FF1B0D"/>
    <w:pPr>
      <w:ind w:left="720"/>
      <w:contextualSpacing/>
    </w:pPr>
  </w:style>
  <w:style w:type="character" w:customStyle="1" w:styleId="ListParagraphChar">
    <w:name w:val="List Paragraph Char"/>
    <w:basedOn w:val="DefaultParagraphFont"/>
    <w:link w:val="ListParagraph"/>
    <w:uiPriority w:val="1"/>
    <w:locked/>
    <w:rsid w:val="00FF1B0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Harris</dc:creator>
  <cp:keywords/>
  <dc:description/>
  <cp:lastModifiedBy>Susan Harris</cp:lastModifiedBy>
  <cp:revision>2</cp:revision>
  <dcterms:created xsi:type="dcterms:W3CDTF">2019-03-01T21:58:00Z</dcterms:created>
  <dcterms:modified xsi:type="dcterms:W3CDTF">2019-03-01T22:12:00Z</dcterms:modified>
</cp:coreProperties>
</file>